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2B" w:rsidRDefault="004C572B" w:rsidP="0034271F">
      <w:pPr>
        <w:jc w:val="center"/>
        <w:rPr>
          <w:kern w:val="28"/>
          <w:sz w:val="48"/>
        </w:rPr>
      </w:pPr>
      <w:r w:rsidRPr="004C572B">
        <w:rPr>
          <w:kern w:val="28"/>
          <w:sz w:val="48"/>
        </w:rPr>
        <w:t xml:space="preserve">Energy-Efficient 200-Gbps PAM-4 THz Transceiver in 7-nm </w:t>
      </w:r>
      <w:proofErr w:type="spellStart"/>
      <w:r w:rsidRPr="004C572B">
        <w:rPr>
          <w:kern w:val="28"/>
          <w:sz w:val="48"/>
        </w:rPr>
        <w:t>FinFET</w:t>
      </w:r>
      <w:proofErr w:type="spellEnd"/>
    </w:p>
    <w:p w:rsidR="00413AAE" w:rsidRDefault="00413AAE" w:rsidP="00413AAE">
      <w:pPr>
        <w:jc w:val="center"/>
        <w:rPr>
          <w:kern w:val="28"/>
        </w:rPr>
        <w:sectPr w:rsidR="00413AAE" w:rsidSect="004C572B">
          <w:headerReference w:type="default" r:id="rId7"/>
          <w:pgSz w:w="12240" w:h="15840" w:code="1"/>
          <w:pgMar w:top="960" w:right="960" w:bottom="960" w:left="960" w:header="540" w:footer="540" w:gutter="0"/>
          <w:cols w:space="240"/>
        </w:sectPr>
      </w:pPr>
    </w:p>
    <w:p w:rsidR="00413AAE" w:rsidRPr="00413AAE" w:rsidRDefault="00413AAE" w:rsidP="00413AAE">
      <w:pPr>
        <w:jc w:val="center"/>
        <w:rPr>
          <w:kern w:val="28"/>
        </w:rPr>
      </w:pPr>
      <w:r w:rsidRPr="00413AAE">
        <w:rPr>
          <w:kern w:val="28"/>
        </w:rPr>
        <w:lastRenderedPageBreak/>
        <w:t xml:space="preserve">Dr </w:t>
      </w:r>
      <w:proofErr w:type="spellStart"/>
      <w:r w:rsidRPr="00413AAE">
        <w:rPr>
          <w:kern w:val="28"/>
        </w:rPr>
        <w:t>N.Praveen</w:t>
      </w:r>
      <w:proofErr w:type="spellEnd"/>
      <w:r w:rsidRPr="00413AAE">
        <w:rPr>
          <w:kern w:val="28"/>
        </w:rPr>
        <w:t xml:space="preserve"> Kumar</w:t>
      </w:r>
    </w:p>
    <w:p w:rsidR="00413AAE" w:rsidRPr="00413AAE" w:rsidRDefault="00413AAE" w:rsidP="00413AAE">
      <w:pPr>
        <w:jc w:val="center"/>
        <w:rPr>
          <w:kern w:val="28"/>
        </w:rPr>
      </w:pPr>
      <w:r w:rsidRPr="00413AAE">
        <w:rPr>
          <w:kern w:val="28"/>
        </w:rPr>
        <w:t>Associate Professor</w:t>
      </w:r>
    </w:p>
    <w:p w:rsidR="00413AAE" w:rsidRPr="00413AAE" w:rsidRDefault="00413AAE" w:rsidP="00413AAE">
      <w:pPr>
        <w:jc w:val="center"/>
        <w:rPr>
          <w:kern w:val="28"/>
        </w:rPr>
      </w:pPr>
      <w:r w:rsidRPr="00413AAE">
        <w:rPr>
          <w:kern w:val="28"/>
        </w:rPr>
        <w:t xml:space="preserve">Department of ECE </w:t>
      </w:r>
    </w:p>
    <w:p w:rsidR="00413AAE" w:rsidRPr="00413AAE" w:rsidRDefault="00413AAE" w:rsidP="00413AAE">
      <w:pPr>
        <w:jc w:val="center"/>
        <w:rPr>
          <w:kern w:val="28"/>
        </w:rPr>
      </w:pPr>
      <w:proofErr w:type="spellStart"/>
      <w:r w:rsidRPr="00413AAE">
        <w:rPr>
          <w:kern w:val="28"/>
        </w:rPr>
        <w:t>Santhiram</w:t>
      </w:r>
      <w:proofErr w:type="spellEnd"/>
      <w:r w:rsidRPr="00413AAE">
        <w:rPr>
          <w:kern w:val="28"/>
        </w:rPr>
        <w:t xml:space="preserve"> Engineering </w:t>
      </w:r>
      <w:proofErr w:type="gramStart"/>
      <w:r w:rsidRPr="00413AAE">
        <w:rPr>
          <w:kern w:val="28"/>
        </w:rPr>
        <w:t>College(</w:t>
      </w:r>
      <w:proofErr w:type="gramEnd"/>
      <w:r w:rsidRPr="00413AAE">
        <w:rPr>
          <w:kern w:val="28"/>
        </w:rPr>
        <w:t xml:space="preserve">Autonomous) </w:t>
      </w:r>
    </w:p>
    <w:p w:rsidR="00413AAE" w:rsidRPr="00413AAE" w:rsidRDefault="00413AAE" w:rsidP="00413AAE">
      <w:pPr>
        <w:jc w:val="center"/>
        <w:rPr>
          <w:kern w:val="28"/>
        </w:rPr>
      </w:pPr>
      <w:r w:rsidRPr="00413AAE">
        <w:rPr>
          <w:kern w:val="28"/>
        </w:rPr>
        <w:t>NH-40</w:t>
      </w:r>
      <w:proofErr w:type="gramStart"/>
      <w:r w:rsidRPr="00413AAE">
        <w:rPr>
          <w:kern w:val="28"/>
        </w:rPr>
        <w:t>,Nerawada</w:t>
      </w:r>
      <w:proofErr w:type="gramEnd"/>
      <w:r w:rsidRPr="00413AAE">
        <w:rPr>
          <w:kern w:val="28"/>
        </w:rPr>
        <w:t xml:space="preserve">, X' Roads, </w:t>
      </w:r>
      <w:proofErr w:type="spellStart"/>
      <w:r w:rsidRPr="00413AAE">
        <w:rPr>
          <w:kern w:val="28"/>
        </w:rPr>
        <w:t>Nandyal</w:t>
      </w:r>
      <w:proofErr w:type="spellEnd"/>
      <w:r w:rsidRPr="00413AAE">
        <w:rPr>
          <w:kern w:val="28"/>
        </w:rPr>
        <w:t>, Andhra Pradesh 518501</w:t>
      </w:r>
    </w:p>
    <w:p w:rsidR="00413AAE" w:rsidRPr="00413AAE" w:rsidRDefault="00413AAE" w:rsidP="00413AAE">
      <w:pPr>
        <w:jc w:val="center"/>
        <w:rPr>
          <w:kern w:val="28"/>
        </w:rPr>
      </w:pPr>
      <w:r w:rsidRPr="00413AAE">
        <w:rPr>
          <w:kern w:val="28"/>
        </w:rPr>
        <w:t>praveenn31@gmail.com</w:t>
      </w:r>
    </w:p>
    <w:p w:rsidR="00413AAE" w:rsidRPr="00413AAE" w:rsidRDefault="00413AAE" w:rsidP="00413AAE">
      <w:pPr>
        <w:jc w:val="center"/>
        <w:rPr>
          <w:kern w:val="28"/>
        </w:rPr>
      </w:pPr>
      <w:r w:rsidRPr="00413AAE">
        <w:rPr>
          <w:kern w:val="28"/>
        </w:rPr>
        <w:lastRenderedPageBreak/>
        <w:t xml:space="preserve">D </w:t>
      </w:r>
      <w:proofErr w:type="spellStart"/>
      <w:r w:rsidRPr="00413AAE">
        <w:rPr>
          <w:kern w:val="28"/>
        </w:rPr>
        <w:t>Venkata</w:t>
      </w:r>
      <w:proofErr w:type="spellEnd"/>
      <w:r w:rsidRPr="00413AAE">
        <w:rPr>
          <w:kern w:val="28"/>
        </w:rPr>
        <w:t xml:space="preserve"> </w:t>
      </w:r>
      <w:proofErr w:type="spellStart"/>
      <w:r w:rsidRPr="00413AAE">
        <w:rPr>
          <w:kern w:val="28"/>
        </w:rPr>
        <w:t>Srihari</w:t>
      </w:r>
      <w:proofErr w:type="spellEnd"/>
      <w:r w:rsidRPr="00413AAE">
        <w:rPr>
          <w:kern w:val="28"/>
        </w:rPr>
        <w:t xml:space="preserve"> </w:t>
      </w:r>
      <w:proofErr w:type="spellStart"/>
      <w:r w:rsidRPr="00413AAE">
        <w:rPr>
          <w:kern w:val="28"/>
        </w:rPr>
        <w:t>Babu</w:t>
      </w:r>
      <w:proofErr w:type="spellEnd"/>
      <w:r w:rsidRPr="00413AAE">
        <w:rPr>
          <w:kern w:val="28"/>
        </w:rPr>
        <w:t xml:space="preserve"> </w:t>
      </w:r>
    </w:p>
    <w:p w:rsidR="00413AAE" w:rsidRPr="00413AAE" w:rsidRDefault="00413AAE" w:rsidP="00413AAE">
      <w:pPr>
        <w:jc w:val="center"/>
        <w:rPr>
          <w:kern w:val="28"/>
        </w:rPr>
      </w:pPr>
      <w:r w:rsidRPr="00413AAE">
        <w:rPr>
          <w:kern w:val="28"/>
        </w:rPr>
        <w:t xml:space="preserve">Associate Professor </w:t>
      </w:r>
    </w:p>
    <w:p w:rsidR="00413AAE" w:rsidRPr="00413AAE" w:rsidRDefault="00413AAE" w:rsidP="00413AAE">
      <w:pPr>
        <w:jc w:val="center"/>
        <w:rPr>
          <w:kern w:val="28"/>
        </w:rPr>
      </w:pPr>
      <w:r w:rsidRPr="00413AAE">
        <w:rPr>
          <w:kern w:val="28"/>
        </w:rPr>
        <w:t>Departure of ECE</w:t>
      </w:r>
    </w:p>
    <w:p w:rsidR="00413AAE" w:rsidRPr="00413AAE" w:rsidRDefault="00413AAE" w:rsidP="00413AAE">
      <w:pPr>
        <w:jc w:val="center"/>
        <w:rPr>
          <w:kern w:val="28"/>
        </w:rPr>
      </w:pPr>
      <w:r w:rsidRPr="00413AAE">
        <w:rPr>
          <w:kern w:val="28"/>
        </w:rPr>
        <w:t xml:space="preserve">G </w:t>
      </w:r>
      <w:proofErr w:type="spellStart"/>
      <w:r w:rsidRPr="00413AAE">
        <w:rPr>
          <w:kern w:val="28"/>
        </w:rPr>
        <w:t>Pulla</w:t>
      </w:r>
      <w:proofErr w:type="spellEnd"/>
      <w:r w:rsidRPr="00413AAE">
        <w:rPr>
          <w:kern w:val="28"/>
        </w:rPr>
        <w:t xml:space="preserve"> Reddy Engineering </w:t>
      </w:r>
      <w:proofErr w:type="gramStart"/>
      <w:r w:rsidRPr="00413AAE">
        <w:rPr>
          <w:kern w:val="28"/>
        </w:rPr>
        <w:t>college</w:t>
      </w:r>
      <w:proofErr w:type="gramEnd"/>
      <w:r w:rsidRPr="00413AAE">
        <w:rPr>
          <w:kern w:val="28"/>
        </w:rPr>
        <w:t xml:space="preserve"> </w:t>
      </w:r>
    </w:p>
    <w:p w:rsidR="00413AAE" w:rsidRPr="00413AAE" w:rsidRDefault="00413AAE" w:rsidP="00413AAE">
      <w:pPr>
        <w:jc w:val="center"/>
        <w:rPr>
          <w:kern w:val="28"/>
        </w:rPr>
      </w:pPr>
      <w:r w:rsidRPr="00413AAE">
        <w:rPr>
          <w:kern w:val="28"/>
        </w:rPr>
        <w:t>Kurnool -518007</w:t>
      </w:r>
    </w:p>
    <w:p w:rsidR="00413AAE" w:rsidRPr="00413AAE" w:rsidRDefault="00413AAE" w:rsidP="00413AAE">
      <w:pPr>
        <w:jc w:val="center"/>
        <w:rPr>
          <w:kern w:val="28"/>
        </w:rPr>
      </w:pPr>
      <w:r w:rsidRPr="00413AAE">
        <w:rPr>
          <w:kern w:val="28"/>
        </w:rPr>
        <w:t>Email:</w:t>
      </w:r>
    </w:p>
    <w:p w:rsidR="00413AAE" w:rsidRPr="00413AAE" w:rsidRDefault="00413AAE" w:rsidP="00413AAE">
      <w:pPr>
        <w:jc w:val="center"/>
        <w:rPr>
          <w:kern w:val="28"/>
        </w:rPr>
      </w:pPr>
      <w:r w:rsidRPr="00413AAE">
        <w:rPr>
          <w:kern w:val="28"/>
        </w:rPr>
        <w:t>srihari2k1@gmail.com</w:t>
      </w:r>
    </w:p>
    <w:p w:rsidR="00413AAE" w:rsidRDefault="00413AAE" w:rsidP="00413AAE">
      <w:pPr>
        <w:jc w:val="center"/>
        <w:rPr>
          <w:kern w:val="28"/>
        </w:rPr>
        <w:sectPr w:rsidR="00413AAE" w:rsidSect="00413AAE">
          <w:type w:val="continuous"/>
          <w:pgSz w:w="12240" w:h="15840" w:code="1"/>
          <w:pgMar w:top="960" w:right="960" w:bottom="960" w:left="960" w:header="540" w:footer="540" w:gutter="0"/>
          <w:cols w:num="2" w:space="240"/>
        </w:sectPr>
      </w:pPr>
    </w:p>
    <w:p w:rsidR="00413AAE" w:rsidRPr="00413AAE" w:rsidRDefault="00413AAE" w:rsidP="00413AAE">
      <w:pPr>
        <w:jc w:val="center"/>
        <w:rPr>
          <w:kern w:val="28"/>
        </w:rPr>
      </w:pPr>
      <w:proofErr w:type="spellStart"/>
      <w:r w:rsidRPr="00413AAE">
        <w:rPr>
          <w:kern w:val="28"/>
        </w:rPr>
        <w:lastRenderedPageBreak/>
        <w:t>Subhashini.Vedala</w:t>
      </w:r>
      <w:proofErr w:type="spellEnd"/>
    </w:p>
    <w:p w:rsidR="00413AAE" w:rsidRPr="00413AAE" w:rsidRDefault="00413AAE" w:rsidP="00413AAE">
      <w:pPr>
        <w:jc w:val="center"/>
        <w:rPr>
          <w:kern w:val="28"/>
        </w:rPr>
      </w:pPr>
      <w:r w:rsidRPr="00413AAE">
        <w:rPr>
          <w:kern w:val="28"/>
        </w:rPr>
        <w:t xml:space="preserve">Assistant Professor, </w:t>
      </w:r>
    </w:p>
    <w:p w:rsidR="00413AAE" w:rsidRPr="00413AAE" w:rsidRDefault="00413AAE" w:rsidP="00413AAE">
      <w:pPr>
        <w:jc w:val="center"/>
        <w:rPr>
          <w:kern w:val="28"/>
        </w:rPr>
      </w:pPr>
      <w:r w:rsidRPr="00413AAE">
        <w:rPr>
          <w:kern w:val="28"/>
        </w:rPr>
        <w:t xml:space="preserve">Sri </w:t>
      </w:r>
      <w:proofErr w:type="spellStart"/>
      <w:r w:rsidRPr="00413AAE">
        <w:rPr>
          <w:kern w:val="28"/>
        </w:rPr>
        <w:t>Vasavi</w:t>
      </w:r>
      <w:proofErr w:type="spellEnd"/>
      <w:r w:rsidRPr="00413AAE">
        <w:rPr>
          <w:kern w:val="28"/>
        </w:rPr>
        <w:t xml:space="preserve"> Engineering College</w:t>
      </w:r>
    </w:p>
    <w:p w:rsidR="00413AAE" w:rsidRPr="00413AAE" w:rsidRDefault="00413AAE" w:rsidP="00413AAE">
      <w:pPr>
        <w:jc w:val="center"/>
        <w:rPr>
          <w:kern w:val="28"/>
        </w:rPr>
      </w:pPr>
      <w:proofErr w:type="spellStart"/>
      <w:r w:rsidRPr="00413AAE">
        <w:rPr>
          <w:kern w:val="28"/>
        </w:rPr>
        <w:t>Pedatadepalli</w:t>
      </w:r>
      <w:proofErr w:type="spellEnd"/>
      <w:r w:rsidRPr="00413AAE">
        <w:rPr>
          <w:kern w:val="28"/>
        </w:rPr>
        <w:t xml:space="preserve">, </w:t>
      </w:r>
      <w:proofErr w:type="spellStart"/>
      <w:r w:rsidRPr="00413AAE">
        <w:rPr>
          <w:kern w:val="28"/>
        </w:rPr>
        <w:t>Tadepalligudem</w:t>
      </w:r>
      <w:proofErr w:type="spellEnd"/>
      <w:r w:rsidRPr="00413AAE">
        <w:rPr>
          <w:kern w:val="28"/>
        </w:rPr>
        <w:t>, West Godavari District, Andhra Pradesh - 534101</w:t>
      </w:r>
    </w:p>
    <w:p w:rsidR="00413AAE" w:rsidRDefault="00413AAE" w:rsidP="00413AAE">
      <w:pPr>
        <w:jc w:val="center"/>
        <w:rPr>
          <w:kern w:val="28"/>
        </w:rPr>
      </w:pPr>
      <w:r w:rsidRPr="00413AAE">
        <w:rPr>
          <w:kern w:val="28"/>
        </w:rPr>
        <w:t>Subhashini.vedala@gmail.com</w:t>
      </w:r>
    </w:p>
    <w:p w:rsidR="00413AAE" w:rsidRPr="00413AAE" w:rsidRDefault="00413AAE" w:rsidP="00413AAE">
      <w:pPr>
        <w:jc w:val="center"/>
        <w:rPr>
          <w:kern w:val="28"/>
        </w:rPr>
      </w:pPr>
      <w:r w:rsidRPr="00413AAE">
        <w:rPr>
          <w:kern w:val="28"/>
        </w:rPr>
        <w:lastRenderedPageBreak/>
        <w:t>Dr N. GEETHA RANI</w:t>
      </w:r>
    </w:p>
    <w:p w:rsidR="00413AAE" w:rsidRPr="00413AAE" w:rsidRDefault="00413AAE" w:rsidP="00413AAE">
      <w:pPr>
        <w:jc w:val="center"/>
        <w:rPr>
          <w:kern w:val="28"/>
        </w:rPr>
      </w:pPr>
      <w:r w:rsidRPr="00413AAE">
        <w:rPr>
          <w:kern w:val="28"/>
        </w:rPr>
        <w:t>Associate Professor</w:t>
      </w:r>
    </w:p>
    <w:p w:rsidR="00413AAE" w:rsidRPr="00413AAE" w:rsidRDefault="00413AAE" w:rsidP="00413AAE">
      <w:pPr>
        <w:jc w:val="center"/>
        <w:rPr>
          <w:kern w:val="28"/>
        </w:rPr>
      </w:pPr>
      <w:r w:rsidRPr="00413AAE">
        <w:rPr>
          <w:kern w:val="28"/>
        </w:rPr>
        <w:t>Department of ECE</w:t>
      </w:r>
    </w:p>
    <w:p w:rsidR="00413AAE" w:rsidRPr="00413AAE" w:rsidRDefault="00413AAE" w:rsidP="00413AAE">
      <w:pPr>
        <w:jc w:val="center"/>
        <w:rPr>
          <w:kern w:val="28"/>
        </w:rPr>
      </w:pPr>
      <w:r w:rsidRPr="00413AAE">
        <w:rPr>
          <w:kern w:val="28"/>
        </w:rPr>
        <w:t xml:space="preserve">G.Pullaiah College of Engineering and Technology, Kurnool </w:t>
      </w:r>
    </w:p>
    <w:p w:rsidR="00413AAE" w:rsidRPr="00413AAE" w:rsidRDefault="00413AAE" w:rsidP="00413AAE">
      <w:pPr>
        <w:jc w:val="center"/>
        <w:rPr>
          <w:kern w:val="28"/>
        </w:rPr>
        <w:sectPr w:rsidR="00413AAE" w:rsidRPr="00413AAE" w:rsidSect="00413AAE">
          <w:type w:val="continuous"/>
          <w:pgSz w:w="12240" w:h="15840" w:code="1"/>
          <w:pgMar w:top="960" w:right="960" w:bottom="960" w:left="960" w:header="540" w:footer="540" w:gutter="0"/>
          <w:cols w:num="2" w:space="240"/>
        </w:sectPr>
      </w:pPr>
      <w:r w:rsidRPr="00413AAE">
        <w:rPr>
          <w:kern w:val="28"/>
        </w:rPr>
        <w:t>drngeetharaniece@gmail.com</w:t>
      </w:r>
    </w:p>
    <w:p w:rsidR="00B871E3" w:rsidRPr="00413AAE" w:rsidRDefault="00623860" w:rsidP="00413AAE">
      <w:pPr>
        <w:jc w:val="both"/>
        <w:rPr>
          <w:b/>
          <w:bCs/>
          <w:sz w:val="18"/>
          <w:szCs w:val="18"/>
        </w:rPr>
      </w:pPr>
      <w:r w:rsidRPr="00413AAE">
        <w:rPr>
          <w:b/>
          <w:bCs/>
          <w:i/>
          <w:iCs/>
          <w:sz w:val="18"/>
          <w:szCs w:val="18"/>
        </w:rPr>
        <w:lastRenderedPageBreak/>
        <w:t>Abstract–</w:t>
      </w:r>
      <w:r w:rsidR="00B871E3" w:rsidRPr="00413AAE">
        <w:rPr>
          <w:b/>
          <w:bCs/>
          <w:sz w:val="18"/>
          <w:szCs w:val="18"/>
        </w:rPr>
        <w:t xml:space="preserve">This research paper outlines a method for implementing a 200 </w:t>
      </w:r>
      <w:proofErr w:type="spellStart"/>
      <w:r w:rsidR="00B871E3" w:rsidRPr="00413AAE">
        <w:rPr>
          <w:b/>
          <w:bCs/>
          <w:sz w:val="18"/>
          <w:szCs w:val="18"/>
        </w:rPr>
        <w:t>Gbps</w:t>
      </w:r>
      <w:proofErr w:type="spellEnd"/>
      <w:r w:rsidR="00B871E3" w:rsidRPr="00413AAE">
        <w:rPr>
          <w:b/>
          <w:bCs/>
          <w:sz w:val="18"/>
          <w:szCs w:val="18"/>
        </w:rPr>
        <w:t xml:space="preserve"> PAM-4 terahertz transceiver in 7 nm </w:t>
      </w:r>
      <w:proofErr w:type="spellStart"/>
      <w:r w:rsidR="00B871E3" w:rsidRPr="00413AAE">
        <w:rPr>
          <w:b/>
          <w:bCs/>
          <w:sz w:val="18"/>
          <w:szCs w:val="18"/>
        </w:rPr>
        <w:t>FinFET</w:t>
      </w:r>
      <w:proofErr w:type="spellEnd"/>
      <w:r w:rsidR="00B871E3" w:rsidRPr="00413AAE">
        <w:rPr>
          <w:b/>
          <w:bCs/>
          <w:sz w:val="18"/>
          <w:szCs w:val="18"/>
        </w:rPr>
        <w:t xml:space="preserve"> technology and achieving </w:t>
      </w:r>
      <w:proofErr w:type="gramStart"/>
      <w:r w:rsidR="00B871E3" w:rsidRPr="00413AAE">
        <w:rPr>
          <w:b/>
          <w:bCs/>
          <w:sz w:val="18"/>
          <w:szCs w:val="18"/>
        </w:rPr>
        <w:t xml:space="preserve">1.56 </w:t>
      </w:r>
      <w:proofErr w:type="spellStart"/>
      <w:r w:rsidR="00B871E3" w:rsidRPr="00413AAE">
        <w:rPr>
          <w:b/>
          <w:bCs/>
          <w:sz w:val="18"/>
          <w:szCs w:val="18"/>
        </w:rPr>
        <w:t>pJ</w:t>
      </w:r>
      <w:proofErr w:type="spellEnd"/>
      <w:r w:rsidR="00B871E3" w:rsidRPr="00413AAE">
        <w:rPr>
          <w:b/>
          <w:bCs/>
          <w:sz w:val="18"/>
          <w:szCs w:val="18"/>
        </w:rPr>
        <w:t>/bit energy efficiency</w:t>
      </w:r>
      <w:proofErr w:type="gramEnd"/>
      <w:r w:rsidR="00B871E3" w:rsidRPr="00413AAE">
        <w:rPr>
          <w:b/>
          <w:bCs/>
          <w:sz w:val="18"/>
          <w:szCs w:val="18"/>
        </w:rPr>
        <w:t>. The method uses an adaptive-bias power amplifier array for the transmitter, which allows for the removal of bandwidth limitations that are typically associated with envelope tracking, by using discretely modulating the gate bias voltage based on the PAM-4 symbol level arriving at the transmitter.</w:t>
      </w:r>
    </w:p>
    <w:p w:rsidR="00B871E3" w:rsidRPr="00413AAE" w:rsidRDefault="00B871E3" w:rsidP="00413AAE">
      <w:pPr>
        <w:jc w:val="both"/>
        <w:rPr>
          <w:b/>
          <w:bCs/>
          <w:sz w:val="18"/>
          <w:szCs w:val="18"/>
        </w:rPr>
      </w:pPr>
      <w:r w:rsidRPr="00413AAE">
        <w:rPr>
          <w:b/>
          <w:bCs/>
          <w:sz w:val="18"/>
          <w:szCs w:val="18"/>
        </w:rPr>
        <w:t xml:space="preserve">The pipelining strategy is based on a </w:t>
      </w:r>
      <w:proofErr w:type="spellStart"/>
      <w:r w:rsidRPr="00413AAE">
        <w:rPr>
          <w:b/>
          <w:bCs/>
          <w:sz w:val="18"/>
          <w:szCs w:val="18"/>
        </w:rPr>
        <w:t>Leiserson</w:t>
      </w:r>
      <w:proofErr w:type="spellEnd"/>
      <w:r w:rsidRPr="00413AAE">
        <w:rPr>
          <w:b/>
          <w:bCs/>
          <w:sz w:val="18"/>
          <w:szCs w:val="18"/>
        </w:rPr>
        <w:t xml:space="preserve">-Saxe global retiming algorithm, allowing redistribution of registers within the digital baseband </w:t>
      </w:r>
      <w:proofErr w:type="spellStart"/>
      <w:r w:rsidRPr="00413AAE">
        <w:rPr>
          <w:b/>
          <w:bCs/>
          <w:sz w:val="18"/>
          <w:szCs w:val="18"/>
        </w:rPr>
        <w:t>datapath</w:t>
      </w:r>
      <w:proofErr w:type="spellEnd"/>
      <w:r w:rsidRPr="00413AAE">
        <w:rPr>
          <w:b/>
          <w:bCs/>
          <w:sz w:val="18"/>
          <w:szCs w:val="18"/>
        </w:rPr>
        <w:t xml:space="preserve"> to enable an eight-phase interleaved half-rate design that operates at a reduced clock frequency of 3.125 GHz.</w:t>
      </w:r>
    </w:p>
    <w:p w:rsidR="00B871E3" w:rsidRPr="00413AAE" w:rsidRDefault="00B871E3" w:rsidP="00413AAE">
      <w:pPr>
        <w:jc w:val="both"/>
        <w:rPr>
          <w:b/>
          <w:bCs/>
          <w:sz w:val="18"/>
          <w:szCs w:val="18"/>
        </w:rPr>
      </w:pPr>
      <w:r w:rsidRPr="00413AAE">
        <w:rPr>
          <w:b/>
          <w:bCs/>
          <w:sz w:val="18"/>
          <w:szCs w:val="18"/>
        </w:rPr>
        <w:t xml:space="preserve">The receiver uses a 32-way time-interleaved SAR ADC that samples at 200 GS/s; the sampling includes a background digital calibration algorithm that reduces timing skew to less than 50 </w:t>
      </w:r>
      <w:proofErr w:type="spellStart"/>
      <w:r w:rsidRPr="00413AAE">
        <w:rPr>
          <w:b/>
          <w:bCs/>
          <w:sz w:val="18"/>
          <w:szCs w:val="18"/>
        </w:rPr>
        <w:t>femtoseconds</w:t>
      </w:r>
      <w:proofErr w:type="spellEnd"/>
      <w:r w:rsidRPr="00413AAE">
        <w:rPr>
          <w:b/>
          <w:bCs/>
          <w:sz w:val="18"/>
          <w:szCs w:val="18"/>
        </w:rPr>
        <w:t xml:space="preserve">. The clock generation uses an injection locked ring oscillator, which is locked to the 25th harmonic of a 1 GHz reference, yielding integrated jitter of ~180 </w:t>
      </w:r>
      <w:proofErr w:type="spellStart"/>
      <w:r w:rsidRPr="00413AAE">
        <w:rPr>
          <w:b/>
          <w:bCs/>
          <w:sz w:val="18"/>
          <w:szCs w:val="18"/>
        </w:rPr>
        <w:t>femtoseconds</w:t>
      </w:r>
      <w:proofErr w:type="spellEnd"/>
      <w:r w:rsidRPr="00413AAE">
        <w:rPr>
          <w:b/>
          <w:bCs/>
          <w:sz w:val="18"/>
          <w:szCs w:val="18"/>
        </w:rPr>
        <w:t>.</w:t>
      </w:r>
    </w:p>
    <w:p w:rsidR="004C572B" w:rsidRPr="00413AAE" w:rsidRDefault="00B871E3" w:rsidP="00413AAE">
      <w:pPr>
        <w:jc w:val="both"/>
        <w:rPr>
          <w:b/>
          <w:bCs/>
          <w:sz w:val="18"/>
          <w:szCs w:val="18"/>
        </w:rPr>
      </w:pPr>
      <w:r w:rsidRPr="00413AAE">
        <w:rPr>
          <w:b/>
          <w:bCs/>
          <w:sz w:val="18"/>
          <w:szCs w:val="18"/>
        </w:rPr>
        <w:t>The combined integration of all these elements will allow implementation of high-speed terahertz communications while significantly reducing power consumption</w:t>
      </w:r>
      <w:r w:rsidR="00623860" w:rsidRPr="00413AAE">
        <w:rPr>
          <w:b/>
          <w:bCs/>
          <w:sz w:val="18"/>
          <w:szCs w:val="18"/>
        </w:rPr>
        <w:t>.</w:t>
      </w:r>
    </w:p>
    <w:p w:rsidR="004C572B" w:rsidRPr="00413AAE" w:rsidRDefault="004C572B" w:rsidP="00413AAE">
      <w:pPr>
        <w:jc w:val="both"/>
        <w:rPr>
          <w:b/>
          <w:bCs/>
          <w:sz w:val="18"/>
          <w:szCs w:val="18"/>
        </w:rPr>
      </w:pPr>
      <w:r w:rsidRPr="00413AAE">
        <w:rPr>
          <w:b/>
          <w:bCs/>
          <w:sz w:val="18"/>
          <w:szCs w:val="18"/>
        </w:rPr>
        <w:t xml:space="preserve">Keywords: </w:t>
      </w:r>
      <w:r w:rsidR="000F2A08" w:rsidRPr="00413AAE">
        <w:rPr>
          <w:b/>
          <w:bCs/>
          <w:sz w:val="18"/>
          <w:szCs w:val="18"/>
        </w:rPr>
        <w:t>Terahertz Communications, PAM-4 Signaling, Adaptive Power Amplifier, Clock and Data Recovery</w:t>
      </w:r>
    </w:p>
    <w:p w:rsidR="008E2BA4" w:rsidRDefault="00623860">
      <w:pPr>
        <w:pStyle w:val="Heading1"/>
      </w:pPr>
      <w:bookmarkStart w:id="0" w:name="introduction"/>
      <w:r>
        <w:t>Introduction</w:t>
      </w:r>
    </w:p>
    <w:p w:rsidR="00B871E3" w:rsidRDefault="00B871E3" w:rsidP="00B871E3">
      <w:pPr>
        <w:pStyle w:val="BodyText"/>
      </w:pPr>
      <w:r>
        <w:t xml:space="preserve">Higher demand for wireless communication has put the terahertz (THz) frequency band in a critical position for 6G and future </w:t>
      </w:r>
      <w:proofErr w:type="gramStart"/>
      <w:r>
        <w:t>technologies  [</w:t>
      </w:r>
      <w:proofErr w:type="gramEnd"/>
      <w:r>
        <w:t>1].  While this group of frequencies could enable hundreds of gigabits per second of throughput, achieving power efficiency and maintaining signal integrity have proven to be very difficult challenges.  In addition, due to the large peak to average power ratio (PAPR) present in four-level pulse-amplitude modulation (PAM-4), this modulation scheme's maximum spectral efficiency will be optimal for high-speed serial links [2]; i.e., this modulation format will yield poor power-added efficiency (PAE) in conventional power amplifiers.  Some methods of envelope tracking (ET</w:t>
      </w:r>
      <w:proofErr w:type="gramStart"/>
      <w:r>
        <w:t>)The</w:t>
      </w:r>
      <w:proofErr w:type="gramEnd"/>
      <w:r>
        <w:t xml:space="preserve"> have been developed to provide dynamical adjustments of supply voltage, which, as a result, would reduce power loss  [3].   However, the bandwidth and complexity required for continuous ET may limit its application to discrete constellation symbols. Therefore, discrete envelope tracking (DET) has emerged as a more </w:t>
      </w:r>
      <w:r>
        <w:lastRenderedPageBreak/>
        <w:t xml:space="preserve">energy efficient method of implementing ET for discrete constellation symbols [4]. </w:t>
      </w:r>
    </w:p>
    <w:p w:rsidR="00B871E3" w:rsidRDefault="00B871E3" w:rsidP="00B871E3">
      <w:pPr>
        <w:pStyle w:val="BodyText"/>
      </w:pPr>
      <w:r>
        <w:t>The fundamental logic optimization technique known as pipeline retiming can improve the maximum possible clock frequency of digital signal processing (DSP) blocks. This technique works by balancing the delays of the stages so that the maximum operating speed of a production DSP block is improved without affecting the operation of the DSP block [5].  Time-interleaved SAR (TI-SAR) ADCs have been shown to allow very fast rate of sampling through multiplying sampling rates with THz (high-speed) time interleaved ADC's.  This results in time misalignment of samples and, therefore, degrades the spurious-free dynamic range (SFDR) of the TI-SAR ADC, requiring extensive calibration schemes to be corrected [7]</w:t>
      </w:r>
      <w:r w:rsidR="00623860">
        <w:t xml:space="preserve">. </w:t>
      </w:r>
      <w:r>
        <w:t xml:space="preserve">Injection-locked ring oscillator (ILRO) circuits provide lower power, better jitter performance than traditional phase-locked loops, and by using advanced </w:t>
      </w:r>
      <w:proofErr w:type="spellStart"/>
      <w:r>
        <w:t>FinFET</w:t>
      </w:r>
      <w:proofErr w:type="spellEnd"/>
      <w:r>
        <w:t xml:space="preserve"> technology to integrate these dissimilar blocks onto one system-on-chip (</w:t>
      </w:r>
      <w:proofErr w:type="spellStart"/>
      <w:r>
        <w:t>SoC</w:t>
      </w:r>
      <w:proofErr w:type="spellEnd"/>
      <w:r>
        <w:t>), the benefits of superior electrostatic control and reduced leakage can be utilized.</w:t>
      </w:r>
    </w:p>
    <w:p w:rsidR="008E2BA4" w:rsidRDefault="00B871E3" w:rsidP="00B871E3">
      <w:pPr>
        <w:pStyle w:val="BodyText"/>
      </w:pPr>
      <w:r>
        <w:t xml:space="preserve">In this work, we present a new architecture that is designed with cooperating VLSI elements: (1) a DSP (data signal processor) </w:t>
      </w:r>
      <w:proofErr w:type="spellStart"/>
      <w:r>
        <w:t>datapath</w:t>
      </w:r>
      <w:proofErr w:type="spellEnd"/>
      <w:r>
        <w:t xml:space="preserve"> that has been pipelined and retimed, (2) a power amplifier (PA) array using a digitally-enhanced timing (DET) technique to adaptively bias the PA's, (3) a high-speed time-interleaved successive approximation register (TI-SAR) analog-to-digital converter (ADC), and (4) an ILRO-based CDR. Whereas traditional designs treat these functional blocks as separate units, our approach takes advantage of the discrete nature of PAM-4 symbols in order to dynamically change bias states resulting in significant reduction of power-added efficiency (PAE) losses without an ongoing cost for extra ET. Additionally, sophisticated retiming methods have been developed to reduce critical-path delays allowing for a half-rate architecture operating at a slower clock frequency</w:t>
      </w:r>
      <w:r w:rsidR="00623860">
        <w:t xml:space="preserve">. </w:t>
      </w:r>
      <w:r w:rsidRPr="00B871E3">
        <w:t xml:space="preserve">There are four main contributions: A DET plan for PAM-4 to overcome the limitations of continuous ET; a Global Pipeline Retiming Method for distributing registers throughout the DSP </w:t>
      </w:r>
      <w:proofErr w:type="spellStart"/>
      <w:r w:rsidRPr="00B871E3">
        <w:t>Datapath</w:t>
      </w:r>
      <w:proofErr w:type="spellEnd"/>
      <w:r w:rsidRPr="00B871E3">
        <w:t xml:space="preserve">; a Background Calibration Algorithm for eliminating timing skew in the TI-SAR ADC; and an ILRO based CDR to lock onto a harmonic of a low frequency reference signal. The rest of this paper will be divided as follows: Section 2 </w:t>
      </w:r>
      <w:r w:rsidRPr="00B871E3">
        <w:lastRenderedPageBreak/>
        <w:t>describes the VLSI architecture co-optimized for the above contributions; Section 3 will include data and evaluation; Section 4 covers implications and future work</w:t>
      </w:r>
      <w:r>
        <w:t>; Section 5 concludes the paper</w:t>
      </w:r>
      <w:r w:rsidR="00623860">
        <w:t>.</w:t>
      </w:r>
    </w:p>
    <w:p w:rsidR="008E2BA4" w:rsidRDefault="00623860" w:rsidP="009D32ED">
      <w:pPr>
        <w:pStyle w:val="Heading1"/>
      </w:pPr>
      <w:bookmarkStart w:id="1" w:name="Xa324a55eab0d6420e7e1d95074567be42971cc7"/>
      <w:bookmarkEnd w:id="0"/>
      <w:r>
        <w:t>Co-Optimized VLSI Architecture for Energy-Efficient THz PAM-4 Transceivers</w:t>
      </w:r>
    </w:p>
    <w:p w:rsidR="008E2BA4" w:rsidRDefault="00B871E3" w:rsidP="009D32ED">
      <w:pPr>
        <w:jc w:val="both"/>
      </w:pPr>
      <w:r w:rsidRPr="00B871E3">
        <w:t xml:space="preserve">The design of this transceiver is based on a comprehensive co-optimization of the digital baseband, analog </w:t>
      </w:r>
      <w:proofErr w:type="gramStart"/>
      <w:r w:rsidRPr="00B871E3">
        <w:t>front-end,</w:t>
      </w:r>
      <w:proofErr w:type="gramEnd"/>
      <w:r w:rsidRPr="00B871E3">
        <w:t xml:space="preserve"> and clocking subsystems. The integration of all subsystems into one system is shown in Figure 1, which depicts the overall signal flow from the digital baseband to the antenna, then back to the digital baseband and the fact that each of the conventional blocks have been replaced</w:t>
      </w:r>
      <w:r>
        <w:t xml:space="preserve"> by less-power-consuming blocks</w:t>
      </w:r>
      <w:r w:rsidR="00623860">
        <w:t>.</w:t>
      </w:r>
    </w:p>
    <w:p w:rsidR="00BD60A7" w:rsidRDefault="00BD60A7" w:rsidP="00BD60A7">
      <w:pPr>
        <w:pStyle w:val="BodyText"/>
      </w:pPr>
      <w:r w:rsidRPr="00B871E3">
        <w:t>Digital signal processing (DSP) data path of the transmitter is performed on the pipeline-retimed way, the Tomlinson-</w:t>
      </w:r>
      <w:proofErr w:type="spellStart"/>
      <w:r w:rsidRPr="00B871E3">
        <w:t>Harashima</w:t>
      </w:r>
      <w:proofErr w:type="spellEnd"/>
      <w:r w:rsidRPr="00B871E3">
        <w:t xml:space="preserve"> </w:t>
      </w:r>
      <w:proofErr w:type="spellStart"/>
      <w:r w:rsidRPr="00B871E3">
        <w:t>precoding</w:t>
      </w:r>
      <w:proofErr w:type="spellEnd"/>
      <w:r w:rsidRPr="00B871E3">
        <w:t xml:space="preserve"> (THP) method and the Reed-Solomon (RS) encoding method. The retiming method is based on the </w:t>
      </w:r>
      <w:proofErr w:type="spellStart"/>
      <w:r w:rsidRPr="00B871E3">
        <w:t>Leiserson</w:t>
      </w:r>
      <w:proofErr w:type="spellEnd"/>
      <w:r w:rsidRPr="00B871E3">
        <w:t>-Saxe algorithm, which redistributes registers throughout the data path to mini</w:t>
      </w:r>
      <w:r>
        <w:t xml:space="preserve">mize the critical path delay, </w:t>
      </w:r>
      <w:proofErr w:type="spellStart"/>
      <w:r>
        <w:t>τc</w:t>
      </w:r>
      <w:r w:rsidRPr="00B871E3">
        <w:t>rit</w:t>
      </w:r>
      <w:proofErr w:type="spellEnd"/>
      <w:r w:rsidRPr="00B871E3">
        <w:t>. In this way, the entire DSP operates in eight phases, interleaved, and half-rate so that each phase operates at</w:t>
      </w:r>
      <w:r>
        <w:t xml:space="preserve"> the lower clock frequency of </w:t>
      </w:r>
      <w:proofErr w:type="spellStart"/>
      <w:r>
        <w:t>f</w:t>
      </w:r>
      <w:r w:rsidRPr="00B871E3">
        <w:t>clk</w:t>
      </w:r>
      <w:proofErr w:type="spellEnd"/>
      <w:r w:rsidRPr="00B871E3">
        <w:t xml:space="preserve"> = 3.125 GHz. The half-rate architecture is realized by decomposing the input 200 </w:t>
      </w:r>
      <w:proofErr w:type="spellStart"/>
      <w:r w:rsidRPr="00B871E3">
        <w:t>Gbps</w:t>
      </w:r>
      <w:proofErr w:type="spellEnd"/>
      <w:r w:rsidRPr="00B871E3">
        <w:t xml:space="preserve"> PAM-4 symbol stream into eight parallel lanes, each with a data rate of 25 </w:t>
      </w:r>
      <w:proofErr w:type="spellStart"/>
      <w:r w:rsidRPr="00B871E3">
        <w:t>Gbps</w:t>
      </w:r>
      <w:proofErr w:type="spellEnd"/>
      <w:r w:rsidRPr="00B871E3">
        <w:t>. The retimed data path guarantees that the worst-case combinational delay between any two registers</w:t>
      </w:r>
      <w:r>
        <w:t xml:space="preserve"> is less than 1/</w:t>
      </w:r>
      <w:proofErr w:type="spellStart"/>
      <w:r>
        <w:t>f</w:t>
      </w:r>
      <w:r w:rsidRPr="00B871E3">
        <w:t>clk</w:t>
      </w:r>
      <w:proofErr w:type="spellEnd"/>
      <w:r w:rsidRPr="00B871E3">
        <w:t xml:space="preserve"> = 320 </w:t>
      </w:r>
      <w:proofErr w:type="spellStart"/>
      <w:r w:rsidRPr="00B871E3">
        <w:t>ps</w:t>
      </w:r>
      <w:proofErr w:type="spellEnd"/>
      <w:r w:rsidRPr="00B871E3">
        <w:t xml:space="preserve"> which enables dynamic voltage-frequency scaling (DVFS) to f</w:t>
      </w:r>
      <w:r>
        <w:t>urther reduce power consumption.</w:t>
      </w:r>
    </w:p>
    <w:p w:rsidR="008E2BA4" w:rsidRDefault="00BD60A7" w:rsidP="00FF7CB4">
      <w:pPr>
        <w:jc w:val="center"/>
      </w:pPr>
      <w:r>
        <w:object w:dxaOrig="9968" w:dyaOrig="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29.75pt" o:ole="">
            <v:imagedata r:id="rId8" o:title=""/>
          </v:shape>
          <o:OLEObject Type="Embed" ProgID="Visio.Drawing.11" ShapeID="_x0000_i1025" DrawAspect="Content" ObjectID="_1843641796" r:id="rId9"/>
        </w:object>
      </w:r>
    </w:p>
    <w:p w:rsidR="008E2BA4" w:rsidRDefault="00623860" w:rsidP="009D32ED">
      <w:pPr>
        <w:jc w:val="center"/>
      </w:pPr>
      <w:proofErr w:type="gramStart"/>
      <w:r>
        <w:t>Figure 1.</w:t>
      </w:r>
      <w:proofErr w:type="gramEnd"/>
      <w:r>
        <w:t xml:space="preserve"> Overall High Speed PAM-4 THz Transceiver Architecture</w:t>
      </w:r>
    </w:p>
    <w:p w:rsidR="008E2BA4" w:rsidRPr="00413AAE" w:rsidRDefault="00623860" w:rsidP="009D32ED">
      <w:pPr>
        <w:pStyle w:val="Heading2"/>
        <w:jc w:val="both"/>
        <w:rPr>
          <w:b/>
        </w:rPr>
      </w:pPr>
      <w:bookmarkStart w:id="2" w:name="X608b3a4018a4be0b15bffbf57155bc2f56e8a7f"/>
      <w:r w:rsidRPr="00413AAE">
        <w:rPr>
          <w:b/>
        </w:rPr>
        <w:t>Adaptive-Bias Power Amplifier Array with Discrete Envelope Tracking</w:t>
      </w:r>
    </w:p>
    <w:p w:rsidR="008E2BA4" w:rsidRDefault="00B871E3" w:rsidP="009D32ED">
      <w:pPr>
        <w:jc w:val="both"/>
      </w:pPr>
      <w:r w:rsidRPr="00B871E3">
        <w:rPr>
          <w:rFonts w:hint="eastAsia"/>
        </w:rPr>
        <w:t>The refillable DSP signal output i</w:t>
      </w:r>
      <w:r>
        <w:rPr>
          <w:rFonts w:hint="eastAsia"/>
        </w:rPr>
        <w:t xml:space="preserve">s a sequence of PAM4 symbols, </w:t>
      </w:r>
      <w:proofErr w:type="spellStart"/>
      <w:r>
        <w:rPr>
          <w:rFonts w:hint="eastAsia"/>
        </w:rPr>
        <w:t>S</w:t>
      </w:r>
      <w:r w:rsidRPr="00B871E3">
        <w:rPr>
          <w:rFonts w:hint="eastAsia"/>
        </w:rPr>
        <w:t>k</w:t>
      </w:r>
      <w:proofErr w:type="spellEnd"/>
      <w:proofErr w:type="gramStart"/>
      <w:r w:rsidRPr="00B871E3">
        <w:rPr>
          <w:rFonts w:hint="eastAsia"/>
        </w:rPr>
        <w:t>∈{</w:t>
      </w:r>
      <w:proofErr w:type="gramEnd"/>
      <w:r w:rsidRPr="00B871E3">
        <w:rPr>
          <w:rFonts w:hint="eastAsia"/>
        </w:rPr>
        <w:t>0, 1, 2, 3}, which will act as inputs to the adaptive-bias power amplifier (PA) array -the foundation of the transmitters’ energy efficiency. Instead of employing continuous envelope trac</w:t>
      </w:r>
      <w:r w:rsidRPr="00B871E3">
        <w:t>king for modulation, we've implemented a discrete, symbol-aware biasing s</w:t>
      </w:r>
      <w:r>
        <w:t xml:space="preserve">cheme. The gate bias voltage, </w:t>
      </w:r>
      <w:proofErr w:type="spellStart"/>
      <w:proofErr w:type="gramStart"/>
      <w:r>
        <w:t>V</w:t>
      </w:r>
      <w:r w:rsidRPr="00B871E3">
        <w:t>gate</w:t>
      </w:r>
      <w:proofErr w:type="spellEnd"/>
      <w:r w:rsidRPr="00B871E3">
        <w:t>(</w:t>
      </w:r>
      <w:proofErr w:type="gramEnd"/>
      <w:r w:rsidRPr="00B871E3">
        <w:t>t) will not be an analog waveform, but rather will be represe</w:t>
      </w:r>
      <w:r>
        <w:t xml:space="preserve">nted as digital control word, </w:t>
      </w:r>
      <w:proofErr w:type="spellStart"/>
      <w:r>
        <w:t>D</w:t>
      </w:r>
      <w:r w:rsidRPr="00B871E3">
        <w:t>bias</w:t>
      </w:r>
      <w:proofErr w:type="spellEnd"/>
      <w:r w:rsidRPr="00B871E3">
        <w:t>, that determines which one of four pre-optimized</w:t>
      </w:r>
      <w:r>
        <w:t xml:space="preserve"> bias states, B</w:t>
      </w:r>
      <w:r w:rsidRPr="00B871E3">
        <w:t>i, cor</w:t>
      </w:r>
      <w:r>
        <w:t>responds to the input symbol, S</w:t>
      </w:r>
      <w:r w:rsidRPr="00B871E3">
        <w:t>k. The mappi</w:t>
      </w:r>
      <w:r>
        <w:t>ng function can be expressed as</w:t>
      </w:r>
      <w:r w:rsidR="00623860">
        <w:t>:</w:t>
      </w:r>
    </w:p>
    <w:p w:rsidR="008E2BA4" w:rsidRDefault="006B6A1F" w:rsidP="009D32ED">
      <w:pPr>
        <w:pStyle w:val="BodyText"/>
      </w:pPr>
      <m:oMathPara>
        <m:oMathParaPr>
          <m:jc m:val="center"/>
        </m:oMathParaPr>
        <m:oMath>
          <m:sSub>
            <m:sSubPr>
              <m:ctrlPr>
                <w:rPr>
                  <w:rFonts w:ascii="Cambria Math" w:hAnsi="Cambria Math"/>
                </w:rPr>
              </m:ctrlPr>
            </m:sSubPr>
            <m:e>
              <m:r>
                <w:rPr>
                  <w:rFonts w:ascii="Cambria Math" w:hAnsi="Cambria Math"/>
                </w:rPr>
                <m:t>V</m:t>
              </m:r>
            </m:e>
            <m:sub>
              <m:r>
                <m:rPr>
                  <m:nor/>
                </m:rPr>
                <m:t>gate</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f</m:t>
              </m:r>
            </m:e>
            <m:sub>
              <m:r>
                <m:rPr>
                  <m:nor/>
                </m:rPr>
                <m:t>map</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w:rPr>
              <w:rFonts w:ascii="Cambria Math" w:hAnsi="Cambria Math"/>
            </w:rPr>
            <m:t> </m:t>
          </m:r>
          <m:r>
            <m:rPr>
              <m:nor/>
            </m:rPr>
            <m:t xml:space="preserve">for </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    </m:t>
          </m:r>
          <m:r>
            <m:rPr>
              <m:nor/>
            </m:rPr>
            <m:t xml:space="preserve"> (1)</m:t>
          </m:r>
        </m:oMath>
      </m:oMathPara>
    </w:p>
    <w:p w:rsidR="008E2BA4" w:rsidRDefault="00B27141" w:rsidP="009D32ED">
      <w:pPr>
        <w:jc w:val="both"/>
      </w:pPr>
      <w:r>
        <w:lastRenderedPageBreak/>
        <w:t xml:space="preserve">The </w:t>
      </w:r>
      <w:proofErr w:type="spellStart"/>
      <w:r>
        <w:t>f</w:t>
      </w:r>
      <w:r w:rsidRPr="00B27141">
        <w:t>"map</w:t>
      </w:r>
      <w:proofErr w:type="spellEnd"/>
      <w:r w:rsidRPr="00B27141">
        <w:t>" is an LUT that will be used to determine what will be the bias voltage for each level of symbol represented in the modulation scheme. Biasing is done at the same time for each of the four biasing states B0-B3 during the characterization process once before the devices are put into operation and then maximized at the PA for each output power level in order to achieve the maximum PA efficiency (PAE). As an illustration, the bias point</w:t>
      </w:r>
      <w:r>
        <w:t xml:space="preserve"> or quiescent point at symbol </w:t>
      </w:r>
      <w:proofErr w:type="spellStart"/>
      <w:proofErr w:type="gramStart"/>
      <w:r>
        <w:t>S</w:t>
      </w:r>
      <w:r w:rsidRPr="00B27141">
        <w:t>k</w:t>
      </w:r>
      <w:proofErr w:type="spellEnd"/>
      <w:proofErr w:type="gramEnd"/>
      <w:r w:rsidRPr="00B27141">
        <w:t xml:space="preserve"> represents the lowest level (i</w:t>
      </w:r>
      <w:r>
        <w:t xml:space="preserve">.e., </w:t>
      </w:r>
      <w:proofErr w:type="spellStart"/>
      <w:r>
        <w:t>S</w:t>
      </w:r>
      <w:r w:rsidRPr="00B27141">
        <w:t>k</w:t>
      </w:r>
      <w:proofErr w:type="spellEnd"/>
      <w:r w:rsidRPr="00B27141">
        <w:t xml:space="preserve"> = 0), will have the PA biased at or near a class-C operation in order to achieve a minimal quiescent power consumption</w:t>
      </w:r>
      <w:r>
        <w:t xml:space="preserve">. On the other hand, a symbol </w:t>
      </w:r>
      <w:proofErr w:type="spellStart"/>
      <w:proofErr w:type="gramStart"/>
      <w:r>
        <w:t>Sk</w:t>
      </w:r>
      <w:proofErr w:type="spellEnd"/>
      <w:proofErr w:type="gramEnd"/>
      <w:r>
        <w:t xml:space="preserve"> (where </w:t>
      </w:r>
      <w:proofErr w:type="spellStart"/>
      <w:r>
        <w:t>S</w:t>
      </w:r>
      <w:r w:rsidRPr="00B27141">
        <w:t>k</w:t>
      </w:r>
      <w:proofErr w:type="spellEnd"/>
      <w:r w:rsidRPr="00B27141">
        <w:t xml:space="preserve"> = 3), will have the PA biased in a normal class-AB mode producing maximum linear output power. The discrete nature of these methods eliminate the high-bandwidth, linear analog envelope modulator often used with traditional continuous envelope tracking systems that can consume a significant amount of power and contribute to the increased complexity of creat</w:t>
      </w:r>
      <w:r>
        <w:t>ing an envelope-tracking device</w:t>
      </w:r>
      <w:r w:rsidR="00623860">
        <w:t>.</w:t>
      </w:r>
    </w:p>
    <w:p w:rsidR="008E2BA4" w:rsidRDefault="00B27141" w:rsidP="009D32ED">
      <w:pPr>
        <w:pStyle w:val="BodyText"/>
      </w:pPr>
      <w:r w:rsidRPr="00B27141">
        <w:t xml:space="preserve">A PA array has </w:t>
      </w:r>
      <w:proofErr w:type="spellStart"/>
      <w:r w:rsidRPr="00B27141">
        <w:t>Nunit</w:t>
      </w:r>
      <w:proofErr w:type="spellEnd"/>
      <w:r w:rsidRPr="00B27141">
        <w:t xml:space="preserve"> =16 PA units and is designed to output a nominal power of </w:t>
      </w:r>
      <w:proofErr w:type="spellStart"/>
      <w:r w:rsidRPr="00B27141">
        <w:t>Pnom</w:t>
      </w:r>
      <w:proofErr w:type="spellEnd"/>
      <w:r w:rsidRPr="00B27141">
        <w:t xml:space="preserve"> =12.5 </w:t>
      </w:r>
      <w:proofErr w:type="spellStart"/>
      <w:r w:rsidRPr="00B27141">
        <w:t>mW</w:t>
      </w:r>
      <w:proofErr w:type="spellEnd"/>
      <w:r w:rsidRPr="00B27141">
        <w:t xml:space="preserve">. The PAs are connected into a combiner using Wilkinson techniques, delivering a total output power of </w:t>
      </w:r>
      <w:proofErr w:type="spellStart"/>
      <w:proofErr w:type="gramStart"/>
      <w:r w:rsidRPr="00B27141">
        <w:t>Psat</w:t>
      </w:r>
      <w:proofErr w:type="spellEnd"/>
      <w:proofErr w:type="gramEnd"/>
      <w:r w:rsidRPr="00B27141">
        <w:t xml:space="preserve"> =200 </w:t>
      </w:r>
      <w:proofErr w:type="spellStart"/>
      <w:r w:rsidRPr="00B27141">
        <w:t>mW</w:t>
      </w:r>
      <w:proofErr w:type="spellEnd"/>
      <w:r w:rsidRPr="00B27141">
        <w:t xml:space="preserve"> (23 </w:t>
      </w:r>
      <w:proofErr w:type="spellStart"/>
      <w:r w:rsidRPr="00B27141">
        <w:t>dBm</w:t>
      </w:r>
      <w:proofErr w:type="spellEnd"/>
      <w:r w:rsidRPr="00B27141">
        <w:t xml:space="preserve">). The bias state </w:t>
      </w:r>
      <w:proofErr w:type="spellStart"/>
      <w:r w:rsidRPr="00B27141">
        <w:t>B_i</w:t>
      </w:r>
      <w:proofErr w:type="spellEnd"/>
      <w:r w:rsidRPr="00B27141">
        <w:t xml:space="preserve"> is applied to all units in the array consistently so the entire array has the same efficiency at the same time for a given symbol. The complete transmitter sub-system, which includes the retimed digital signal processor (DSP) and adaptive-bias</w:t>
      </w:r>
      <w:r>
        <w:t xml:space="preserve"> PA array, is shown in Figure 2</w:t>
      </w:r>
      <w:r w:rsidR="00623860">
        <w:t>.</w:t>
      </w:r>
    </w:p>
    <w:p w:rsidR="00EE2AC7" w:rsidRDefault="00EE2AC7" w:rsidP="00EE2AC7">
      <w:pPr>
        <w:pStyle w:val="BodyText"/>
        <w:jc w:val="center"/>
      </w:pPr>
      <w:r>
        <w:object w:dxaOrig="9224" w:dyaOrig="4071">
          <v:shape id="_x0000_i1026" type="#_x0000_t75" style="width:252pt;height:150pt" o:ole="">
            <v:imagedata r:id="rId10" o:title=""/>
          </v:shape>
          <o:OLEObject Type="Embed" ProgID="Visio.Drawing.11" ShapeID="_x0000_i1026" DrawAspect="Content" ObjectID="_1843641797" r:id="rId11"/>
        </w:object>
      </w:r>
    </w:p>
    <w:p w:rsidR="008E2BA4" w:rsidRDefault="00623860" w:rsidP="00EE2AC7">
      <w:pPr>
        <w:pStyle w:val="BodyText"/>
        <w:jc w:val="center"/>
      </w:pPr>
      <w:proofErr w:type="gramStart"/>
      <w:r>
        <w:t>Figure 2.</w:t>
      </w:r>
      <w:proofErr w:type="gramEnd"/>
      <w:r>
        <w:t xml:space="preserve"> Transmitter Subsystem with Adaptive Bias PA and Retimed DSP</w:t>
      </w:r>
    </w:p>
    <w:p w:rsidR="008E2BA4" w:rsidRPr="00413AAE" w:rsidRDefault="00623860" w:rsidP="009D32ED">
      <w:pPr>
        <w:pStyle w:val="Heading2"/>
        <w:jc w:val="both"/>
        <w:rPr>
          <w:b/>
        </w:rPr>
      </w:pPr>
      <w:bookmarkStart w:id="3" w:name="X64b9603b32b5426d1f39cb96ca8d1f18c3b4425"/>
      <w:bookmarkEnd w:id="2"/>
      <w:r w:rsidRPr="00413AAE">
        <w:rPr>
          <w:b/>
        </w:rPr>
        <w:t>Pipeline-Retimed Digital Signal Processing Datapath</w:t>
      </w:r>
    </w:p>
    <w:p w:rsidR="008E2BA4" w:rsidRDefault="00B27141" w:rsidP="009D32ED">
      <w:pPr>
        <w:jc w:val="both"/>
      </w:pPr>
      <w:r w:rsidRPr="00B27141">
        <w:t xml:space="preserve">To allow for the design of a fully clocked digital baseband data path, a global clocking is used within one clock domain. A THP feedback loop dominates the critical path in the traditional flat structure because both the subtraction and design modulus operations are executed in one clock cycle. To achieve this, a global retiming transformation is used on the data path, using the </w:t>
      </w:r>
      <w:proofErr w:type="spellStart"/>
      <w:r w:rsidRPr="00B27141">
        <w:t>Leiserson</w:t>
      </w:r>
      <w:proofErr w:type="spellEnd"/>
      <w:r w:rsidRPr="00B27141">
        <w:t xml:space="preserve">−Saxe algorithm. The characteristics of the data path are modeled as a directed, weighted graph </w:t>
      </w:r>
      <w:proofErr w:type="gramStart"/>
      <w:r w:rsidRPr="00B27141">
        <w:t>G(</w:t>
      </w:r>
      <w:proofErr w:type="gramEnd"/>
      <w:r w:rsidRPr="00B27141">
        <w:t>V,E), where every verte</w:t>
      </w:r>
      <w:r w:rsidRPr="00B27141">
        <w:rPr>
          <w:rFonts w:hint="eastAsia"/>
        </w:rPr>
        <w:t xml:space="preserve">x </w:t>
      </w:r>
      <w:proofErr w:type="spellStart"/>
      <w:r w:rsidRPr="00B27141">
        <w:rPr>
          <w:rFonts w:hint="eastAsia"/>
        </w:rPr>
        <w:t>v∈V</w:t>
      </w:r>
      <w:proofErr w:type="spellEnd"/>
      <w:r w:rsidRPr="00B27141">
        <w:rPr>
          <w:rFonts w:hint="eastAsia"/>
        </w:rPr>
        <w:t xml:space="preserve"> represents a combinational logic block for which there is time delay d(v) and every edge </w:t>
      </w:r>
      <w:proofErr w:type="spellStart"/>
      <w:r w:rsidRPr="00B27141">
        <w:rPr>
          <w:rFonts w:hint="eastAsia"/>
        </w:rPr>
        <w:t>e∈E</w:t>
      </w:r>
      <w:proofErr w:type="spellEnd"/>
      <w:r w:rsidRPr="00B27141">
        <w:rPr>
          <w:rFonts w:hint="eastAsia"/>
        </w:rPr>
        <w:t xml:space="preserve"> represents a register with a weight w(e). The retiming procedure reschedules the registers by solving the difference constraints</w:t>
      </w:r>
      <w:r w:rsidR="00623860">
        <w:t>:</w:t>
      </w:r>
    </w:p>
    <w:p w:rsidR="008E2BA4" w:rsidRDefault="00623860" w:rsidP="009D32ED">
      <w:pPr>
        <w:pStyle w:val="BodyText"/>
      </w:pPr>
      <m:oMathPara>
        <m:oMathParaPr>
          <m:jc m:val="center"/>
        </m:oMathParaPr>
        <m:oMath>
          <m:r>
            <w:rPr>
              <w:rFonts w:ascii="Cambria Math" w:hAnsi="Cambria Math"/>
            </w:rPr>
            <m:t>r</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E    </m:t>
          </m:r>
          <m:r>
            <m:rPr>
              <m:nor/>
            </m:rPr>
            <m:t xml:space="preserve"> (2)</m:t>
          </m:r>
        </m:oMath>
      </m:oMathPara>
    </w:p>
    <w:p w:rsidR="008E2BA4" w:rsidRDefault="00623860" w:rsidP="009D32ED">
      <w:pPr>
        <w:jc w:val="both"/>
      </w:pPr>
      <w:proofErr w:type="gramStart"/>
      <w:r>
        <w:t>w</w:t>
      </w:r>
      <w:r w:rsidR="00050C92" w:rsidRPr="00050C92">
        <w:t>here</w:t>
      </w:r>
      <w:proofErr w:type="gramEnd"/>
      <w:r w:rsidR="00050C92" w:rsidRPr="00050C92">
        <w:t xml:space="preserve"> the retiming value on a node, denoted by r(v), is the number of flip-flops moved backward along the edges of the </w:t>
      </w:r>
      <w:r w:rsidR="00050C92" w:rsidRPr="00050C92">
        <w:lastRenderedPageBreak/>
        <w:t xml:space="preserve">graph that represent vertex v. The optimization is to minimize the overall maximum delay of all paths (P) with zero flip-flop weight when using the retimed </w:t>
      </w:r>
      <w:proofErr w:type="spellStart"/>
      <w:r w:rsidR="00050C92" w:rsidRPr="00050C92">
        <w:t>datapath</w:t>
      </w:r>
      <w:proofErr w:type="spellEnd"/>
      <w:r w:rsidR="00050C92" w:rsidRPr="00050C92">
        <w:t>.</w:t>
      </w:r>
      <w:r w:rsidR="00050C92">
        <w:t xml:space="preserve"> </w:t>
      </w:r>
      <m:oMath>
        <m:sSub>
          <m:sSubPr>
            <m:ctrlPr>
              <w:rPr>
                <w:rFonts w:ascii="Cambria Math" w:hAnsi="Cambria Math"/>
              </w:rPr>
            </m:ctrlPr>
          </m:sSubPr>
          <m:e>
            <m:r>
              <w:rPr>
                <w:rFonts w:ascii="Cambria Math" w:hAnsi="Cambria Math"/>
              </w:rPr>
              <m:t>τ</m:t>
            </m:r>
          </m:e>
          <m:sub>
            <m:r>
              <m:rPr>
                <m:nor/>
              </m:rPr>
              <m:t>crit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max</m:t>
            </m:r>
          </m:e>
          <m:sub>
            <m:r>
              <w:rPr>
                <w:rFonts w:ascii="Cambria Math" w:hAnsi="Cambria Math"/>
              </w:rPr>
              <m:t>p</m:t>
            </m:r>
            <m:r>
              <m:rPr>
                <m:sty m:val="p"/>
              </m:rPr>
              <w:rPr>
                <w:rFonts w:ascii="Cambria Math" w:hAnsi="Cambria Math"/>
              </w:rPr>
              <m:t>∈</m:t>
            </m:r>
            <m:r>
              <w:rPr>
                <w:rFonts w:ascii="Cambria Math" w:hAnsi="Cambria Math"/>
              </w:rPr>
              <m:t>P</m:t>
            </m:r>
          </m:sub>
        </m:sSub>
        <m:nary>
          <m:naryPr>
            <m:chr m:val="∑"/>
            <m:limLoc m:val="undOvr"/>
            <m:supHide m:val="on"/>
            <m:ctrlPr>
              <w:rPr>
                <w:rFonts w:ascii="Cambria Math" w:hAnsi="Cambria Math"/>
              </w:rPr>
            </m:ctrlPr>
          </m:naryPr>
          <m:sub>
            <m:r>
              <w:rPr>
                <w:rFonts w:ascii="Cambria Math" w:hAnsi="Cambria Math"/>
              </w:rPr>
              <m:t>v</m:t>
            </m:r>
            <m:r>
              <m:rPr>
                <m:sty m:val="p"/>
              </m:rPr>
              <w:rPr>
                <w:rFonts w:ascii="Cambria Math" w:hAnsi="Cambria Math"/>
              </w:rPr>
              <m:t>∈</m:t>
            </m:r>
            <m:r>
              <w:rPr>
                <w:rFonts w:ascii="Cambria Math" w:hAnsi="Cambria Math"/>
              </w:rPr>
              <m:t>p</m:t>
            </m:r>
          </m:sub>
          <m:sup>
            <m:r>
              <w:rPr>
                <w:rFonts w:ascii="Cambria Math" w:hAnsi="Cambria Math"/>
              </w:rPr>
              <m:t>​</m:t>
            </m:r>
          </m:sup>
          <m:e>
            <m:r>
              <w:rPr>
                <w:rFonts w:ascii="Cambria Math" w:hAnsi="Cambria Math"/>
              </w:rPr>
              <m:t>d</m:t>
            </m:r>
          </m:e>
        </m:nary>
        <m:r>
          <m:rPr>
            <m:sty m:val="p"/>
          </m:rPr>
          <w:rPr>
            <w:rFonts w:ascii="Cambria Math" w:hAnsi="Cambria Math"/>
          </w:rPr>
          <m:t>(</m:t>
        </m:r>
        <m:r>
          <w:rPr>
            <w:rFonts w:ascii="Cambria Math" w:hAnsi="Cambria Math"/>
          </w:rPr>
          <m:t>v</m:t>
        </m:r>
        <m:r>
          <m:rPr>
            <m:sty m:val="p"/>
          </m:rPr>
          <w:rPr>
            <w:rFonts w:ascii="Cambria Math" w:hAnsi="Cambria Math"/>
          </w:rPr>
          <m:t>)</m:t>
        </m:r>
      </m:oMath>
      <w:r>
        <w:t xml:space="preserve">, </w:t>
      </w:r>
      <w:r w:rsidR="00050C92" w:rsidRPr="00050C92">
        <w:t xml:space="preserve">The final result will yield a new arrangement for the placement of flip-flops that reduces the maximum delay of the critical </w:t>
      </w:r>
      <w:proofErr w:type="spellStart"/>
      <w:r w:rsidR="00050C92" w:rsidRPr="00050C92">
        <w:t>datapath</w:t>
      </w:r>
      <w:proofErr w:type="spellEnd"/>
      <w:r w:rsidR="00050C92" w:rsidRPr="00050C92">
        <w:t xml:space="preserve">, </w:t>
      </w:r>
      <w:proofErr w:type="spellStart"/>
      <w:r w:rsidR="00050C92" w:rsidRPr="00050C92">
        <w:t>τ_"crit</w:t>
      </w:r>
      <w:proofErr w:type="spellEnd"/>
      <w:r w:rsidR="00050C92" w:rsidRPr="00050C92">
        <w:t xml:space="preserve">", from 450 </w:t>
      </w:r>
      <w:proofErr w:type="spellStart"/>
      <w:r w:rsidR="00050C92" w:rsidRPr="00050C92">
        <w:t>ps</w:t>
      </w:r>
      <w:proofErr w:type="spellEnd"/>
      <w:r w:rsidR="00050C92" w:rsidRPr="00050C92">
        <w:t xml:space="preserve"> (for the flat implementation) to 280 ps. This will allow for the use of a half-rate architecture, where the </w:t>
      </w:r>
      <w:proofErr w:type="spellStart"/>
      <w:r w:rsidR="00050C92" w:rsidRPr="00050C92">
        <w:t>datapath</w:t>
      </w:r>
      <w:proofErr w:type="spellEnd"/>
      <w:r w:rsidR="00050C92" w:rsidRPr="00050C92">
        <w:t xml:space="preserve"> is divided into 8 interleaved lanes, each operating at 3.125 GHz. In addition, a retimed </w:t>
      </w:r>
      <w:proofErr w:type="spellStart"/>
      <w:r w:rsidR="00050C92" w:rsidRPr="00050C92">
        <w:t>datapath</w:t>
      </w:r>
      <w:proofErr w:type="spellEnd"/>
      <w:r w:rsidR="00050C92" w:rsidRPr="00050C92">
        <w:t xml:space="preserve"> will include the use of RS encoding, which will be performed using a parallelized </w:t>
      </w:r>
      <w:r w:rsidR="00050C92" w:rsidRPr="00050C92">
        <w:lastRenderedPageBreak/>
        <w:t xml:space="preserve">version of the </w:t>
      </w:r>
      <w:proofErr w:type="spellStart"/>
      <w:r w:rsidR="00050C92" w:rsidRPr="00050C92">
        <w:t>Berlekamp</w:t>
      </w:r>
      <w:proofErr w:type="spellEnd"/>
      <w:r w:rsidR="00050C92" w:rsidRPr="00050C92">
        <w:t>-Massey algorithm that can opera</w:t>
      </w:r>
      <w:r w:rsidR="00050C92">
        <w:t>te within the new timing budget</w:t>
      </w:r>
      <w:r>
        <w:t>.</w:t>
      </w:r>
    </w:p>
    <w:p w:rsidR="008E2BA4" w:rsidRDefault="00623860" w:rsidP="009D32ED">
      <w:pPr>
        <w:pStyle w:val="Heading2"/>
        <w:jc w:val="both"/>
      </w:pPr>
      <w:bookmarkStart w:id="4" w:name="X9caed8dda21072831d1e97210998e14eafecf31"/>
      <w:bookmarkEnd w:id="3"/>
      <w:r>
        <w:t>Receiver Subsystem: Time-Interleaved SAR ADC and ILRO-Based CDR</w:t>
      </w:r>
    </w:p>
    <w:p w:rsidR="008E2BA4" w:rsidRDefault="00050C92" w:rsidP="009D32ED">
      <w:pPr>
        <w:jc w:val="both"/>
      </w:pPr>
      <w:r w:rsidRPr="00050C92">
        <w:t>The process of receiving starts with a 32-channel time-interleaved successive approximation register (TI-SAR) ADC</w:t>
      </w:r>
      <w:r w:rsidR="00623860">
        <w:t xml:space="preserve"> converter (ADC) that samples the incoming PAM-4 signal at 200 GS/s with 8-bit resolution. The ADC architecture is shown in Figure 3, which details the 32 interleaved channels and the background calibration feedback loop.</w:t>
      </w:r>
    </w:p>
    <w:p w:rsidR="000460ED" w:rsidRDefault="000460ED" w:rsidP="009D32ED">
      <w:pPr>
        <w:jc w:val="both"/>
        <w:sectPr w:rsidR="000460ED" w:rsidSect="000460ED">
          <w:type w:val="continuous"/>
          <w:pgSz w:w="12240" w:h="15840" w:code="1"/>
          <w:pgMar w:top="960" w:right="960" w:bottom="960" w:left="960" w:header="540" w:footer="540" w:gutter="0"/>
          <w:cols w:num="2" w:space="240"/>
        </w:sectPr>
      </w:pPr>
    </w:p>
    <w:p w:rsidR="008E2BA4" w:rsidRDefault="008E2BA4" w:rsidP="00050C92"/>
    <w:p w:rsidR="00E44873" w:rsidRDefault="00E44873" w:rsidP="009D32ED">
      <w:pPr>
        <w:jc w:val="both"/>
      </w:pPr>
    </w:p>
    <w:p w:rsidR="00B85875" w:rsidRDefault="00413AAE" w:rsidP="00EE2AC7">
      <w:pPr>
        <w:jc w:val="center"/>
        <w:rPr>
          <w:noProof/>
        </w:rPr>
      </w:pPr>
      <w:r>
        <w:object w:dxaOrig="9590" w:dyaOrig="4544">
          <v:shape id="_x0000_i1027" type="#_x0000_t75" style="width:252pt;height:119.25pt" o:ole="">
            <v:imagedata r:id="rId12" o:title=""/>
          </v:shape>
          <o:OLEObject Type="Embed" ProgID="Visio.Drawing.11" ShapeID="_x0000_i1027" DrawAspect="Content" ObjectID="_1843641798" r:id="rId13"/>
        </w:object>
      </w:r>
    </w:p>
    <w:p w:rsidR="00EE2AC7" w:rsidRDefault="00146D4A" w:rsidP="00EE2AC7">
      <w:pPr>
        <w:jc w:val="center"/>
      </w:pPr>
      <w:proofErr w:type="gramStart"/>
      <w:r>
        <w:t>Figure 3.</w:t>
      </w:r>
      <w:proofErr w:type="gramEnd"/>
      <w:r>
        <w:t xml:space="preserve"> Receiver Subsystem with Time Interleaved ADC and ILRO CDR</w:t>
      </w:r>
    </w:p>
    <w:p w:rsidR="008E2BA4" w:rsidRDefault="00050C92" w:rsidP="009D32ED">
      <w:pPr>
        <w:pStyle w:val="BodyText"/>
      </w:pPr>
      <w:r w:rsidRPr="00050C92">
        <w:t>Each channel of the TI</w:t>
      </w:r>
      <w:r>
        <w:t xml:space="preserve">-SAR ADC samples at a rate of </w:t>
      </w:r>
      <w:proofErr w:type="spellStart"/>
      <w:r>
        <w:t>f</w:t>
      </w:r>
      <w:r w:rsidRPr="00050C92">
        <w:t>s</w:t>
      </w:r>
      <w:proofErr w:type="spellEnd"/>
      <w:r w:rsidRPr="00050C92">
        <w:t xml:space="preserve">/32=6.25 GS/s using a binary weighted capacitor array that </w:t>
      </w:r>
      <w:r>
        <w:t>has a unit capacitor value of C</w:t>
      </w:r>
      <w:r w:rsidRPr="00050C92">
        <w:t xml:space="preserve">u=1 </w:t>
      </w:r>
      <w:proofErr w:type="spellStart"/>
      <w:r w:rsidRPr="00050C92">
        <w:t>fF.</w:t>
      </w:r>
      <w:proofErr w:type="spellEnd"/>
      <w:r w:rsidRPr="00050C92">
        <w:t xml:space="preserve"> The main difficulty in this type </w:t>
      </w:r>
      <w:r>
        <w:t xml:space="preserve">of design is the timing skew </w:t>
      </w:r>
      <w:proofErr w:type="spellStart"/>
      <w:r>
        <w:t>Δt</w:t>
      </w:r>
      <w:r w:rsidRPr="00050C92">
        <w:t>k</w:t>
      </w:r>
      <w:proofErr w:type="spellEnd"/>
      <w:r w:rsidRPr="00050C92">
        <w:t xml:space="preserve"> between the k-</w:t>
      </w:r>
      <w:proofErr w:type="spellStart"/>
      <w:r w:rsidRPr="00050C92">
        <w:t>th</w:t>
      </w:r>
      <w:proofErr w:type="spellEnd"/>
      <w:r w:rsidRPr="00050C92">
        <w:t xml:space="preserve"> channel and the ideal sampling time. To overcome this challenge, we utilize a background digital calibrat</w:t>
      </w:r>
      <w:r>
        <w:t xml:space="preserve">ion algorithm to derive </w:t>
      </w:r>
      <w:proofErr w:type="spellStart"/>
      <w:r>
        <w:t>Δt</w:t>
      </w:r>
      <w:r w:rsidRPr="00050C92">
        <w:t>k</w:t>
      </w:r>
      <w:proofErr w:type="spellEnd"/>
      <w:r w:rsidRPr="00050C92">
        <w:t xml:space="preserve"> (the timing skew) from the analysis of side-band tones generated by injecting a known test tone into the TI-SAR ADCs at DC and </w:t>
      </w:r>
      <w:proofErr w:type="spellStart"/>
      <w:r w:rsidRPr="00050C92">
        <w:t>Nyquist</w:t>
      </w:r>
      <w:proofErr w:type="spellEnd"/>
      <w:r w:rsidRPr="00050C92">
        <w:t xml:space="preserve">/2 frequencies. During the calibration process, a known </w:t>
      </w:r>
      <w:r>
        <w:t xml:space="preserve">test tone of frequency </w:t>
      </w:r>
      <w:proofErr w:type="spellStart"/>
      <w:r>
        <w:t>ftest</w:t>
      </w:r>
      <w:proofErr w:type="spellEnd"/>
      <w:r>
        <w:t>=</w:t>
      </w:r>
      <w:proofErr w:type="spellStart"/>
      <w:r>
        <w:t>f</w:t>
      </w:r>
      <w:r w:rsidRPr="00050C92">
        <w:t>s</w:t>
      </w:r>
      <w:proofErr w:type="spellEnd"/>
      <w:r w:rsidRPr="00050C92">
        <w:t>/2=100 GHz (</w:t>
      </w:r>
      <w:proofErr w:type="spellStart"/>
      <w:r w:rsidRPr="00050C92">
        <w:t>Nyquist</w:t>
      </w:r>
      <w:proofErr w:type="spellEnd"/>
      <w:r w:rsidRPr="00050C92">
        <w:t>/2) is injected with a DC offset. The output spectrum of the TI-SAR ADC exhibits spurious tones due to timing skew at the following fr</w:t>
      </w:r>
      <w:r>
        <w:t xml:space="preserve">equencies: </w:t>
      </w:r>
      <w:proofErr w:type="spellStart"/>
      <w:r>
        <w:t>fspur,k</w:t>
      </w:r>
      <w:proofErr w:type="spellEnd"/>
      <w:r>
        <w:t>=</w:t>
      </w:r>
      <w:proofErr w:type="spellStart"/>
      <w:r>
        <w:t>ftest±k</w:t>
      </w:r>
      <w:proofErr w:type="spellEnd"/>
      <w:r>
        <w:t>·(</w:t>
      </w:r>
      <w:proofErr w:type="spellStart"/>
      <w:r>
        <w:t>f</w:t>
      </w:r>
      <w:r w:rsidRPr="00050C92">
        <w:t>s</w:t>
      </w:r>
      <w:proofErr w:type="spellEnd"/>
      <w:r w:rsidRPr="00050C92">
        <w:t xml:space="preserve">/32). The amplitude of the spurious signal is directly proportional to </w:t>
      </w:r>
      <w:proofErr w:type="gramStart"/>
      <w:r w:rsidRPr="00050C92">
        <w:t>sin</w:t>
      </w:r>
      <w:r>
        <w:t>(</w:t>
      </w:r>
      <w:proofErr w:type="spellStart"/>
      <w:proofErr w:type="gramEnd"/>
      <w:r>
        <w:t>πΔtk</w:t>
      </w:r>
      <w:proofErr w:type="spellEnd"/>
      <w:r>
        <w:t xml:space="preserve"> </w:t>
      </w:r>
      <w:proofErr w:type="spellStart"/>
      <w:r>
        <w:t>f</w:t>
      </w:r>
      <w:r w:rsidRPr="00050C92">
        <w:t>test</w:t>
      </w:r>
      <w:proofErr w:type="spellEnd"/>
      <w:r w:rsidRPr="00050C92">
        <w:t>). The calibration algorit</w:t>
      </w:r>
      <w:r>
        <w:t xml:space="preserve">hm estimates the timing skew </w:t>
      </w:r>
      <w:proofErr w:type="spellStart"/>
      <w:r>
        <w:t>Δt</w:t>
      </w:r>
      <w:r w:rsidRPr="00050C92">
        <w:t>k</w:t>
      </w:r>
      <w:proofErr w:type="spellEnd"/>
      <w:r w:rsidRPr="00050C92">
        <w:t xml:space="preserve"> by </w:t>
      </w:r>
      <w:proofErr w:type="spellStart"/>
      <w:r w:rsidRPr="00050C92">
        <w:t>minimising</w:t>
      </w:r>
      <w:proofErr w:type="spellEnd"/>
      <w:r w:rsidRPr="00050C92">
        <w:t xml:space="preserve"> the power of the spurious signal</w:t>
      </w:r>
      <w:r w:rsidR="00623860">
        <w:t>:</w:t>
      </w:r>
    </w:p>
    <w:p w:rsidR="008E2BA4" w:rsidRDefault="006B6A1F">
      <w:pPr>
        <w:pStyle w:val="BodyText"/>
      </w:pPr>
      <m:oMathPara>
        <m:oMathParaPr>
          <m:jc m:val="center"/>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Δ</m:t>
                  </m:r>
                  <m:r>
                    <w:rPr>
                      <w:rFonts w:ascii="Cambria Math" w:hAnsi="Cambria Math"/>
                    </w:rPr>
                    <m:t>t</m:t>
                  </m:r>
                </m:e>
              </m:acc>
            </m:e>
            <m:sub>
              <m:r>
                <w:rPr>
                  <w:rFonts w:ascii="Cambria Math" w:hAnsi="Cambria Math"/>
                </w:rPr>
                <m:t>k</m:t>
              </m:r>
            </m:sub>
          </m:sSub>
          <m:r>
            <m:rPr>
              <m:sty m:val="p"/>
            </m:rPr>
            <w:rPr>
              <w:rFonts w:ascii="Cambria Math" w:hAnsi="Cambria Math"/>
            </w:rPr>
            <m:t>=arg</m:t>
          </m:r>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Δ</m:t>
              </m:r>
              <m:r>
                <w:rPr>
                  <w:rFonts w:ascii="Cambria Math" w:hAnsi="Cambria Math"/>
                </w:rPr>
                <m:t>t</m:t>
              </m:r>
            </m:lim>
          </m:limLow>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w:rPr>
                          <w:rFonts w:ascii="Cambria Math" w:hAnsi="Cambria Math"/>
                        </w:rPr>
                        <m:t>N</m:t>
                      </m:r>
                      <m:r>
                        <m:rPr>
                          <m:sty m:val="p"/>
                        </m:rP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x</m:t>
                          </m:r>
                        </m:e>
                        <m:sub>
                          <m:r>
                            <w:rPr>
                              <w:rFonts w:ascii="Cambria Math" w:hAnsi="Cambria Math"/>
                            </w:rPr>
                            <m:t>k</m:t>
                          </m:r>
                        </m:sub>
                      </m:sSub>
                    </m:e>
                  </m:nary>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j2π</m:t>
                      </m:r>
                      <m:sSub>
                        <m:sSubPr>
                          <m:ctrlPr>
                            <w:rPr>
                              <w:rFonts w:ascii="Cambria Math" w:hAnsi="Cambria Math"/>
                            </w:rPr>
                          </m:ctrlPr>
                        </m:sSubPr>
                        <m:e>
                          <m:r>
                            <w:rPr>
                              <w:rFonts w:ascii="Cambria Math" w:hAnsi="Cambria Math"/>
                            </w:rPr>
                            <m:t>f</m:t>
                          </m:r>
                        </m:e>
                        <m:sub>
                          <m:r>
                            <m:rPr>
                              <m:nor/>
                            </m:rPr>
                            <m:t>spur</m:t>
                          </m:r>
                          <m:r>
                            <m:rPr>
                              <m:sty m:val="p"/>
                            </m:rPr>
                            <w:rPr>
                              <w:rFonts w:ascii="Cambria Math" w:hAnsi="Cambria Math"/>
                            </w:rPr>
                            <m:t>,</m:t>
                          </m:r>
                          <m:r>
                            <w:rPr>
                              <w:rFonts w:ascii="Cambria Math" w:hAnsi="Cambria Math"/>
                            </w:rPr>
                            <m:t>k</m:t>
                          </m:r>
                        </m:sub>
                      </m:sSub>
                      <m:r>
                        <w:rPr>
                          <w:rFonts w:ascii="Cambria Math" w:hAnsi="Cambria Math"/>
                        </w:rPr>
                        <m:t>n</m:t>
                      </m:r>
                      <m:sSub>
                        <m:sSubPr>
                          <m:ctrlPr>
                            <w:rPr>
                              <w:rFonts w:ascii="Cambria Math" w:hAnsi="Cambria Math"/>
                            </w:rPr>
                          </m:ctrlPr>
                        </m:sSubPr>
                        <m:e>
                          <m:r>
                            <w:rPr>
                              <w:rFonts w:ascii="Cambria Math" w:hAnsi="Cambria Math"/>
                            </w:rPr>
                            <m:t>T</m:t>
                          </m:r>
                        </m:e>
                        <m:sub>
                          <m:r>
                            <w:rPr>
                              <w:rFonts w:ascii="Cambria Math" w:hAnsi="Cambria Math"/>
                            </w:rPr>
                            <m:t>s</m:t>
                          </m:r>
                        </m:sub>
                      </m:sSub>
                    </m:sup>
                  </m:sSup>
                </m:e>
              </m:d>
            </m:e>
            <m:sup>
              <m:r>
                <w:rPr>
                  <w:rFonts w:ascii="Cambria Math" w:hAnsi="Cambria Math"/>
                </w:rPr>
                <m:t>2</m:t>
              </m:r>
            </m:sup>
          </m:sSup>
          <m:r>
            <w:rPr>
              <w:rFonts w:ascii="Cambria Math" w:hAnsi="Cambria Math"/>
            </w:rPr>
            <m:t>    </m:t>
          </m:r>
          <m:r>
            <m:rPr>
              <m:nor/>
            </m:rPr>
            <m:t xml:space="preserve"> (3)</m:t>
          </m:r>
        </m:oMath>
      </m:oMathPara>
    </w:p>
    <w:p w:rsidR="004F4880" w:rsidRDefault="00050C92" w:rsidP="004F4880">
      <w:pPr>
        <w:jc w:val="both"/>
      </w:pPr>
      <w:r w:rsidRPr="00050C92">
        <w:t>The analog-to-digital (A/D) conversion occurs for each channel for the k-</w:t>
      </w:r>
      <w:proofErr w:type="spellStart"/>
      <w:r w:rsidRPr="00050C92">
        <w:t>th</w:t>
      </w:r>
      <w:proofErr w:type="spellEnd"/>
      <w:r w:rsidRPr="00050C92">
        <w:t xml:space="preserve"> channel (k=1...F) at a sampling instance n (</w:t>
      </w:r>
      <w:proofErr w:type="spellStart"/>
      <w:r w:rsidRPr="00050C92">
        <w:t>x_k</w:t>
      </w:r>
      <w:proofErr w:type="spellEnd"/>
      <w:r w:rsidRPr="00050C92">
        <w:t xml:space="preserve">[n]). The total sampling period (T_s) equals the number of samples (N), therefore sampling takes place at intervals of 5 </w:t>
      </w:r>
      <w:proofErr w:type="spellStart"/>
      <w:r w:rsidRPr="00050C92">
        <w:t>ps</w:t>
      </w:r>
      <w:proofErr w:type="spellEnd"/>
      <w:r w:rsidRPr="00050C92">
        <w:t xml:space="preserve"> based on</w:t>
      </w:r>
      <w:r w:rsidR="00623860">
        <w:t xml:space="preserve">, </w:t>
      </w:r>
      <m:oMath>
        <m:sSub>
          <m:sSubPr>
            <m:ctrlPr>
              <w:rPr>
                <w:rFonts w:ascii="Cambria Math" w:hAnsi="Cambria Math"/>
              </w:rPr>
            </m:ctrlPr>
          </m:sSubPr>
          <m:e>
            <m:r>
              <w:rPr>
                <w:rFonts w:ascii="Cambria Math" w:hAnsi="Cambria Math"/>
              </w:rPr>
              <m:t>T</m:t>
            </m:r>
          </m:e>
          <m:sub>
            <m:r>
              <w:rPr>
                <w:rFonts w:ascii="Cambria Math" w:hAnsi="Cambria Math"/>
              </w:rPr>
              <m:t>s</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m:t>
            </m:r>
          </m:sub>
        </m:sSub>
        <m:r>
          <m:rPr>
            <m:sty m:val="p"/>
          </m:rPr>
          <w:rPr>
            <w:rFonts w:ascii="Cambria Math" w:hAnsi="Cambria Math"/>
          </w:rPr>
          <m:t>=</m:t>
        </m:r>
        <m:r>
          <w:rPr>
            <w:rFonts w:ascii="Cambria Math" w:hAnsi="Cambria Math"/>
          </w:rPr>
          <m:t>5</m:t>
        </m:r>
      </m:oMath>
      <w:r w:rsidR="00623860">
        <w:t xml:space="preserve"> </w:t>
      </w:r>
      <w:proofErr w:type="gramStart"/>
      <w:r w:rsidR="00623860">
        <w:t>ps</w:t>
      </w:r>
      <w:proofErr w:type="gramEnd"/>
      <w:r w:rsidR="00623860">
        <w:t xml:space="preserve">. </w:t>
      </w:r>
      <w:r w:rsidR="004F4880">
        <w:t xml:space="preserve">The compensation for skew is performed by shifting the clock edges of each channel based on the skew measurement for that channel, using an adjustable delay line (ADL) with a resolution of 10 </w:t>
      </w:r>
      <w:proofErr w:type="spellStart"/>
      <w:r w:rsidR="004F4880">
        <w:t>fs</w:t>
      </w:r>
      <w:proofErr w:type="spellEnd"/>
      <w:r w:rsidR="004F4880">
        <w:t>. The calibration of all channels to each other results in a maximum residual skew of |</w:t>
      </w:r>
      <w:proofErr w:type="spellStart"/>
      <w:r w:rsidR="004F4880">
        <w:t>Δt_k</w:t>
      </w:r>
      <w:proofErr w:type="spellEnd"/>
      <w:r w:rsidR="004F4880">
        <w:t xml:space="preserve">| &lt; 50 </w:t>
      </w:r>
      <w:proofErr w:type="spellStart"/>
      <w:r w:rsidR="004F4880">
        <w:t>fs</w:t>
      </w:r>
      <w:proofErr w:type="spellEnd"/>
      <w:r w:rsidR="004F4880">
        <w:t>, allowing an effective number of bits (ENOB, or effective resolution) of greater than 7.5 bits.</w:t>
      </w:r>
    </w:p>
    <w:p w:rsidR="008E2BA4" w:rsidRDefault="004F4880" w:rsidP="004F4880">
      <w:pPr>
        <w:jc w:val="both"/>
      </w:pPr>
      <w:r>
        <w:t xml:space="preserve">The clock signal for the complete transceiver is generated by a clock-and-data-recovery (CDR) circuit that employs injection-locking to a ring oscillator (ILRO) with eight delay stages. </w:t>
      </w:r>
      <w:r>
        <w:lastRenderedPageBreak/>
        <w:t>The existing ILRO is injection-locked to the 25th harmonic of a 1 GHz reference frequency, derived using an all-digital phase-locked loop (ADPLL) integrated onto the transceiver's chip. When the CDR circuit achieves lock, it does so by injecting a narrow pulse train at the reference frequency into the common-mode terminal of the ring-oscillator</w:t>
      </w:r>
      <w:r w:rsidR="00623860">
        <w:t xml:space="preserve">. The oscillator’s free-running frequency </w:t>
      </w:r>
      <m:oMath>
        <m:sSub>
          <m:sSubPr>
            <m:ctrlPr>
              <w:rPr>
                <w:rFonts w:ascii="Cambria Math" w:hAnsi="Cambria Math"/>
              </w:rPr>
            </m:ctrlPr>
          </m:sSubPr>
          <m:e>
            <m:r>
              <w:rPr>
                <w:rFonts w:ascii="Cambria Math" w:hAnsi="Cambria Math"/>
              </w:rPr>
              <m:t>f</m:t>
            </m:r>
          </m:e>
          <m:sub>
            <m:r>
              <m:rPr>
                <m:nor/>
              </m:rPr>
              <m:t>free</m:t>
            </m:r>
          </m:sub>
        </m:sSub>
      </m:oMath>
      <w:r w:rsidR="00623860">
        <w:t xml:space="preserve"> is tuned to be close to the 25th harmonic </w:t>
      </w:r>
      <m:oMath>
        <m:r>
          <w:rPr>
            <w:rFonts w:ascii="Cambria Math" w:hAnsi="Cambria Math"/>
          </w:rPr>
          <m:t>25</m:t>
        </m:r>
        <m:r>
          <m:rPr>
            <m:sty m:val="p"/>
          </m:rPr>
          <w:rPr>
            <w:rFonts w:ascii="Cambria Math" w:hAnsi="Cambria Math"/>
          </w:rPr>
          <m:t>×</m:t>
        </m:r>
        <m:r>
          <w:rPr>
            <w:rFonts w:ascii="Cambria Math" w:hAnsi="Cambria Math"/>
          </w:rPr>
          <m:t>1</m:t>
        </m:r>
      </m:oMath>
      <w:r w:rsidR="00623860">
        <w:t xml:space="preserve"> GHz = 25 GHz. The injection locking reduces the phase noise of the oscillator, resulting in a total integrated jitter </w:t>
      </w:r>
      <m:oMath>
        <m:sSub>
          <m:sSubPr>
            <m:ctrlPr>
              <w:rPr>
                <w:rFonts w:ascii="Cambria Math" w:hAnsi="Cambria Math"/>
              </w:rPr>
            </m:ctrlPr>
          </m:sSubPr>
          <m:e>
            <m:r>
              <w:rPr>
                <w:rFonts w:ascii="Cambria Math" w:hAnsi="Cambria Math"/>
              </w:rPr>
              <m:t>σ</m:t>
            </m:r>
          </m:e>
          <m:sub>
            <m:r>
              <w:rPr>
                <w:rFonts w:ascii="Cambria Math" w:hAnsi="Cambria Math"/>
              </w:rPr>
              <m:t>j</m:t>
            </m:r>
          </m:sub>
        </m:sSub>
      </m:oMath>
      <w:r w:rsidR="00623860">
        <w:t xml:space="preserve"> given by:</w:t>
      </w:r>
    </w:p>
    <w:p w:rsidR="008E2BA4" w:rsidRDefault="006B6A1F" w:rsidP="009D32ED">
      <w:pPr>
        <w:pStyle w:val="BodyText"/>
      </w:pPr>
      <m:oMathPara>
        <m:oMathParaPr>
          <m:jc m:val="center"/>
        </m:oMathParaPr>
        <m:oMath>
          <m:sSub>
            <m:sSubPr>
              <m:ctrlPr>
                <w:rPr>
                  <w:rFonts w:ascii="Cambria Math" w:hAnsi="Cambria Math"/>
                </w:rPr>
              </m:ctrlPr>
            </m:sSubPr>
            <m:e>
              <m:r>
                <w:rPr>
                  <w:rFonts w:ascii="Cambria Math" w:hAnsi="Cambria Math"/>
                </w:rPr>
                <m:t>σ</m:t>
              </m:r>
            </m:e>
            <m:sub>
              <m:r>
                <w:rPr>
                  <w:rFonts w:ascii="Cambria Math" w:hAnsi="Cambria Math"/>
                </w:rPr>
                <m:t>j</m:t>
              </m:r>
            </m:sub>
          </m:sSub>
          <m:r>
            <m:rPr>
              <m:sty m:val="p"/>
            </m:rPr>
            <w:rPr>
              <w:rFonts w:ascii="Cambria Math" w:hAnsi="Cambria Math"/>
            </w:rPr>
            <m:t>=</m:t>
          </m:r>
          <m:rad>
            <m:radPr>
              <m:degHide m:val="on"/>
              <m:ctrlPr>
                <w:rPr>
                  <w:rFonts w:ascii="Cambria Math" w:hAnsi="Cambria Math"/>
                </w:rPr>
              </m:ctrlPr>
            </m:radPr>
            <m:deg/>
            <m:e>
              <m:nary>
                <m:naryPr>
                  <m:limLoc m:val="subSup"/>
                  <m:ctrlPr>
                    <w:rPr>
                      <w:rFonts w:ascii="Cambria Math" w:hAnsi="Cambria Math"/>
                    </w:rPr>
                  </m:ctrlPr>
                </m:naryPr>
                <m:sub>
                  <m:sSub>
                    <m:sSubPr>
                      <m:ctrlPr>
                        <w:rPr>
                          <w:rFonts w:ascii="Cambria Math" w:hAnsi="Cambria Math"/>
                        </w:rPr>
                      </m:ctrlPr>
                    </m:sSubPr>
                    <m:e>
                      <m:r>
                        <w:rPr>
                          <w:rFonts w:ascii="Cambria Math" w:hAnsi="Cambria Math"/>
                        </w:rPr>
                        <m:t>f</m:t>
                      </m:r>
                    </m:e>
                    <m:sub>
                      <m:r>
                        <m:rPr>
                          <m:nor/>
                        </m:rPr>
                        <m:t>low</m:t>
                      </m:r>
                    </m:sub>
                  </m:sSub>
                </m:sub>
                <m:sup>
                  <m:sSub>
                    <m:sSubPr>
                      <m:ctrlPr>
                        <w:rPr>
                          <w:rFonts w:ascii="Cambria Math" w:hAnsi="Cambria Math"/>
                        </w:rPr>
                      </m:ctrlPr>
                    </m:sSubPr>
                    <m:e>
                      <m:r>
                        <w:rPr>
                          <w:rFonts w:ascii="Cambria Math" w:hAnsi="Cambria Math"/>
                        </w:rPr>
                        <m:t>f</m:t>
                      </m:r>
                    </m:e>
                    <m:sub>
                      <m:r>
                        <m:rPr>
                          <m:nor/>
                        </m:rPr>
                        <m:t>high</m:t>
                      </m:r>
                    </m:sub>
                  </m:sSub>
                </m:sup>
                <m:e>
                  <m:sSup>
                    <m:sSupPr>
                      <m:ctrlPr>
                        <w:rPr>
                          <w:rFonts w:ascii="Cambria Math" w:hAnsi="Cambria Math"/>
                        </w:rPr>
                      </m:ctrlPr>
                    </m:sSupPr>
                    <m:e>
                      <m:r>
                        <w:rPr>
                          <w:rFonts w:ascii="Cambria Math" w:hAnsi="Cambria Math"/>
                        </w:rPr>
                        <m:t>10</m:t>
                      </m:r>
                    </m:e>
                    <m:sup>
                      <m:f>
                        <m:fPr>
                          <m:ctrlPr>
                            <w:rPr>
                              <w:rFonts w:ascii="Cambria Math" w:hAnsi="Cambria Math"/>
                            </w:rPr>
                          </m:ctrlPr>
                        </m:fPr>
                        <m:num>
                          <m:sSub>
                            <m:sSubPr>
                              <m:ctrlPr>
                                <w:rPr>
                                  <w:rFonts w:ascii="Cambria Math" w:hAnsi="Cambria Math"/>
                                </w:rPr>
                              </m:ctrlPr>
                            </m:sSubPr>
                            <m:e>
                              <m:r>
                                <m:rPr>
                                  <m:scr m:val="script"/>
                                  <m:sty m:val="p"/>
                                </m:rPr>
                                <w:rPr>
                                  <w:rFonts w:ascii="Cambria Math" w:hAnsi="Cambria Math"/>
                                </w:rPr>
                                <m:t>L</m:t>
                              </m:r>
                            </m:e>
                            <m:sub>
                              <m:r>
                                <m:rPr>
                                  <m:nor/>
                                </m:rPr>
                                <m:t>reduced</m:t>
                              </m:r>
                            </m:sub>
                          </m:sSub>
                          <m:r>
                            <m:rPr>
                              <m:sty m:val="p"/>
                            </m:rPr>
                            <w:rPr>
                              <w:rFonts w:ascii="Cambria Math" w:hAnsi="Cambria Math"/>
                            </w:rPr>
                            <m:t>(</m:t>
                          </m:r>
                          <m:r>
                            <w:rPr>
                              <w:rFonts w:ascii="Cambria Math" w:hAnsi="Cambria Math"/>
                            </w:rPr>
                            <m:t>f</m:t>
                          </m:r>
                          <m:r>
                            <m:rPr>
                              <m:sty m:val="p"/>
                            </m:rPr>
                            <w:rPr>
                              <w:rFonts w:ascii="Cambria Math" w:hAnsi="Cambria Math"/>
                            </w:rPr>
                            <m:t>)</m:t>
                          </m:r>
                        </m:num>
                        <m:den>
                          <m:r>
                            <w:rPr>
                              <w:rFonts w:ascii="Cambria Math" w:hAnsi="Cambria Math"/>
                            </w:rPr>
                            <m:t>10</m:t>
                          </m:r>
                        </m:den>
                      </m:f>
                    </m:sup>
                  </m:sSup>
                </m:e>
              </m:nary>
              <m:r>
                <w:rPr>
                  <w:rFonts w:ascii="Cambria Math" w:hAnsi="Cambria Math"/>
                </w:rPr>
                <m:t>df</m:t>
              </m:r>
            </m:e>
          </m:rad>
          <m:r>
            <m:rPr>
              <m:sty m:val="p"/>
            </m:rPr>
            <w:rPr>
              <w:rFonts w:ascii="Cambria Math" w:hAnsi="Cambria Math"/>
            </w:rPr>
            <m:t>≈</m:t>
          </m:r>
          <m:r>
            <w:rPr>
              <w:rFonts w:ascii="Cambria Math" w:hAnsi="Cambria Math"/>
            </w:rPr>
            <m:t>180</m:t>
          </m:r>
          <m:r>
            <m:rPr>
              <m:nor/>
            </m:rPr>
            <m:t xml:space="preserve"> fs</m:t>
          </m:r>
          <m:r>
            <w:rPr>
              <w:rFonts w:ascii="Cambria Math" w:hAnsi="Cambria Math"/>
            </w:rPr>
            <m:t>    </m:t>
          </m:r>
          <m:r>
            <m:rPr>
              <m:nor/>
            </m:rPr>
            <m:t xml:space="preserve"> (4)</m:t>
          </m:r>
        </m:oMath>
      </m:oMathPara>
    </w:p>
    <w:p w:rsidR="008E2BA4" w:rsidRDefault="004F4880" w:rsidP="009D32ED">
      <w:pPr>
        <w:jc w:val="both"/>
      </w:pPr>
      <w:r>
        <w:t>Free-running frequency "</w:t>
      </w:r>
      <w:proofErr w:type="spellStart"/>
      <w:r>
        <w:t>f</w:t>
      </w:r>
      <w:r w:rsidRPr="004F4880">
        <w:t>"free</w:t>
      </w:r>
      <w:proofErr w:type="spellEnd"/>
      <w:r w:rsidRPr="004F4880">
        <w:t>"</w:t>
      </w:r>
      <w:proofErr w:type="gramStart"/>
      <w:r w:rsidRPr="004F4880">
        <w:t>,  the</w:t>
      </w:r>
      <w:proofErr w:type="gramEnd"/>
      <w:r w:rsidRPr="004F4880">
        <w:t xml:space="preserve"> oscillator's is tuned to be close to 25x1GHz = 25GHz (i.e., the 25^th harmonic). After injection locking, the oscillator's Phase noise is reduced, and total int</w:t>
      </w:r>
      <w:r>
        <w:t xml:space="preserve">egrated jitter is given by"; </w:t>
      </w:r>
      <w:proofErr w:type="spellStart"/>
      <w:r>
        <w:t>L</w:t>
      </w:r>
      <w:r w:rsidRPr="004F4880">
        <w:t>reduced</w:t>
      </w:r>
      <w:proofErr w:type="spellEnd"/>
      <w:r w:rsidRPr="004F4880">
        <w:t>" (f) is the S-SB phase noise spectrum after injection locki</w:t>
      </w:r>
      <w:r>
        <w:t xml:space="preserve">ng; and is integrated between </w:t>
      </w:r>
      <w:proofErr w:type="spellStart"/>
      <w:r>
        <w:t>f"low</w:t>
      </w:r>
      <w:proofErr w:type="spellEnd"/>
      <w:r>
        <w:t xml:space="preserve">" = </w:t>
      </w:r>
      <w:proofErr w:type="gramStart"/>
      <w:r>
        <w:t>10kHz</w:t>
      </w:r>
      <w:proofErr w:type="gramEnd"/>
      <w:r>
        <w:t xml:space="preserve"> and </w:t>
      </w:r>
      <w:proofErr w:type="spellStart"/>
      <w:r>
        <w:t>f</w:t>
      </w:r>
      <w:r w:rsidRPr="004F4880">
        <w:t>"high</w:t>
      </w:r>
      <w:proofErr w:type="spellEnd"/>
      <w:r w:rsidRPr="004F4880">
        <w:t xml:space="preserve">" = 1GHz. The clock with low jitter is used for distribution to </w:t>
      </w:r>
      <w:proofErr w:type="spellStart"/>
      <w:r w:rsidRPr="004F4880">
        <w:t>theDSP</w:t>
      </w:r>
      <w:proofErr w:type="spellEnd"/>
      <w:r w:rsidRPr="004F4880">
        <w:t xml:space="preserve">, </w:t>
      </w:r>
      <w:proofErr w:type="spellStart"/>
      <w:r w:rsidRPr="004F4880">
        <w:t>theDAC</w:t>
      </w:r>
      <w:proofErr w:type="spellEnd"/>
      <w:r w:rsidRPr="004F4880">
        <w:t>/ADC Interleaving, and PA bias switching circuits to ensure synchronization thr</w:t>
      </w:r>
      <w:r>
        <w:t>oughout the entire transceiver</w:t>
      </w:r>
      <w:r w:rsidR="00623860">
        <w:t>.</w:t>
      </w:r>
    </w:p>
    <w:p w:rsidR="008E2BA4" w:rsidRPr="00413AAE" w:rsidRDefault="00623860" w:rsidP="00413AAE">
      <w:pPr>
        <w:pStyle w:val="Heading1"/>
        <w:rPr>
          <w:b/>
        </w:rPr>
      </w:pPr>
      <w:bookmarkStart w:id="5" w:name="X1795484232fcddd90a6faf52acfc10e8b46c3c6"/>
      <w:bookmarkEnd w:id="1"/>
      <w:bookmarkEnd w:id="4"/>
      <w:r w:rsidRPr="00413AAE">
        <w:rPr>
          <w:b/>
        </w:rPr>
        <w:t>Experimental Results and Performance Analysis</w:t>
      </w:r>
    </w:p>
    <w:p w:rsidR="00984375" w:rsidRDefault="00984375" w:rsidP="00984375">
      <w:pPr>
        <w:pStyle w:val="BodyText"/>
      </w:pPr>
      <w:r>
        <w:t xml:space="preserve">Post-layout transient simulations of the energy efficient VLSI architecture upon which the high-speed PAM-4 RF transceivers were designed used the Cadence </w:t>
      </w:r>
      <w:proofErr w:type="spellStart"/>
      <w:r>
        <w:t>Spectre</w:t>
      </w:r>
      <w:proofErr w:type="spellEnd"/>
      <w:r>
        <w:t xml:space="preserve"> simulation environment and the circuit models were developed based on calibration with the TSMC 7nm </w:t>
      </w:r>
      <w:proofErr w:type="spellStart"/>
      <w:r>
        <w:t>FinFET</w:t>
      </w:r>
      <w:proofErr w:type="spellEnd"/>
      <w:r>
        <w:t xml:space="preserve"> Process Design Kit (PDK). The THz communication link was modeled to include free space path loss, atmospheric absorption of 0.4 THz (with an attenuation of 8 dB per meter) and the system noise figure (NF) = 12 dB for transmission over a distance of one meter. The results from the proposed co-optimization method were confirmed by comparing them against four different state-of-the-art designs that implemented prior stand-alone transceiver designs. These designs include a 100Gbps PAM-4 THz transceiver [10], a 56Gbps NRZ-OOK transceiver [11], </w:t>
      </w:r>
      <w:proofErr w:type="gramStart"/>
      <w:r>
        <w:t>a</w:t>
      </w:r>
      <w:proofErr w:type="gramEnd"/>
      <w:r>
        <w:t xml:space="preserve"> 112Gbps PAM-4 </w:t>
      </w:r>
      <w:proofErr w:type="spellStart"/>
      <w:r>
        <w:t>mmW</w:t>
      </w:r>
      <w:proofErr w:type="spellEnd"/>
      <w:r>
        <w:t xml:space="preserve"> transceiver [12] and a 160Gbps PAM-4 sub-THz transceiver [13]. The results of these comparisons demonstrate the holistic performance improvements of the proposed architecture.</w:t>
      </w:r>
    </w:p>
    <w:p w:rsidR="00413AAE" w:rsidRDefault="00984375" w:rsidP="00984375">
      <w:pPr>
        <w:pStyle w:val="BodyText"/>
      </w:pPr>
      <w:r>
        <w:t xml:space="preserve">Through post-layout simulations, the transceiver is capable of achieving peak data rates of 200Gbps while consuming only 312mW total power, resulting in energy efficiency = 1.56pJ/bit. At the desired + 1 meter transmission distance, the eye diagram of the received PAM-4 component had a vertical </w:t>
      </w:r>
      <w:r>
        <w:lastRenderedPageBreak/>
        <w:t>eye opening of 42mV with an eye-opening ratio of 71% (by using continuous-time linear equalization).</w:t>
      </w:r>
      <w:r w:rsidR="00623860">
        <w:t xml:space="preserve">. </w:t>
      </w:r>
      <w:r>
        <w:t>The expected performance of the designed system on bit error ratio vs. signal to noise ratio characterization results shows that the proposed work can obtain better than 10 ^ -12 BER performance at an SNR of 24.1dB; this is within 1.2dB of the PAM-4 theoretical limit [2]. Even after considering all overhead associated with the Reed Solomon forward error correction, a pre-FEC bit error rate of 3.4*10 ^ -3 was able to be achieved, with a link margin of over 4.8dB available from the maximum throughput.</w:t>
      </w:r>
    </w:p>
    <w:p w:rsidR="008E2BA4" w:rsidRDefault="00984375" w:rsidP="00413AAE">
      <w:pPr>
        <w:pStyle w:val="BodyText"/>
        <w:ind w:firstLine="202"/>
      </w:pPr>
      <w:r>
        <w:t>Performance metrics for state of health alternatives have been compared and demonstrated in Table 1. The findings indicate that the new transceiver has been considerably more energy efficient while delivering the highest levels of data throughput.</w:t>
      </w:r>
    </w:p>
    <w:p w:rsidR="00E44873" w:rsidRDefault="00E44873" w:rsidP="009D32ED">
      <w:pPr>
        <w:pStyle w:val="BodyText"/>
      </w:pPr>
    </w:p>
    <w:p w:rsidR="008E2BA4" w:rsidRDefault="00623860" w:rsidP="00E44873">
      <w:pPr>
        <w:pStyle w:val="BodyText"/>
        <w:jc w:val="center"/>
      </w:pPr>
      <w:proofErr w:type="gramStart"/>
      <w:r>
        <w:rPr>
          <w:b/>
          <w:bCs/>
        </w:rPr>
        <w:t>Table 1.</w:t>
      </w:r>
      <w:proofErr w:type="gramEnd"/>
      <w:r>
        <w:rPr>
          <w:b/>
          <w:bCs/>
        </w:rPr>
        <w:t xml:space="preserve"> Performance Comparison with State-of-the-Art THz and mmW Transceivers</w:t>
      </w:r>
    </w:p>
    <w:tbl>
      <w:tblPr>
        <w:tblStyle w:val="TableGrid"/>
        <w:tblW w:w="5000" w:type="pct"/>
        <w:tblLook w:val="0020"/>
      </w:tblPr>
      <w:tblGrid>
        <w:gridCol w:w="1384"/>
        <w:gridCol w:w="1011"/>
        <w:gridCol w:w="860"/>
        <w:gridCol w:w="839"/>
        <w:gridCol w:w="1162"/>
      </w:tblGrid>
      <w:tr w:rsidR="008E2BA4" w:rsidRPr="00E44873" w:rsidTr="00E44873">
        <w:tc>
          <w:tcPr>
            <w:tcW w:w="1317" w:type="pct"/>
          </w:tcPr>
          <w:p w:rsidR="008E2BA4" w:rsidRPr="00E44873" w:rsidRDefault="00623860" w:rsidP="009D32ED">
            <w:pPr>
              <w:jc w:val="both"/>
              <w:rPr>
                <w:sz w:val="18"/>
                <w:szCs w:val="18"/>
              </w:rPr>
            </w:pPr>
            <w:r w:rsidRPr="00E44873">
              <w:rPr>
                <w:sz w:val="18"/>
                <w:szCs w:val="18"/>
              </w:rPr>
              <w:t>Architecture</w:t>
            </w:r>
          </w:p>
        </w:tc>
        <w:tc>
          <w:tcPr>
            <w:tcW w:w="962" w:type="pct"/>
          </w:tcPr>
          <w:p w:rsidR="008E2BA4" w:rsidRPr="00E44873" w:rsidRDefault="00623860" w:rsidP="009D32ED">
            <w:pPr>
              <w:jc w:val="both"/>
              <w:rPr>
                <w:sz w:val="18"/>
                <w:szCs w:val="18"/>
              </w:rPr>
            </w:pPr>
            <w:r w:rsidRPr="00E44873">
              <w:rPr>
                <w:sz w:val="18"/>
                <w:szCs w:val="18"/>
              </w:rPr>
              <w:t>Data Rate (Gbps)</w:t>
            </w:r>
          </w:p>
        </w:tc>
        <w:tc>
          <w:tcPr>
            <w:tcW w:w="818" w:type="pct"/>
          </w:tcPr>
          <w:p w:rsidR="008E2BA4" w:rsidRPr="00E44873" w:rsidRDefault="00623860" w:rsidP="009D32ED">
            <w:pPr>
              <w:jc w:val="both"/>
              <w:rPr>
                <w:sz w:val="18"/>
                <w:szCs w:val="18"/>
              </w:rPr>
            </w:pPr>
            <w:r w:rsidRPr="00E44873">
              <w:rPr>
                <w:sz w:val="18"/>
                <w:szCs w:val="18"/>
              </w:rPr>
              <w:t>Power (mW)</w:t>
            </w:r>
          </w:p>
        </w:tc>
        <w:tc>
          <w:tcPr>
            <w:tcW w:w="798" w:type="pct"/>
          </w:tcPr>
          <w:p w:rsidR="008E2BA4" w:rsidRPr="00E44873" w:rsidRDefault="00623860" w:rsidP="009D32ED">
            <w:pPr>
              <w:jc w:val="both"/>
              <w:rPr>
                <w:sz w:val="18"/>
                <w:szCs w:val="18"/>
              </w:rPr>
            </w:pPr>
            <w:r w:rsidRPr="00E44873">
              <w:rPr>
                <w:sz w:val="18"/>
                <w:szCs w:val="18"/>
              </w:rPr>
              <w:t>EE (pJ/bit)</w:t>
            </w:r>
          </w:p>
        </w:tc>
        <w:tc>
          <w:tcPr>
            <w:tcW w:w="1105" w:type="pct"/>
          </w:tcPr>
          <w:p w:rsidR="008E2BA4" w:rsidRPr="00E44873" w:rsidRDefault="00623860" w:rsidP="009D32ED">
            <w:pPr>
              <w:jc w:val="both"/>
              <w:rPr>
                <w:sz w:val="18"/>
                <w:szCs w:val="18"/>
              </w:rPr>
            </w:pPr>
            <w:r w:rsidRPr="00E44873">
              <w:rPr>
                <w:sz w:val="18"/>
                <w:szCs w:val="18"/>
              </w:rPr>
              <w:t>Technology</w:t>
            </w:r>
          </w:p>
        </w:tc>
      </w:tr>
      <w:tr w:rsidR="008E2BA4" w:rsidRPr="00E44873" w:rsidTr="00E44873">
        <w:tc>
          <w:tcPr>
            <w:tcW w:w="1317" w:type="pct"/>
          </w:tcPr>
          <w:p w:rsidR="008E2BA4" w:rsidRPr="00E44873" w:rsidRDefault="00623860" w:rsidP="009D32ED">
            <w:pPr>
              <w:jc w:val="both"/>
              <w:rPr>
                <w:sz w:val="18"/>
                <w:szCs w:val="18"/>
              </w:rPr>
            </w:pPr>
            <w:r w:rsidRPr="00E44873">
              <w:rPr>
                <w:b/>
                <w:bCs/>
                <w:sz w:val="18"/>
                <w:szCs w:val="18"/>
              </w:rPr>
              <w:t>This Work</w:t>
            </w:r>
          </w:p>
        </w:tc>
        <w:tc>
          <w:tcPr>
            <w:tcW w:w="962" w:type="pct"/>
          </w:tcPr>
          <w:p w:rsidR="008E2BA4" w:rsidRPr="00E44873" w:rsidRDefault="00623860" w:rsidP="009D32ED">
            <w:pPr>
              <w:jc w:val="both"/>
              <w:rPr>
                <w:sz w:val="18"/>
                <w:szCs w:val="18"/>
              </w:rPr>
            </w:pPr>
            <w:r w:rsidRPr="00E44873">
              <w:rPr>
                <w:b/>
                <w:bCs/>
                <w:sz w:val="18"/>
                <w:szCs w:val="18"/>
              </w:rPr>
              <w:t>200</w:t>
            </w:r>
          </w:p>
        </w:tc>
        <w:tc>
          <w:tcPr>
            <w:tcW w:w="818" w:type="pct"/>
          </w:tcPr>
          <w:p w:rsidR="008E2BA4" w:rsidRPr="00E44873" w:rsidRDefault="00623860" w:rsidP="009D32ED">
            <w:pPr>
              <w:jc w:val="both"/>
              <w:rPr>
                <w:sz w:val="18"/>
                <w:szCs w:val="18"/>
              </w:rPr>
            </w:pPr>
            <w:r w:rsidRPr="00E44873">
              <w:rPr>
                <w:b/>
                <w:bCs/>
                <w:sz w:val="18"/>
                <w:szCs w:val="18"/>
              </w:rPr>
              <w:t>312</w:t>
            </w:r>
          </w:p>
        </w:tc>
        <w:tc>
          <w:tcPr>
            <w:tcW w:w="798" w:type="pct"/>
          </w:tcPr>
          <w:p w:rsidR="008E2BA4" w:rsidRPr="00E44873" w:rsidRDefault="00623860" w:rsidP="009D32ED">
            <w:pPr>
              <w:jc w:val="both"/>
              <w:rPr>
                <w:sz w:val="18"/>
                <w:szCs w:val="18"/>
              </w:rPr>
            </w:pPr>
            <w:r w:rsidRPr="00E44873">
              <w:rPr>
                <w:b/>
                <w:bCs/>
                <w:sz w:val="18"/>
                <w:szCs w:val="18"/>
              </w:rPr>
              <w:t>1.56</w:t>
            </w:r>
          </w:p>
        </w:tc>
        <w:tc>
          <w:tcPr>
            <w:tcW w:w="1105" w:type="pct"/>
          </w:tcPr>
          <w:p w:rsidR="008E2BA4" w:rsidRPr="00E44873" w:rsidRDefault="00623860" w:rsidP="009D32ED">
            <w:pPr>
              <w:jc w:val="both"/>
              <w:rPr>
                <w:sz w:val="18"/>
                <w:szCs w:val="18"/>
              </w:rPr>
            </w:pPr>
            <w:r w:rsidRPr="00E44873">
              <w:rPr>
                <w:b/>
                <w:bCs/>
                <w:sz w:val="18"/>
                <w:szCs w:val="18"/>
              </w:rPr>
              <w:t>7 nm FinFET</w:t>
            </w:r>
          </w:p>
        </w:tc>
      </w:tr>
      <w:tr w:rsidR="008E2BA4" w:rsidRPr="00E44873" w:rsidTr="00E44873">
        <w:tc>
          <w:tcPr>
            <w:tcW w:w="1317" w:type="pct"/>
          </w:tcPr>
          <w:p w:rsidR="008E2BA4" w:rsidRPr="00E44873" w:rsidRDefault="00623860" w:rsidP="009D32ED">
            <w:pPr>
              <w:jc w:val="both"/>
              <w:rPr>
                <w:sz w:val="18"/>
                <w:szCs w:val="18"/>
              </w:rPr>
            </w:pPr>
            <w:r w:rsidRPr="00E44873">
              <w:rPr>
                <w:sz w:val="18"/>
                <w:szCs w:val="18"/>
              </w:rPr>
              <w:t>PAM-4 THz [10]</w:t>
            </w:r>
          </w:p>
        </w:tc>
        <w:tc>
          <w:tcPr>
            <w:tcW w:w="962" w:type="pct"/>
          </w:tcPr>
          <w:p w:rsidR="008E2BA4" w:rsidRPr="00E44873" w:rsidRDefault="00623860" w:rsidP="009D32ED">
            <w:pPr>
              <w:jc w:val="both"/>
              <w:rPr>
                <w:sz w:val="18"/>
                <w:szCs w:val="18"/>
              </w:rPr>
            </w:pPr>
            <w:r w:rsidRPr="00E44873">
              <w:rPr>
                <w:sz w:val="18"/>
                <w:szCs w:val="18"/>
              </w:rPr>
              <w:t>100</w:t>
            </w:r>
          </w:p>
        </w:tc>
        <w:tc>
          <w:tcPr>
            <w:tcW w:w="818" w:type="pct"/>
          </w:tcPr>
          <w:p w:rsidR="008E2BA4" w:rsidRPr="00E44873" w:rsidRDefault="00623860" w:rsidP="009D32ED">
            <w:pPr>
              <w:jc w:val="both"/>
              <w:rPr>
                <w:sz w:val="18"/>
                <w:szCs w:val="18"/>
              </w:rPr>
            </w:pPr>
            <w:r w:rsidRPr="00E44873">
              <w:rPr>
                <w:sz w:val="18"/>
                <w:szCs w:val="18"/>
              </w:rPr>
              <w:t>480</w:t>
            </w:r>
          </w:p>
        </w:tc>
        <w:tc>
          <w:tcPr>
            <w:tcW w:w="798" w:type="pct"/>
          </w:tcPr>
          <w:p w:rsidR="008E2BA4" w:rsidRPr="00E44873" w:rsidRDefault="00623860" w:rsidP="009D32ED">
            <w:pPr>
              <w:jc w:val="both"/>
              <w:rPr>
                <w:sz w:val="18"/>
                <w:szCs w:val="18"/>
              </w:rPr>
            </w:pPr>
            <w:r w:rsidRPr="00E44873">
              <w:rPr>
                <w:sz w:val="18"/>
                <w:szCs w:val="18"/>
              </w:rPr>
              <w:t>4.80</w:t>
            </w:r>
          </w:p>
        </w:tc>
        <w:tc>
          <w:tcPr>
            <w:tcW w:w="1105" w:type="pct"/>
          </w:tcPr>
          <w:p w:rsidR="008E2BA4" w:rsidRPr="00E44873" w:rsidRDefault="00623860" w:rsidP="009D32ED">
            <w:pPr>
              <w:jc w:val="both"/>
              <w:rPr>
                <w:sz w:val="18"/>
                <w:szCs w:val="18"/>
              </w:rPr>
            </w:pPr>
            <w:r w:rsidRPr="00E44873">
              <w:rPr>
                <w:sz w:val="18"/>
                <w:szCs w:val="18"/>
              </w:rPr>
              <w:t>28 nm CMOS</w:t>
            </w:r>
          </w:p>
        </w:tc>
      </w:tr>
      <w:tr w:rsidR="008E2BA4" w:rsidRPr="00E44873" w:rsidTr="00E44873">
        <w:tc>
          <w:tcPr>
            <w:tcW w:w="1317" w:type="pct"/>
          </w:tcPr>
          <w:p w:rsidR="008E2BA4" w:rsidRPr="00E44873" w:rsidRDefault="00623860" w:rsidP="009D32ED">
            <w:pPr>
              <w:jc w:val="both"/>
              <w:rPr>
                <w:sz w:val="18"/>
                <w:szCs w:val="18"/>
              </w:rPr>
            </w:pPr>
            <w:r w:rsidRPr="00E44873">
              <w:rPr>
                <w:sz w:val="18"/>
                <w:szCs w:val="18"/>
              </w:rPr>
              <w:t>NRZ-OOK [11]</w:t>
            </w:r>
          </w:p>
        </w:tc>
        <w:tc>
          <w:tcPr>
            <w:tcW w:w="962" w:type="pct"/>
          </w:tcPr>
          <w:p w:rsidR="008E2BA4" w:rsidRPr="00E44873" w:rsidRDefault="00623860" w:rsidP="009D32ED">
            <w:pPr>
              <w:jc w:val="both"/>
              <w:rPr>
                <w:sz w:val="18"/>
                <w:szCs w:val="18"/>
              </w:rPr>
            </w:pPr>
            <w:r w:rsidRPr="00E44873">
              <w:rPr>
                <w:sz w:val="18"/>
                <w:szCs w:val="18"/>
              </w:rPr>
              <w:t>56</w:t>
            </w:r>
          </w:p>
        </w:tc>
        <w:tc>
          <w:tcPr>
            <w:tcW w:w="818" w:type="pct"/>
          </w:tcPr>
          <w:p w:rsidR="008E2BA4" w:rsidRPr="00E44873" w:rsidRDefault="00623860" w:rsidP="009D32ED">
            <w:pPr>
              <w:jc w:val="both"/>
              <w:rPr>
                <w:sz w:val="18"/>
                <w:szCs w:val="18"/>
              </w:rPr>
            </w:pPr>
            <w:r w:rsidRPr="00E44873">
              <w:rPr>
                <w:sz w:val="18"/>
                <w:szCs w:val="18"/>
              </w:rPr>
              <w:t>290</w:t>
            </w:r>
          </w:p>
        </w:tc>
        <w:tc>
          <w:tcPr>
            <w:tcW w:w="798" w:type="pct"/>
          </w:tcPr>
          <w:p w:rsidR="008E2BA4" w:rsidRPr="00E44873" w:rsidRDefault="00623860" w:rsidP="009D32ED">
            <w:pPr>
              <w:jc w:val="both"/>
              <w:rPr>
                <w:sz w:val="18"/>
                <w:szCs w:val="18"/>
              </w:rPr>
            </w:pPr>
            <w:r w:rsidRPr="00E44873">
              <w:rPr>
                <w:sz w:val="18"/>
                <w:szCs w:val="18"/>
              </w:rPr>
              <w:t>5.18</w:t>
            </w:r>
          </w:p>
        </w:tc>
        <w:tc>
          <w:tcPr>
            <w:tcW w:w="1105" w:type="pct"/>
          </w:tcPr>
          <w:p w:rsidR="008E2BA4" w:rsidRPr="00E44873" w:rsidRDefault="00623860" w:rsidP="009D32ED">
            <w:pPr>
              <w:jc w:val="both"/>
              <w:rPr>
                <w:sz w:val="18"/>
                <w:szCs w:val="18"/>
              </w:rPr>
            </w:pPr>
            <w:r w:rsidRPr="00E44873">
              <w:rPr>
                <w:sz w:val="18"/>
                <w:szCs w:val="18"/>
              </w:rPr>
              <w:t>16 nm FinFET</w:t>
            </w:r>
          </w:p>
        </w:tc>
      </w:tr>
      <w:tr w:rsidR="008E2BA4" w:rsidRPr="00E44873" w:rsidTr="00E44873">
        <w:tc>
          <w:tcPr>
            <w:tcW w:w="1317" w:type="pct"/>
          </w:tcPr>
          <w:p w:rsidR="008E2BA4" w:rsidRPr="00E44873" w:rsidRDefault="00623860" w:rsidP="009D32ED">
            <w:pPr>
              <w:jc w:val="both"/>
              <w:rPr>
                <w:sz w:val="18"/>
                <w:szCs w:val="18"/>
              </w:rPr>
            </w:pPr>
            <w:r w:rsidRPr="00E44873">
              <w:rPr>
                <w:sz w:val="18"/>
                <w:szCs w:val="18"/>
              </w:rPr>
              <w:t>PAM-4 mmW [12]</w:t>
            </w:r>
          </w:p>
        </w:tc>
        <w:tc>
          <w:tcPr>
            <w:tcW w:w="962" w:type="pct"/>
          </w:tcPr>
          <w:p w:rsidR="008E2BA4" w:rsidRPr="00E44873" w:rsidRDefault="00623860" w:rsidP="009D32ED">
            <w:pPr>
              <w:jc w:val="both"/>
              <w:rPr>
                <w:sz w:val="18"/>
                <w:szCs w:val="18"/>
              </w:rPr>
            </w:pPr>
            <w:r w:rsidRPr="00E44873">
              <w:rPr>
                <w:sz w:val="18"/>
                <w:szCs w:val="18"/>
              </w:rPr>
              <w:t>112</w:t>
            </w:r>
          </w:p>
        </w:tc>
        <w:tc>
          <w:tcPr>
            <w:tcW w:w="818" w:type="pct"/>
          </w:tcPr>
          <w:p w:rsidR="008E2BA4" w:rsidRPr="00E44873" w:rsidRDefault="00623860" w:rsidP="009D32ED">
            <w:pPr>
              <w:jc w:val="both"/>
              <w:rPr>
                <w:sz w:val="18"/>
                <w:szCs w:val="18"/>
              </w:rPr>
            </w:pPr>
            <w:r w:rsidRPr="00E44873">
              <w:rPr>
                <w:sz w:val="18"/>
                <w:szCs w:val="18"/>
              </w:rPr>
              <w:t>620</w:t>
            </w:r>
          </w:p>
        </w:tc>
        <w:tc>
          <w:tcPr>
            <w:tcW w:w="798" w:type="pct"/>
          </w:tcPr>
          <w:p w:rsidR="008E2BA4" w:rsidRPr="00E44873" w:rsidRDefault="00623860" w:rsidP="009D32ED">
            <w:pPr>
              <w:jc w:val="both"/>
              <w:rPr>
                <w:sz w:val="18"/>
                <w:szCs w:val="18"/>
              </w:rPr>
            </w:pPr>
            <w:r w:rsidRPr="00E44873">
              <w:rPr>
                <w:sz w:val="18"/>
                <w:szCs w:val="18"/>
              </w:rPr>
              <w:t>5.54</w:t>
            </w:r>
          </w:p>
        </w:tc>
        <w:tc>
          <w:tcPr>
            <w:tcW w:w="1105" w:type="pct"/>
          </w:tcPr>
          <w:p w:rsidR="008E2BA4" w:rsidRPr="00E44873" w:rsidRDefault="00623860" w:rsidP="009D32ED">
            <w:pPr>
              <w:jc w:val="both"/>
              <w:rPr>
                <w:sz w:val="18"/>
                <w:szCs w:val="18"/>
              </w:rPr>
            </w:pPr>
            <w:r w:rsidRPr="00E44873">
              <w:rPr>
                <w:sz w:val="18"/>
                <w:szCs w:val="18"/>
              </w:rPr>
              <w:t>22 nm FD-SOI</w:t>
            </w:r>
          </w:p>
        </w:tc>
      </w:tr>
      <w:tr w:rsidR="008E2BA4" w:rsidRPr="00E44873" w:rsidTr="00E44873">
        <w:tc>
          <w:tcPr>
            <w:tcW w:w="1317" w:type="pct"/>
          </w:tcPr>
          <w:p w:rsidR="008E2BA4" w:rsidRPr="00E44873" w:rsidRDefault="00623860" w:rsidP="009D32ED">
            <w:pPr>
              <w:jc w:val="both"/>
              <w:rPr>
                <w:sz w:val="18"/>
                <w:szCs w:val="18"/>
              </w:rPr>
            </w:pPr>
            <w:r w:rsidRPr="00E44873">
              <w:rPr>
                <w:sz w:val="18"/>
                <w:szCs w:val="18"/>
              </w:rPr>
              <w:t>PAM-4 Sub-THz [13]</w:t>
            </w:r>
          </w:p>
        </w:tc>
        <w:tc>
          <w:tcPr>
            <w:tcW w:w="962" w:type="pct"/>
          </w:tcPr>
          <w:p w:rsidR="008E2BA4" w:rsidRPr="00E44873" w:rsidRDefault="00623860" w:rsidP="009D32ED">
            <w:pPr>
              <w:jc w:val="both"/>
              <w:rPr>
                <w:sz w:val="18"/>
                <w:szCs w:val="18"/>
              </w:rPr>
            </w:pPr>
            <w:r w:rsidRPr="00E44873">
              <w:rPr>
                <w:sz w:val="18"/>
                <w:szCs w:val="18"/>
              </w:rPr>
              <w:t>160</w:t>
            </w:r>
          </w:p>
        </w:tc>
        <w:tc>
          <w:tcPr>
            <w:tcW w:w="818" w:type="pct"/>
          </w:tcPr>
          <w:p w:rsidR="008E2BA4" w:rsidRPr="00E44873" w:rsidRDefault="00623860" w:rsidP="009D32ED">
            <w:pPr>
              <w:jc w:val="both"/>
              <w:rPr>
                <w:sz w:val="18"/>
                <w:szCs w:val="18"/>
              </w:rPr>
            </w:pPr>
            <w:r w:rsidRPr="00E44873">
              <w:rPr>
                <w:sz w:val="18"/>
                <w:szCs w:val="18"/>
              </w:rPr>
              <w:t>510</w:t>
            </w:r>
          </w:p>
        </w:tc>
        <w:tc>
          <w:tcPr>
            <w:tcW w:w="798" w:type="pct"/>
          </w:tcPr>
          <w:p w:rsidR="008E2BA4" w:rsidRPr="00E44873" w:rsidRDefault="00623860" w:rsidP="009D32ED">
            <w:pPr>
              <w:jc w:val="both"/>
              <w:rPr>
                <w:sz w:val="18"/>
                <w:szCs w:val="18"/>
              </w:rPr>
            </w:pPr>
            <w:r w:rsidRPr="00E44873">
              <w:rPr>
                <w:sz w:val="18"/>
                <w:szCs w:val="18"/>
              </w:rPr>
              <w:t>3.19</w:t>
            </w:r>
          </w:p>
        </w:tc>
        <w:tc>
          <w:tcPr>
            <w:tcW w:w="1105" w:type="pct"/>
          </w:tcPr>
          <w:p w:rsidR="008E2BA4" w:rsidRPr="00E44873" w:rsidRDefault="00623860" w:rsidP="009D32ED">
            <w:pPr>
              <w:jc w:val="both"/>
              <w:rPr>
                <w:sz w:val="18"/>
                <w:szCs w:val="18"/>
              </w:rPr>
            </w:pPr>
            <w:r w:rsidRPr="00E44873">
              <w:rPr>
                <w:sz w:val="18"/>
                <w:szCs w:val="18"/>
              </w:rPr>
              <w:t>10 nm FinFET</w:t>
            </w:r>
          </w:p>
        </w:tc>
      </w:tr>
    </w:tbl>
    <w:p w:rsidR="00E44873" w:rsidRDefault="00E44873" w:rsidP="009D32ED">
      <w:pPr>
        <w:pStyle w:val="BodyText"/>
      </w:pPr>
    </w:p>
    <w:p w:rsidR="008E2BA4" w:rsidRDefault="00984375" w:rsidP="00984375">
      <w:pPr>
        <w:pStyle w:val="BodyText"/>
      </w:pPr>
      <w:r w:rsidRPr="00984375">
        <w:t xml:space="preserve">The highest contributor to the total power of the system is the THz power amplifier array with a total of 124 </w:t>
      </w:r>
      <w:proofErr w:type="spellStart"/>
      <w:r w:rsidRPr="00984375">
        <w:t>mW</w:t>
      </w:r>
      <w:proofErr w:type="spellEnd"/>
      <w:r w:rsidRPr="00984375">
        <w:t xml:space="preserve"> (39.7%). This indicates that this subsystem consumes more than any other computer subsystem in the entire system. The PAM-4 encoder and DSP block consume 68 </w:t>
      </w:r>
      <w:proofErr w:type="spellStart"/>
      <w:r w:rsidRPr="00984375">
        <w:t>mW</w:t>
      </w:r>
      <w:proofErr w:type="spellEnd"/>
      <w:r w:rsidRPr="00984375">
        <w:t xml:space="preserve"> (21.8%) while the clock distribution and CDR circuits consume 42 </w:t>
      </w:r>
      <w:proofErr w:type="spellStart"/>
      <w:r w:rsidRPr="00984375">
        <w:t>mW</w:t>
      </w:r>
      <w:proofErr w:type="spellEnd"/>
      <w:r w:rsidRPr="00984375">
        <w:t xml:space="preserve"> (13.5%). The 200 GS/s TI-SAR ADC consumes 38 </w:t>
      </w:r>
      <w:proofErr w:type="spellStart"/>
      <w:r w:rsidRPr="00984375">
        <w:t>mW</w:t>
      </w:r>
      <w:proofErr w:type="spellEnd"/>
      <w:r w:rsidRPr="00984375">
        <w:t xml:space="preserve"> (12.2%) and the input/output drivers and buffers consume 24 </w:t>
      </w:r>
      <w:proofErr w:type="spellStart"/>
      <w:r w:rsidRPr="00984375">
        <w:t>mW</w:t>
      </w:r>
      <w:proofErr w:type="spellEnd"/>
      <w:r w:rsidRPr="00984375">
        <w:t xml:space="preserve"> (7.7%) while the digital control logic uses 16 </w:t>
      </w:r>
      <w:proofErr w:type="spellStart"/>
      <w:r w:rsidRPr="00984375">
        <w:t>mW</w:t>
      </w:r>
      <w:proofErr w:type="spellEnd"/>
      <w:r w:rsidRPr="00984375">
        <w:t xml:space="preserve"> (5.1%). The total effective </w:t>
      </w:r>
      <w:proofErr w:type="spellStart"/>
      <w:r w:rsidRPr="00984375">
        <w:t>isotropically</w:t>
      </w:r>
      <w:proofErr w:type="spellEnd"/>
      <w:r w:rsidRPr="00984375">
        <w:t xml:space="preserve"> radiated power (EIRP) generated from the four-element adaptive-bias PA array was +20 </w:t>
      </w:r>
      <w:proofErr w:type="spellStart"/>
      <w:r w:rsidRPr="00984375">
        <w:t>dBm</w:t>
      </w:r>
      <w:proofErr w:type="spellEnd"/>
      <w:r w:rsidRPr="00984375">
        <w:t xml:space="preserve"> assuming a 6 </w:t>
      </w:r>
      <w:proofErr w:type="spellStart"/>
      <w:r w:rsidRPr="00984375">
        <w:t>dBi</w:t>
      </w:r>
      <w:proofErr w:type="spellEnd"/>
      <w:r w:rsidRPr="00984375">
        <w:t xml:space="preserve"> on-board antenna gain and the array could deliver 8 </w:t>
      </w:r>
      <w:proofErr w:type="spellStart"/>
      <w:r w:rsidRPr="00984375">
        <w:t>dBm</w:t>
      </w:r>
      <w:proofErr w:type="spellEnd"/>
      <w:r w:rsidRPr="00984375">
        <w:t xml:space="preserve"> of saturated output power from each of the four units. As shown in Figure 4, the discrete symbol-aware bias drive scheme is superior to conventional continuous envelope tracking in terms of power-added efficiency across all four PAM-4 amplitude levels and achieves considerably lower PAE at the back-off power levels than even in a cont</w:t>
      </w:r>
      <w:r>
        <w:t>inuous envelope tracking system</w:t>
      </w:r>
      <w:r w:rsidR="00623860">
        <w:t>.</w:t>
      </w:r>
    </w:p>
    <w:p w:rsidR="008E2BA4" w:rsidRDefault="00984375" w:rsidP="009D32ED">
      <w:pPr>
        <w:pStyle w:val="BodyText"/>
      </w:pPr>
      <w:r w:rsidRPr="00984375">
        <w:t xml:space="preserve">As a result of the applied retiming strategy, the improvement in timing was substantial. The critical path delay was decreased from 162 </w:t>
      </w:r>
      <w:proofErr w:type="spellStart"/>
      <w:r w:rsidRPr="00984375">
        <w:t>ps</w:t>
      </w:r>
      <w:proofErr w:type="spellEnd"/>
      <w:r w:rsidRPr="00984375">
        <w:t xml:space="preserve"> to 101 </w:t>
      </w:r>
      <w:proofErr w:type="spellStart"/>
      <w:r w:rsidRPr="00984375">
        <w:t>ps</w:t>
      </w:r>
      <w:proofErr w:type="spellEnd"/>
      <w:r w:rsidRPr="00984375">
        <w:t xml:space="preserve">, which is a 38% improvement when compared to flat implementations. Such reductions provided the operations of the 3.125 GHz clock with a timing margin of 20%. In the TI-SAR ADC, the background calibration algorithm reduced the residual timing skew to below 50 </w:t>
      </w:r>
      <w:proofErr w:type="spellStart"/>
      <w:r w:rsidRPr="00984375">
        <w:t>fs</w:t>
      </w:r>
      <w:proofErr w:type="spellEnd"/>
      <w:r w:rsidRPr="00984375">
        <w:t xml:space="preserve"> rms. As shown in Figure 5, the spectral spurs introduced by time interleaving mismatches are effectively suppressed after the calibration loop converges, keeping the </w:t>
      </w:r>
      <w:r w:rsidRPr="00984375">
        <w:lastRenderedPageBreak/>
        <w:t>signal-to-noise and distortion ratio (SNDR) degra</w:t>
      </w:r>
      <w:r>
        <w:t>dation down to less than 0.1 dB</w:t>
      </w:r>
      <w:r w:rsidR="00623860">
        <w:t>.</w:t>
      </w:r>
    </w:p>
    <w:p w:rsidR="00984375" w:rsidRDefault="00984375" w:rsidP="009D32ED">
      <w:pPr>
        <w:pStyle w:val="BodyText"/>
      </w:pPr>
      <w:r w:rsidRPr="00984375">
        <w:t xml:space="preserve">According to Figure 6, the Integrated Jitter of the ILRO-Based CDR is 180 </w:t>
      </w:r>
      <w:proofErr w:type="spellStart"/>
      <w:r w:rsidRPr="00984375">
        <w:t>fs</w:t>
      </w:r>
      <w:proofErr w:type="spellEnd"/>
      <w:r w:rsidRPr="00984375">
        <w:t xml:space="preserve"> RMs over the frequency </w:t>
      </w:r>
      <w:proofErr w:type="gramStart"/>
      <w:r w:rsidRPr="00984375">
        <w:t>range</w:t>
      </w:r>
      <w:proofErr w:type="gramEnd"/>
      <w:r w:rsidRPr="00984375">
        <w:t xml:space="preserve"> from 10 kHz to 10 GHz, and there was also a 14-dB reduction in the phase noise floor at 100 kHz from the free-running VCO.</w:t>
      </w:r>
    </w:p>
    <w:p w:rsidR="00984375" w:rsidRDefault="00984375" w:rsidP="009D32ED">
      <w:pPr>
        <w:pStyle w:val="BodyText"/>
      </w:pPr>
      <w:r w:rsidRPr="00984375">
        <w:t xml:space="preserve">The active die area total of 0.42 mm² is comprised as follows: the DSP digitally occupies an area of 0.11 mm² (26%), PA arrays digitally occupy an area of 0.09 mm² (21%), ADC/DAC together </w:t>
      </w:r>
      <w:proofErr w:type="gramStart"/>
      <w:r w:rsidRPr="00984375">
        <w:t>occupy</w:t>
      </w:r>
      <w:proofErr w:type="gramEnd"/>
      <w:r w:rsidRPr="00984375">
        <w:t xml:space="preserve"> 0.07 mm² (17%), Clock/CDR occupy 0.08 mm² (19%) and Analog/RF Blocks together occupy 0.07 mm² (17%).</w:t>
      </w:r>
    </w:p>
    <w:p w:rsidR="00146D4A" w:rsidRDefault="00146D4A" w:rsidP="009D32ED">
      <w:pPr>
        <w:pStyle w:val="BodyText"/>
      </w:pPr>
    </w:p>
    <w:p w:rsidR="00413AAE" w:rsidRDefault="00413AAE" w:rsidP="00413AAE">
      <w:pPr>
        <w:pStyle w:val="Heading2"/>
        <w:jc w:val="both"/>
      </w:pPr>
      <w:r>
        <w:t>Ablation Study</w:t>
      </w:r>
    </w:p>
    <w:p w:rsidR="00413AAE" w:rsidRDefault="00413AAE" w:rsidP="00413AAE">
      <w:pPr>
        <w:jc w:val="both"/>
      </w:pPr>
      <w:r w:rsidRPr="00447C35">
        <w:t xml:space="preserve">An ablation study was conducted using a stepwise approach by disabling intended methods in order to evaluate how each one contributes to the overall system. The results can be seen in Table 2. Removing the adaptive-bias PA (and replacing it with a fixed Class AB bias) resulted in a 38% increase in PA power consumption to 171 </w:t>
      </w:r>
      <w:proofErr w:type="spellStart"/>
      <w:r w:rsidRPr="00447C35">
        <w:t>mW</w:t>
      </w:r>
      <w:proofErr w:type="spellEnd"/>
      <w:r w:rsidRPr="00447C35">
        <w:t xml:space="preserve">, which reduces overall energy efficiency to 2.01 </w:t>
      </w:r>
      <w:proofErr w:type="spellStart"/>
      <w:r w:rsidRPr="00447C35">
        <w:t>pJ</w:t>
      </w:r>
      <w:proofErr w:type="spellEnd"/>
      <w:r w:rsidRPr="00447C35">
        <w:t xml:space="preserve">/bit. Without implementing the pipeline retiming (using a flat data path), the DSP timing margin would have been lost, and thus 25% additional supply voltage would need to be provided to meet the 3.125 GHz clock target, raising DSP power to 90 </w:t>
      </w:r>
      <w:proofErr w:type="spellStart"/>
      <w:r w:rsidRPr="00447C35">
        <w:t>mW</w:t>
      </w:r>
      <w:proofErr w:type="spellEnd"/>
      <w:r w:rsidRPr="00447C35">
        <w:t xml:space="preserve"> (overall efficiency to 1.92 </w:t>
      </w:r>
      <w:proofErr w:type="spellStart"/>
      <w:r w:rsidRPr="00447C35">
        <w:t>pJ</w:t>
      </w:r>
      <w:proofErr w:type="spellEnd"/>
      <w:r w:rsidRPr="00447C35">
        <w:t xml:space="preserve">/bit). Disabling background skew calibration for the TI-SAR ADC resulted in an increase in residual timing skew of 450 </w:t>
      </w:r>
      <w:proofErr w:type="spellStart"/>
      <w:r w:rsidRPr="00447C35">
        <w:t>fs</w:t>
      </w:r>
      <w:proofErr w:type="spellEnd"/>
      <w:r w:rsidRPr="00447C35">
        <w:t xml:space="preserve">, which decreased ENOB by 1.2 bits and increased SNR required for a BER of 10−12 by 3.5 dB, therefore contributing to total analog power consumption of 15%. Furthermore, the combined effect from all three degradations resulted in an energy efficiency of 2.68 </w:t>
      </w:r>
      <w:proofErr w:type="spellStart"/>
      <w:r w:rsidRPr="00447C35">
        <w:t>pJ</w:t>
      </w:r>
      <w:proofErr w:type="spellEnd"/>
      <w:r w:rsidRPr="00447C35">
        <w:t>/bit, reinforcing the ne</w:t>
      </w:r>
      <w:r>
        <w:t>ed for holistic co-optimization.</w:t>
      </w:r>
    </w:p>
    <w:p w:rsidR="008E2BA4" w:rsidRDefault="00623860" w:rsidP="00146D4A">
      <w:pPr>
        <w:jc w:val="center"/>
      </w:pPr>
      <w:r>
        <w:rPr>
          <w:noProof/>
        </w:rPr>
        <w:drawing>
          <wp:inline distT="0" distB="0" distL="0" distR="0">
            <wp:extent cx="3276600" cy="1981814"/>
            <wp:effectExtent l="0" t="0" r="0" b="0"/>
            <wp:docPr id="38" name="Picture" descr="Figure 5. Output spectrum of the time interleaved SAR ADC demonstrating spur suppression via background timing skew calibration"/>
            <wp:cNvGraphicFramePr/>
            <a:graphic xmlns:a="http://schemas.openxmlformats.org/drawingml/2006/main">
              <a:graphicData uri="http://schemas.openxmlformats.org/drawingml/2006/picture">
                <pic:pic xmlns:pic="http://schemas.openxmlformats.org/drawingml/2006/picture">
                  <pic:nvPicPr>
                    <pic:cNvPr id="39" name="Picture" descr="/tmp/com.gatsbi/.cache/82e45811bd5cc1d72d8f56baf979879a/img/5.png"/>
                    <pic:cNvPicPr>
                      <a:picLocks noChangeAspect="1" noChangeArrowheads="1"/>
                    </pic:cNvPicPr>
                  </pic:nvPicPr>
                  <pic:blipFill>
                    <a:blip r:embed="rId14" cstate="print"/>
                    <a:stretch>
                      <a:fillRect/>
                    </a:stretch>
                  </pic:blipFill>
                  <pic:spPr bwMode="auto">
                    <a:xfrm>
                      <a:off x="0" y="0"/>
                      <a:ext cx="3276600" cy="1981814"/>
                    </a:xfrm>
                    <a:prstGeom prst="rect">
                      <a:avLst/>
                    </a:prstGeom>
                    <a:noFill/>
                    <a:ln w="9525">
                      <a:noFill/>
                      <a:headEnd/>
                      <a:tailEnd/>
                    </a:ln>
                  </pic:spPr>
                </pic:pic>
              </a:graphicData>
            </a:graphic>
          </wp:inline>
        </w:drawing>
      </w:r>
    </w:p>
    <w:p w:rsidR="008E2BA4" w:rsidRDefault="00623860" w:rsidP="00984375">
      <w:pPr>
        <w:jc w:val="center"/>
      </w:pPr>
      <w:proofErr w:type="gramStart"/>
      <w:r>
        <w:t xml:space="preserve">Figure </w:t>
      </w:r>
      <w:r w:rsidR="000460ED">
        <w:t>4</w:t>
      </w:r>
      <w:r>
        <w:t>.</w:t>
      </w:r>
      <w:proofErr w:type="gramEnd"/>
      <w:r>
        <w:t xml:space="preserve"> Output spectrum of the time interleaved SAR ADC demonstrating spur suppression via background timing skew calibration</w:t>
      </w:r>
    </w:p>
    <w:p w:rsidR="008E2BA4" w:rsidRDefault="00623860" w:rsidP="009D32ED">
      <w:pPr>
        <w:jc w:val="both"/>
      </w:pPr>
      <w:r>
        <w:rPr>
          <w:noProof/>
        </w:rPr>
        <w:lastRenderedPageBreak/>
        <w:drawing>
          <wp:inline distT="0" distB="0" distL="0" distR="0">
            <wp:extent cx="3276600" cy="2434695"/>
            <wp:effectExtent l="0" t="0" r="0" b="0"/>
            <wp:docPr id="41" name="Picture" descr="Figure 6. Phase noise comparison between injection locked ring oscillator and free running reference across frequency offsets"/>
            <wp:cNvGraphicFramePr/>
            <a:graphic xmlns:a="http://schemas.openxmlformats.org/drawingml/2006/main">
              <a:graphicData uri="http://schemas.openxmlformats.org/drawingml/2006/picture">
                <pic:pic xmlns:pic="http://schemas.openxmlformats.org/drawingml/2006/picture">
                  <pic:nvPicPr>
                    <pic:cNvPr id="42" name="Picture" descr="/tmp/com.gatsbi/.cache/82e45811bd5cc1d72d8f56baf979879a/img/6.png"/>
                    <pic:cNvPicPr>
                      <a:picLocks noChangeAspect="1" noChangeArrowheads="1"/>
                    </pic:cNvPicPr>
                  </pic:nvPicPr>
                  <pic:blipFill>
                    <a:blip r:embed="rId15" cstate="print"/>
                    <a:stretch>
                      <a:fillRect/>
                    </a:stretch>
                  </pic:blipFill>
                  <pic:spPr bwMode="auto">
                    <a:xfrm>
                      <a:off x="0" y="0"/>
                      <a:ext cx="3276600" cy="2434695"/>
                    </a:xfrm>
                    <a:prstGeom prst="rect">
                      <a:avLst/>
                    </a:prstGeom>
                    <a:noFill/>
                    <a:ln w="9525">
                      <a:noFill/>
                      <a:headEnd/>
                      <a:tailEnd/>
                    </a:ln>
                  </pic:spPr>
                </pic:pic>
              </a:graphicData>
            </a:graphic>
          </wp:inline>
        </w:drawing>
      </w:r>
    </w:p>
    <w:p w:rsidR="00447C35" w:rsidRDefault="00623860" w:rsidP="00413AAE">
      <w:pPr>
        <w:jc w:val="center"/>
      </w:pPr>
      <w:proofErr w:type="gramStart"/>
      <w:r>
        <w:t xml:space="preserve">Figure </w:t>
      </w:r>
      <w:r w:rsidR="000460ED">
        <w:t>5</w:t>
      </w:r>
      <w:r>
        <w:t>.</w:t>
      </w:r>
      <w:proofErr w:type="gramEnd"/>
      <w:r>
        <w:t xml:space="preserve"> Phase noise comparison between </w:t>
      </w:r>
      <w:proofErr w:type="gramStart"/>
      <w:r>
        <w:t>injection</w:t>
      </w:r>
      <w:proofErr w:type="gramEnd"/>
      <w:r>
        <w:t xml:space="preserve"> locked ring oscillator and free running reference across frequency offsets</w:t>
      </w:r>
      <w:bookmarkStart w:id="6" w:name="ablation-study"/>
    </w:p>
    <w:p w:rsidR="008E2BA4" w:rsidRDefault="00623860" w:rsidP="00E44873">
      <w:pPr>
        <w:pStyle w:val="BodyText"/>
        <w:jc w:val="center"/>
      </w:pPr>
      <w:proofErr w:type="gramStart"/>
      <w:r>
        <w:rPr>
          <w:b/>
          <w:bCs/>
        </w:rPr>
        <w:t>Table 2.</w:t>
      </w:r>
      <w:proofErr w:type="gramEnd"/>
      <w:r>
        <w:rPr>
          <w:b/>
          <w:bCs/>
        </w:rPr>
        <w:t xml:space="preserve"> Ablation Study of Proposed Techniques</w:t>
      </w:r>
    </w:p>
    <w:tbl>
      <w:tblPr>
        <w:tblStyle w:val="TableGrid"/>
        <w:tblW w:w="0" w:type="auto"/>
        <w:tblLook w:val="0020"/>
      </w:tblPr>
      <w:tblGrid>
        <w:gridCol w:w="1416"/>
        <w:gridCol w:w="769"/>
        <w:gridCol w:w="758"/>
        <w:gridCol w:w="774"/>
        <w:gridCol w:w="774"/>
        <w:gridCol w:w="765"/>
      </w:tblGrid>
      <w:tr w:rsidR="008E2BA4" w:rsidRPr="00E44873" w:rsidTr="00E44873">
        <w:tc>
          <w:tcPr>
            <w:tcW w:w="0" w:type="auto"/>
          </w:tcPr>
          <w:p w:rsidR="008E2BA4" w:rsidRPr="00E44873" w:rsidRDefault="00623860" w:rsidP="009D32ED">
            <w:pPr>
              <w:jc w:val="both"/>
              <w:rPr>
                <w:sz w:val="18"/>
                <w:szCs w:val="18"/>
              </w:rPr>
            </w:pPr>
            <w:r w:rsidRPr="00E44873">
              <w:rPr>
                <w:sz w:val="18"/>
                <w:szCs w:val="18"/>
              </w:rPr>
              <w:t>Configuration</w:t>
            </w:r>
          </w:p>
        </w:tc>
        <w:tc>
          <w:tcPr>
            <w:tcW w:w="0" w:type="auto"/>
          </w:tcPr>
          <w:p w:rsidR="008E2BA4" w:rsidRPr="00E44873" w:rsidRDefault="00623860" w:rsidP="009D32ED">
            <w:pPr>
              <w:jc w:val="both"/>
              <w:rPr>
                <w:sz w:val="18"/>
                <w:szCs w:val="18"/>
              </w:rPr>
            </w:pPr>
            <w:r w:rsidRPr="00E44873">
              <w:rPr>
                <w:sz w:val="18"/>
                <w:szCs w:val="18"/>
              </w:rPr>
              <w:t>DSP Power (mW)</w:t>
            </w:r>
          </w:p>
        </w:tc>
        <w:tc>
          <w:tcPr>
            <w:tcW w:w="0" w:type="auto"/>
          </w:tcPr>
          <w:p w:rsidR="008E2BA4" w:rsidRPr="00E44873" w:rsidRDefault="00623860" w:rsidP="009D32ED">
            <w:pPr>
              <w:jc w:val="both"/>
              <w:rPr>
                <w:sz w:val="18"/>
                <w:szCs w:val="18"/>
              </w:rPr>
            </w:pPr>
            <w:r w:rsidRPr="00E44873">
              <w:rPr>
                <w:sz w:val="18"/>
                <w:szCs w:val="18"/>
              </w:rPr>
              <w:t>PA Power (mW)</w:t>
            </w:r>
          </w:p>
        </w:tc>
        <w:tc>
          <w:tcPr>
            <w:tcW w:w="0" w:type="auto"/>
          </w:tcPr>
          <w:p w:rsidR="008E2BA4" w:rsidRPr="00E44873" w:rsidRDefault="00623860" w:rsidP="009D32ED">
            <w:pPr>
              <w:jc w:val="both"/>
              <w:rPr>
                <w:sz w:val="18"/>
                <w:szCs w:val="18"/>
              </w:rPr>
            </w:pPr>
            <w:r w:rsidRPr="00E44873">
              <w:rPr>
                <w:sz w:val="18"/>
                <w:szCs w:val="18"/>
              </w:rPr>
              <w:t>ADC Power (mW)</w:t>
            </w:r>
          </w:p>
        </w:tc>
        <w:tc>
          <w:tcPr>
            <w:tcW w:w="0" w:type="auto"/>
          </w:tcPr>
          <w:p w:rsidR="008E2BA4" w:rsidRPr="00E44873" w:rsidRDefault="00623860" w:rsidP="009D32ED">
            <w:pPr>
              <w:jc w:val="both"/>
              <w:rPr>
                <w:sz w:val="18"/>
                <w:szCs w:val="18"/>
              </w:rPr>
            </w:pPr>
            <w:r w:rsidRPr="00E44873">
              <w:rPr>
                <w:sz w:val="18"/>
                <w:szCs w:val="18"/>
              </w:rPr>
              <w:t>Total Power (mW)</w:t>
            </w:r>
          </w:p>
        </w:tc>
        <w:tc>
          <w:tcPr>
            <w:tcW w:w="0" w:type="auto"/>
          </w:tcPr>
          <w:p w:rsidR="008E2BA4" w:rsidRPr="00E44873" w:rsidRDefault="00623860" w:rsidP="009D32ED">
            <w:pPr>
              <w:jc w:val="both"/>
              <w:rPr>
                <w:sz w:val="18"/>
                <w:szCs w:val="18"/>
              </w:rPr>
            </w:pPr>
            <w:r w:rsidRPr="00E44873">
              <w:rPr>
                <w:sz w:val="18"/>
                <w:szCs w:val="18"/>
              </w:rPr>
              <w:t>EE (pJ/bit)</w:t>
            </w:r>
          </w:p>
        </w:tc>
      </w:tr>
      <w:tr w:rsidR="008E2BA4" w:rsidRPr="00E44873" w:rsidTr="00E44873">
        <w:tc>
          <w:tcPr>
            <w:tcW w:w="0" w:type="auto"/>
          </w:tcPr>
          <w:p w:rsidR="008E2BA4" w:rsidRPr="00E44873" w:rsidRDefault="00623860" w:rsidP="009D32ED">
            <w:pPr>
              <w:jc w:val="both"/>
              <w:rPr>
                <w:sz w:val="18"/>
                <w:szCs w:val="18"/>
              </w:rPr>
            </w:pPr>
            <w:r w:rsidRPr="00E44873">
              <w:rPr>
                <w:sz w:val="18"/>
                <w:szCs w:val="18"/>
              </w:rPr>
              <w:t>Full Proposed</w:t>
            </w:r>
          </w:p>
        </w:tc>
        <w:tc>
          <w:tcPr>
            <w:tcW w:w="0" w:type="auto"/>
          </w:tcPr>
          <w:p w:rsidR="008E2BA4" w:rsidRPr="00E44873" w:rsidRDefault="00623860" w:rsidP="009D32ED">
            <w:pPr>
              <w:jc w:val="both"/>
              <w:rPr>
                <w:sz w:val="18"/>
                <w:szCs w:val="18"/>
              </w:rPr>
            </w:pPr>
            <w:r w:rsidRPr="00E44873">
              <w:rPr>
                <w:sz w:val="18"/>
                <w:szCs w:val="18"/>
              </w:rPr>
              <w:t>68</w:t>
            </w:r>
          </w:p>
        </w:tc>
        <w:tc>
          <w:tcPr>
            <w:tcW w:w="0" w:type="auto"/>
          </w:tcPr>
          <w:p w:rsidR="008E2BA4" w:rsidRPr="00E44873" w:rsidRDefault="00623860" w:rsidP="009D32ED">
            <w:pPr>
              <w:jc w:val="both"/>
              <w:rPr>
                <w:sz w:val="18"/>
                <w:szCs w:val="18"/>
              </w:rPr>
            </w:pPr>
            <w:r w:rsidRPr="00E44873">
              <w:rPr>
                <w:sz w:val="18"/>
                <w:szCs w:val="18"/>
              </w:rPr>
              <w:t>124</w:t>
            </w:r>
          </w:p>
        </w:tc>
        <w:tc>
          <w:tcPr>
            <w:tcW w:w="0" w:type="auto"/>
          </w:tcPr>
          <w:p w:rsidR="008E2BA4" w:rsidRPr="00E44873" w:rsidRDefault="00623860" w:rsidP="009D32ED">
            <w:pPr>
              <w:jc w:val="both"/>
              <w:rPr>
                <w:sz w:val="18"/>
                <w:szCs w:val="18"/>
              </w:rPr>
            </w:pPr>
            <w:r w:rsidRPr="00E44873">
              <w:rPr>
                <w:sz w:val="18"/>
                <w:szCs w:val="18"/>
              </w:rPr>
              <w:t>38</w:t>
            </w:r>
          </w:p>
        </w:tc>
        <w:tc>
          <w:tcPr>
            <w:tcW w:w="0" w:type="auto"/>
          </w:tcPr>
          <w:p w:rsidR="008E2BA4" w:rsidRPr="00E44873" w:rsidRDefault="00623860" w:rsidP="009D32ED">
            <w:pPr>
              <w:jc w:val="both"/>
              <w:rPr>
                <w:sz w:val="18"/>
                <w:szCs w:val="18"/>
              </w:rPr>
            </w:pPr>
            <w:r w:rsidRPr="00E44873">
              <w:rPr>
                <w:sz w:val="18"/>
                <w:szCs w:val="18"/>
              </w:rPr>
              <w:t>312</w:t>
            </w:r>
          </w:p>
        </w:tc>
        <w:tc>
          <w:tcPr>
            <w:tcW w:w="0" w:type="auto"/>
          </w:tcPr>
          <w:p w:rsidR="008E2BA4" w:rsidRPr="00E44873" w:rsidRDefault="00623860" w:rsidP="009D32ED">
            <w:pPr>
              <w:jc w:val="both"/>
              <w:rPr>
                <w:sz w:val="18"/>
                <w:szCs w:val="18"/>
              </w:rPr>
            </w:pPr>
            <w:r w:rsidRPr="00E44873">
              <w:rPr>
                <w:sz w:val="18"/>
                <w:szCs w:val="18"/>
              </w:rPr>
              <w:t>1.56</w:t>
            </w:r>
          </w:p>
        </w:tc>
      </w:tr>
      <w:tr w:rsidR="008E2BA4" w:rsidRPr="00E44873" w:rsidTr="00E44873">
        <w:tc>
          <w:tcPr>
            <w:tcW w:w="0" w:type="auto"/>
          </w:tcPr>
          <w:p w:rsidR="008E2BA4" w:rsidRPr="00E44873" w:rsidRDefault="00623860" w:rsidP="009D32ED">
            <w:pPr>
              <w:jc w:val="both"/>
              <w:rPr>
                <w:sz w:val="18"/>
                <w:szCs w:val="18"/>
              </w:rPr>
            </w:pPr>
            <w:r w:rsidRPr="00E44873">
              <w:rPr>
                <w:sz w:val="18"/>
                <w:szCs w:val="18"/>
              </w:rPr>
              <w:t>Fixed PA bias</w:t>
            </w:r>
          </w:p>
        </w:tc>
        <w:tc>
          <w:tcPr>
            <w:tcW w:w="0" w:type="auto"/>
          </w:tcPr>
          <w:p w:rsidR="008E2BA4" w:rsidRPr="00E44873" w:rsidRDefault="00623860" w:rsidP="009D32ED">
            <w:pPr>
              <w:jc w:val="both"/>
              <w:rPr>
                <w:sz w:val="18"/>
                <w:szCs w:val="18"/>
              </w:rPr>
            </w:pPr>
            <w:r w:rsidRPr="00E44873">
              <w:rPr>
                <w:sz w:val="18"/>
                <w:szCs w:val="18"/>
              </w:rPr>
              <w:t>68</w:t>
            </w:r>
          </w:p>
        </w:tc>
        <w:tc>
          <w:tcPr>
            <w:tcW w:w="0" w:type="auto"/>
          </w:tcPr>
          <w:p w:rsidR="008E2BA4" w:rsidRPr="00E44873" w:rsidRDefault="00623860" w:rsidP="009D32ED">
            <w:pPr>
              <w:jc w:val="both"/>
              <w:rPr>
                <w:sz w:val="18"/>
                <w:szCs w:val="18"/>
              </w:rPr>
            </w:pPr>
            <w:r w:rsidRPr="00E44873">
              <w:rPr>
                <w:sz w:val="18"/>
                <w:szCs w:val="18"/>
              </w:rPr>
              <w:t>171</w:t>
            </w:r>
          </w:p>
        </w:tc>
        <w:tc>
          <w:tcPr>
            <w:tcW w:w="0" w:type="auto"/>
          </w:tcPr>
          <w:p w:rsidR="008E2BA4" w:rsidRPr="00E44873" w:rsidRDefault="00623860" w:rsidP="009D32ED">
            <w:pPr>
              <w:jc w:val="both"/>
              <w:rPr>
                <w:sz w:val="18"/>
                <w:szCs w:val="18"/>
              </w:rPr>
            </w:pPr>
            <w:r w:rsidRPr="00E44873">
              <w:rPr>
                <w:sz w:val="18"/>
                <w:szCs w:val="18"/>
              </w:rPr>
              <w:t>38</w:t>
            </w:r>
          </w:p>
        </w:tc>
        <w:tc>
          <w:tcPr>
            <w:tcW w:w="0" w:type="auto"/>
          </w:tcPr>
          <w:p w:rsidR="008E2BA4" w:rsidRPr="00E44873" w:rsidRDefault="00623860" w:rsidP="009D32ED">
            <w:pPr>
              <w:jc w:val="both"/>
              <w:rPr>
                <w:sz w:val="18"/>
                <w:szCs w:val="18"/>
              </w:rPr>
            </w:pPr>
            <w:r w:rsidRPr="00E44873">
              <w:rPr>
                <w:sz w:val="18"/>
                <w:szCs w:val="18"/>
              </w:rPr>
              <w:t>359</w:t>
            </w:r>
          </w:p>
        </w:tc>
        <w:tc>
          <w:tcPr>
            <w:tcW w:w="0" w:type="auto"/>
          </w:tcPr>
          <w:p w:rsidR="008E2BA4" w:rsidRPr="00E44873" w:rsidRDefault="00623860" w:rsidP="009D32ED">
            <w:pPr>
              <w:jc w:val="both"/>
              <w:rPr>
                <w:sz w:val="18"/>
                <w:szCs w:val="18"/>
              </w:rPr>
            </w:pPr>
            <w:r w:rsidRPr="00E44873">
              <w:rPr>
                <w:sz w:val="18"/>
                <w:szCs w:val="18"/>
              </w:rPr>
              <w:t>1.80</w:t>
            </w:r>
          </w:p>
        </w:tc>
      </w:tr>
      <w:tr w:rsidR="008E2BA4" w:rsidRPr="00E44873" w:rsidTr="00E44873">
        <w:tc>
          <w:tcPr>
            <w:tcW w:w="0" w:type="auto"/>
          </w:tcPr>
          <w:p w:rsidR="008E2BA4" w:rsidRPr="00E44873" w:rsidRDefault="00623860" w:rsidP="009D32ED">
            <w:pPr>
              <w:jc w:val="both"/>
              <w:rPr>
                <w:sz w:val="18"/>
                <w:szCs w:val="18"/>
              </w:rPr>
            </w:pPr>
            <w:r w:rsidRPr="00E44873">
              <w:rPr>
                <w:sz w:val="18"/>
                <w:szCs w:val="18"/>
              </w:rPr>
              <w:t>Flat DSP (no retiming)</w:t>
            </w:r>
          </w:p>
        </w:tc>
        <w:tc>
          <w:tcPr>
            <w:tcW w:w="0" w:type="auto"/>
          </w:tcPr>
          <w:p w:rsidR="008E2BA4" w:rsidRPr="00E44873" w:rsidRDefault="00623860" w:rsidP="009D32ED">
            <w:pPr>
              <w:jc w:val="both"/>
              <w:rPr>
                <w:sz w:val="18"/>
                <w:szCs w:val="18"/>
              </w:rPr>
            </w:pPr>
            <w:r w:rsidRPr="00E44873">
              <w:rPr>
                <w:sz w:val="18"/>
                <w:szCs w:val="18"/>
              </w:rPr>
              <w:t>90</w:t>
            </w:r>
          </w:p>
        </w:tc>
        <w:tc>
          <w:tcPr>
            <w:tcW w:w="0" w:type="auto"/>
          </w:tcPr>
          <w:p w:rsidR="008E2BA4" w:rsidRPr="00E44873" w:rsidRDefault="00623860" w:rsidP="009D32ED">
            <w:pPr>
              <w:jc w:val="both"/>
              <w:rPr>
                <w:sz w:val="18"/>
                <w:szCs w:val="18"/>
              </w:rPr>
            </w:pPr>
            <w:r w:rsidRPr="00E44873">
              <w:rPr>
                <w:sz w:val="18"/>
                <w:szCs w:val="18"/>
              </w:rPr>
              <w:t>124</w:t>
            </w:r>
          </w:p>
        </w:tc>
        <w:tc>
          <w:tcPr>
            <w:tcW w:w="0" w:type="auto"/>
          </w:tcPr>
          <w:p w:rsidR="008E2BA4" w:rsidRPr="00E44873" w:rsidRDefault="00623860" w:rsidP="009D32ED">
            <w:pPr>
              <w:jc w:val="both"/>
              <w:rPr>
                <w:sz w:val="18"/>
                <w:szCs w:val="18"/>
              </w:rPr>
            </w:pPr>
            <w:r w:rsidRPr="00E44873">
              <w:rPr>
                <w:sz w:val="18"/>
                <w:szCs w:val="18"/>
              </w:rPr>
              <w:t>38</w:t>
            </w:r>
          </w:p>
        </w:tc>
        <w:tc>
          <w:tcPr>
            <w:tcW w:w="0" w:type="auto"/>
          </w:tcPr>
          <w:p w:rsidR="008E2BA4" w:rsidRPr="00E44873" w:rsidRDefault="00623860" w:rsidP="009D32ED">
            <w:pPr>
              <w:jc w:val="both"/>
              <w:rPr>
                <w:sz w:val="18"/>
                <w:szCs w:val="18"/>
              </w:rPr>
            </w:pPr>
            <w:r w:rsidRPr="00E44873">
              <w:rPr>
                <w:sz w:val="18"/>
                <w:szCs w:val="18"/>
              </w:rPr>
              <w:t>334</w:t>
            </w:r>
          </w:p>
        </w:tc>
        <w:tc>
          <w:tcPr>
            <w:tcW w:w="0" w:type="auto"/>
          </w:tcPr>
          <w:p w:rsidR="008E2BA4" w:rsidRPr="00E44873" w:rsidRDefault="00623860" w:rsidP="009D32ED">
            <w:pPr>
              <w:jc w:val="both"/>
              <w:rPr>
                <w:sz w:val="18"/>
                <w:szCs w:val="18"/>
              </w:rPr>
            </w:pPr>
            <w:r w:rsidRPr="00E44873">
              <w:rPr>
                <w:sz w:val="18"/>
                <w:szCs w:val="18"/>
              </w:rPr>
              <w:t>1.67</w:t>
            </w:r>
          </w:p>
        </w:tc>
      </w:tr>
      <w:tr w:rsidR="008E2BA4" w:rsidRPr="00E44873" w:rsidTr="00E44873">
        <w:tc>
          <w:tcPr>
            <w:tcW w:w="0" w:type="auto"/>
          </w:tcPr>
          <w:p w:rsidR="008E2BA4" w:rsidRPr="00E44873" w:rsidRDefault="00623860" w:rsidP="009D32ED">
            <w:pPr>
              <w:jc w:val="both"/>
              <w:rPr>
                <w:sz w:val="18"/>
                <w:szCs w:val="18"/>
              </w:rPr>
            </w:pPr>
            <w:r w:rsidRPr="00E44873">
              <w:rPr>
                <w:sz w:val="18"/>
                <w:szCs w:val="18"/>
              </w:rPr>
              <w:t>No ADC skew calibration</w:t>
            </w:r>
          </w:p>
        </w:tc>
        <w:tc>
          <w:tcPr>
            <w:tcW w:w="0" w:type="auto"/>
          </w:tcPr>
          <w:p w:rsidR="008E2BA4" w:rsidRPr="00E44873" w:rsidRDefault="00623860" w:rsidP="009D32ED">
            <w:pPr>
              <w:jc w:val="both"/>
              <w:rPr>
                <w:sz w:val="18"/>
                <w:szCs w:val="18"/>
              </w:rPr>
            </w:pPr>
            <w:r w:rsidRPr="00E44873">
              <w:rPr>
                <w:sz w:val="18"/>
                <w:szCs w:val="18"/>
              </w:rPr>
              <w:t>68</w:t>
            </w:r>
          </w:p>
        </w:tc>
        <w:tc>
          <w:tcPr>
            <w:tcW w:w="0" w:type="auto"/>
          </w:tcPr>
          <w:p w:rsidR="008E2BA4" w:rsidRPr="00E44873" w:rsidRDefault="00623860" w:rsidP="009D32ED">
            <w:pPr>
              <w:jc w:val="both"/>
              <w:rPr>
                <w:sz w:val="18"/>
                <w:szCs w:val="18"/>
              </w:rPr>
            </w:pPr>
            <w:r w:rsidRPr="00E44873">
              <w:rPr>
                <w:sz w:val="18"/>
                <w:szCs w:val="18"/>
              </w:rPr>
              <w:t>124</w:t>
            </w:r>
          </w:p>
        </w:tc>
        <w:tc>
          <w:tcPr>
            <w:tcW w:w="0" w:type="auto"/>
          </w:tcPr>
          <w:p w:rsidR="008E2BA4" w:rsidRPr="00E44873" w:rsidRDefault="00623860" w:rsidP="009D32ED">
            <w:pPr>
              <w:jc w:val="both"/>
              <w:rPr>
                <w:sz w:val="18"/>
                <w:szCs w:val="18"/>
              </w:rPr>
            </w:pPr>
            <w:r w:rsidRPr="00E44873">
              <w:rPr>
                <w:sz w:val="18"/>
                <w:szCs w:val="18"/>
              </w:rPr>
              <w:t>60</w:t>
            </w:r>
          </w:p>
        </w:tc>
        <w:tc>
          <w:tcPr>
            <w:tcW w:w="0" w:type="auto"/>
          </w:tcPr>
          <w:p w:rsidR="008E2BA4" w:rsidRPr="00E44873" w:rsidRDefault="00623860" w:rsidP="009D32ED">
            <w:pPr>
              <w:jc w:val="both"/>
              <w:rPr>
                <w:sz w:val="18"/>
                <w:szCs w:val="18"/>
              </w:rPr>
            </w:pPr>
            <w:r w:rsidRPr="00E44873">
              <w:rPr>
                <w:sz w:val="18"/>
                <w:szCs w:val="18"/>
              </w:rPr>
              <w:t>334</w:t>
            </w:r>
          </w:p>
        </w:tc>
        <w:tc>
          <w:tcPr>
            <w:tcW w:w="0" w:type="auto"/>
          </w:tcPr>
          <w:p w:rsidR="008E2BA4" w:rsidRPr="00E44873" w:rsidRDefault="00623860" w:rsidP="009D32ED">
            <w:pPr>
              <w:jc w:val="both"/>
              <w:rPr>
                <w:sz w:val="18"/>
                <w:szCs w:val="18"/>
              </w:rPr>
            </w:pPr>
            <w:r w:rsidRPr="00E44873">
              <w:rPr>
                <w:sz w:val="18"/>
                <w:szCs w:val="18"/>
              </w:rPr>
              <w:t>1.67</w:t>
            </w:r>
          </w:p>
        </w:tc>
      </w:tr>
      <w:tr w:rsidR="008E2BA4" w:rsidRPr="00E44873" w:rsidTr="00E44873">
        <w:tc>
          <w:tcPr>
            <w:tcW w:w="0" w:type="auto"/>
          </w:tcPr>
          <w:p w:rsidR="008E2BA4" w:rsidRPr="00E44873" w:rsidRDefault="00623860" w:rsidP="009D32ED">
            <w:pPr>
              <w:jc w:val="both"/>
              <w:rPr>
                <w:sz w:val="18"/>
                <w:szCs w:val="18"/>
              </w:rPr>
            </w:pPr>
            <w:r w:rsidRPr="00E44873">
              <w:rPr>
                <w:sz w:val="18"/>
                <w:szCs w:val="18"/>
              </w:rPr>
              <w:t>None of the above (conventional)</w:t>
            </w:r>
          </w:p>
        </w:tc>
        <w:tc>
          <w:tcPr>
            <w:tcW w:w="0" w:type="auto"/>
          </w:tcPr>
          <w:p w:rsidR="008E2BA4" w:rsidRPr="00E44873" w:rsidRDefault="00623860" w:rsidP="009D32ED">
            <w:pPr>
              <w:jc w:val="both"/>
              <w:rPr>
                <w:sz w:val="18"/>
                <w:szCs w:val="18"/>
              </w:rPr>
            </w:pPr>
            <w:r w:rsidRPr="00E44873">
              <w:rPr>
                <w:sz w:val="18"/>
                <w:szCs w:val="18"/>
              </w:rPr>
              <w:t>90</w:t>
            </w:r>
          </w:p>
        </w:tc>
        <w:tc>
          <w:tcPr>
            <w:tcW w:w="0" w:type="auto"/>
          </w:tcPr>
          <w:p w:rsidR="008E2BA4" w:rsidRPr="00E44873" w:rsidRDefault="00623860" w:rsidP="009D32ED">
            <w:pPr>
              <w:jc w:val="both"/>
              <w:rPr>
                <w:sz w:val="18"/>
                <w:szCs w:val="18"/>
              </w:rPr>
            </w:pPr>
            <w:r w:rsidRPr="00E44873">
              <w:rPr>
                <w:sz w:val="18"/>
                <w:szCs w:val="18"/>
              </w:rPr>
              <w:t>171</w:t>
            </w:r>
          </w:p>
        </w:tc>
        <w:tc>
          <w:tcPr>
            <w:tcW w:w="0" w:type="auto"/>
          </w:tcPr>
          <w:p w:rsidR="008E2BA4" w:rsidRPr="00E44873" w:rsidRDefault="00623860" w:rsidP="009D32ED">
            <w:pPr>
              <w:jc w:val="both"/>
              <w:rPr>
                <w:sz w:val="18"/>
                <w:szCs w:val="18"/>
              </w:rPr>
            </w:pPr>
            <w:r w:rsidRPr="00E44873">
              <w:rPr>
                <w:sz w:val="18"/>
                <w:szCs w:val="18"/>
              </w:rPr>
              <w:t>60</w:t>
            </w:r>
          </w:p>
        </w:tc>
        <w:tc>
          <w:tcPr>
            <w:tcW w:w="0" w:type="auto"/>
          </w:tcPr>
          <w:p w:rsidR="008E2BA4" w:rsidRPr="00E44873" w:rsidRDefault="00623860" w:rsidP="009D32ED">
            <w:pPr>
              <w:jc w:val="both"/>
              <w:rPr>
                <w:sz w:val="18"/>
                <w:szCs w:val="18"/>
              </w:rPr>
            </w:pPr>
            <w:r w:rsidRPr="00E44873">
              <w:rPr>
                <w:sz w:val="18"/>
                <w:szCs w:val="18"/>
              </w:rPr>
              <w:t>403</w:t>
            </w:r>
          </w:p>
        </w:tc>
        <w:tc>
          <w:tcPr>
            <w:tcW w:w="0" w:type="auto"/>
          </w:tcPr>
          <w:p w:rsidR="008E2BA4" w:rsidRPr="00E44873" w:rsidRDefault="00623860" w:rsidP="009D32ED">
            <w:pPr>
              <w:jc w:val="both"/>
              <w:rPr>
                <w:sz w:val="18"/>
                <w:szCs w:val="18"/>
              </w:rPr>
            </w:pPr>
            <w:r w:rsidRPr="00E44873">
              <w:rPr>
                <w:sz w:val="18"/>
                <w:szCs w:val="18"/>
              </w:rPr>
              <w:t>2.02</w:t>
            </w:r>
          </w:p>
        </w:tc>
      </w:tr>
    </w:tbl>
    <w:p w:rsidR="008E2BA4" w:rsidRPr="00413AAE" w:rsidRDefault="00623860" w:rsidP="00E44873">
      <w:pPr>
        <w:pStyle w:val="Heading1"/>
        <w:rPr>
          <w:b/>
        </w:rPr>
      </w:pPr>
      <w:bookmarkStart w:id="7" w:name="discussion-and-future-work"/>
      <w:bookmarkEnd w:id="5"/>
      <w:bookmarkEnd w:id="6"/>
      <w:r w:rsidRPr="00413AAE">
        <w:rPr>
          <w:b/>
        </w:rPr>
        <w:t>Discussion and Future Work</w:t>
      </w:r>
    </w:p>
    <w:p w:rsidR="008E2BA4" w:rsidRDefault="00623860" w:rsidP="009D32ED">
      <w:pPr>
        <w:pStyle w:val="Heading2"/>
        <w:jc w:val="both"/>
      </w:pPr>
      <w:bookmarkStart w:id="8" w:name="X3f5a58946884c28f87e715108e00b63d676f7ac"/>
      <w:r>
        <w:t>Scalability Limits and Thermal Management in Advanced Technology Nodes</w:t>
      </w:r>
    </w:p>
    <w:p w:rsidR="00447C35" w:rsidRDefault="00447C35" w:rsidP="00447C35">
      <w:pPr>
        <w:pStyle w:val="BodyText"/>
      </w:pPr>
      <w:r>
        <w:t>As we approach newer generations (e.g., 3nm Gate-All-Around (GAA) FET and/or 2nm Complementary FET (CFET)) of advanced technology nodes, there are many opportunities and also certain challenges associated with the proposed architecture. The device intrinsic improvements with these advanced technology nodes (i.e., increase in cutoff frequency (</w:t>
      </w:r>
      <w:proofErr w:type="spellStart"/>
      <w:r>
        <w:t>fT</w:t>
      </w:r>
      <w:proofErr w:type="spellEnd"/>
      <w:r>
        <w:t xml:space="preserve">) and reduction of parasitic capacitances) will allow for an increased frequency range for the operating frequency and likely decrease the dynamic power consumption of the DSP and clock distribution networks. However, further reduction of supply voltages (i.e., &lt;0.7V) via aggressive scaling will create a fundamental tension between the requirements of the analog front-end (AFE), and those of the power amplifier (PA) array at these nodes. The adaptive-bias PA technique relies on having enough voltage headroom available to create the four distinct bias states </w:t>
      </w:r>
      <w:proofErr w:type="spellStart"/>
      <w:r>
        <w:t>B_i</w:t>
      </w:r>
      <w:proofErr w:type="spellEnd"/>
      <w:r>
        <w:t>. If the voltage supply headroom is reduced, the separation between these bias states may be compressed resulting in a loss of potential improvement in PAE.</w:t>
      </w:r>
    </w:p>
    <w:p w:rsidR="008E2BA4" w:rsidRDefault="00447C35" w:rsidP="00447C35">
      <w:pPr>
        <w:pStyle w:val="BodyText"/>
      </w:pPr>
      <w:r>
        <w:t xml:space="preserve">Additionally, managing the thermal issues related to the PA array becomes increasingly difficult at sub-5nm nodes. While the adaptive-bias PA technique reduces the average power dissipated (by ~27% relative to a fixed class-AB bias) as </w:t>
      </w:r>
      <w:r>
        <w:lastRenderedPageBreak/>
        <w:t xml:space="preserve">shown in the ablation study, the lateral heat spreading characteristics in very closely packed </w:t>
      </w:r>
      <w:proofErr w:type="spellStart"/>
      <w:r>
        <w:t>FinFET</w:t>
      </w:r>
      <w:proofErr w:type="spellEnd"/>
      <w:r>
        <w:t xml:space="preserve"> or GAA-FET structures will be poor</w:t>
      </w:r>
      <w:r w:rsidR="00623860">
        <w:t xml:space="preserve">. </w:t>
      </w:r>
      <w:r w:rsidRPr="00447C35">
        <w:t xml:space="preserve">Due to thermal stress resulting from high temperatures within the PA electronic units (e.g., the junction temperature of the PA unit cells located near where the hottest area of PA occurs could exceed 105°C when the ambient temperature is 85°C), it could increase </w:t>
      </w:r>
      <w:proofErr w:type="spellStart"/>
      <w:r w:rsidRPr="00447C35">
        <w:t>electromigration</w:t>
      </w:r>
      <w:proofErr w:type="spellEnd"/>
      <w:r w:rsidRPr="00447C35">
        <w:t xml:space="preserve"> of metal interconnects and/or accelerate aging of materials in a way that decreases long-term reliability of transceivers. Therefore, future designs should look at adding distributed temperature sensors and a closed loop thermal management that throttles data rate or adaptive bias sta</w:t>
      </w:r>
      <w:r>
        <w:t>tes based on real-time readings</w:t>
      </w:r>
      <w:r w:rsidR="00623860">
        <w:t>.</w:t>
      </w:r>
    </w:p>
    <w:p w:rsidR="008E2BA4" w:rsidRDefault="00623860" w:rsidP="009D32ED">
      <w:pPr>
        <w:pStyle w:val="Heading2"/>
        <w:jc w:val="both"/>
      </w:pPr>
      <w:bookmarkStart w:id="9" w:name="Xc3fbb08172d975cd876dbb0a1f98c1e751c7cb5"/>
      <w:bookmarkEnd w:id="8"/>
      <w:r>
        <w:t>System-Level Integration Challenges: Packaging and Antenna Interfaces</w:t>
      </w:r>
    </w:p>
    <w:p w:rsidR="008E2BA4" w:rsidRDefault="00447C35" w:rsidP="009D32ED">
      <w:pPr>
        <w:jc w:val="both"/>
      </w:pPr>
      <w:r w:rsidRPr="00447C35">
        <w:t>There are many additional packaging-related challenges involved in converting a standalone RF transceiver chip into an integrated complete system-on-module (</w:t>
      </w:r>
      <w:proofErr w:type="spellStart"/>
      <w:r w:rsidRPr="00447C35">
        <w:t>SoM</w:t>
      </w:r>
      <w:proofErr w:type="spellEnd"/>
      <w:r w:rsidRPr="00447C35">
        <w:t xml:space="preserve">). The carrier frequency of 0.4 THz corresponds to a free-space wavelength of λ_0=750μm which is similar in size to the ball grid array (BGA) package dimensions. Impedance mismatches caused by parasitic inductance and capacitance associated with wire bonds or TSVs can reduce the efficiency of the antenna's feeding mechanism. Currently, we have assumed that the transceiver will utilize an on-chip integrated antenna with a gain of 6 </w:t>
      </w:r>
      <w:proofErr w:type="spellStart"/>
      <w:r w:rsidRPr="00447C35">
        <w:t>dBi</w:t>
      </w:r>
      <w:proofErr w:type="spellEnd"/>
      <w:r w:rsidRPr="00447C35">
        <w:t>; however, the maximum theoretical directivity of this type of antenna is limited to the die area of 0.42 mm². To achieve transmission ranges greater than 1m, we will need to continue exploring means of integrating either a lens-corrected off-chip antenna or a flip-chip mounted dielectric resonator antenna (DRA) onto the tra</w:t>
      </w:r>
      <w:r>
        <w:t>nsceiver die in our future work</w:t>
      </w:r>
      <w:r w:rsidR="00623860">
        <w:t>.</w:t>
      </w:r>
    </w:p>
    <w:p w:rsidR="008E2BA4" w:rsidRDefault="00447C35" w:rsidP="009D32ED">
      <w:pPr>
        <w:pStyle w:val="BodyText"/>
      </w:pPr>
      <w:r w:rsidRPr="00447C35">
        <w:t xml:space="preserve">An additional obstacle comes from the interface of the digital baseband with the PA array; to meet the needs of the adaptive-bias scheme, it is necessary to distribute the low-skew, low-jitter clocks across all of the 16 unit cells in the PA's array of units to provide precise switching of bias relative to the symbol boundary of each symbol. Given that there will be an 8-phase interleaving scheme at 3.125 GHz, the total clock distribution latency will be about 160 </w:t>
      </w:r>
      <w:proofErr w:type="spellStart"/>
      <w:r w:rsidRPr="00447C35">
        <w:t>ps</w:t>
      </w:r>
      <w:proofErr w:type="spellEnd"/>
      <w:r w:rsidRPr="00447C35">
        <w:t xml:space="preserve"> in each lane and any mismatch of delay between the clock trees of the various PA unit cells would cause ISI between consecutive symbols. It is possible to reduce this mismatch by using a non-uniform clock distribution tree, for example, using a H-tree </w:t>
      </w:r>
      <w:proofErr w:type="spellStart"/>
      <w:r w:rsidRPr="00447C35">
        <w:t>hybridised</w:t>
      </w:r>
      <w:proofErr w:type="spellEnd"/>
      <w:r w:rsidRPr="00447C35">
        <w:t xml:space="preserve"> with active </w:t>
      </w:r>
      <w:proofErr w:type="spellStart"/>
      <w:r w:rsidRPr="00447C35">
        <w:t>deskew</w:t>
      </w:r>
      <w:proofErr w:type="spellEnd"/>
      <w:r w:rsidRPr="00447C35">
        <w:t xml:space="preserve"> buffers; however, there will be a significant power penalty associated with having this type of </w:t>
      </w:r>
      <w:proofErr w:type="spellStart"/>
      <w:r w:rsidRPr="00447C35">
        <w:t>deskew</w:t>
      </w:r>
      <w:proofErr w:type="spellEnd"/>
      <w:r w:rsidRPr="00447C35">
        <w:t xml:space="preserve"> infrastructure. A different methodology could involve implementing the same timing skew calibration algorithm that is used for the ADC (Analog-to-Digital Converter) to perform clock distribution mismatch compensation in the PA array, thereby allowing the calibration hardware of the transm</w:t>
      </w:r>
      <w:r>
        <w:t>itter and receiver to be shared</w:t>
      </w:r>
      <w:r w:rsidR="00623860">
        <w:t>.</w:t>
      </w:r>
    </w:p>
    <w:p w:rsidR="008E2BA4" w:rsidRDefault="00623860" w:rsidP="009D32ED">
      <w:pPr>
        <w:pStyle w:val="Heading2"/>
        <w:jc w:val="both"/>
      </w:pPr>
      <w:bookmarkStart w:id="10" w:name="Xc76e6ca1643d072470ce2289f52b2e8da331484"/>
      <w:bookmarkEnd w:id="9"/>
      <w:r>
        <w:t>Architectural Flexibility for Next-Generation Modulation Schemes</w:t>
      </w:r>
    </w:p>
    <w:p w:rsidR="008E2BA4" w:rsidRDefault="00447C35" w:rsidP="009D32ED">
      <w:pPr>
        <w:jc w:val="both"/>
      </w:pPr>
      <w:r w:rsidRPr="00447C35">
        <w:t xml:space="preserve">Currently the most widely used modulation scheme for high speed serial interfaces is PAM-4. However, as the 6G ecosystem continues to utilize multi-level </w:t>
      </w:r>
      <w:proofErr w:type="spellStart"/>
      <w:r w:rsidRPr="00447C35">
        <w:t>quadrature</w:t>
      </w:r>
      <w:proofErr w:type="spellEnd"/>
      <w:r w:rsidRPr="00447C35">
        <w:t xml:space="preserve"> amplitude modulation (QAM) schemes like 16-QAM or 64-QAM, new architecture must be flexible enough to support a </w:t>
      </w:r>
      <w:r w:rsidRPr="00447C35">
        <w:lastRenderedPageBreak/>
        <w:t xml:space="preserve">large range of modulation formats. The adaptive biasing amplifier architecture was designed for, and only supports, 4 distinct bias levels which relate to the 4 different amplitude levels of PAM-4. Extending this to support 16 levels of 16-QAM (3 distinct amplitude levels but 12 phase angles at each level) is a challenge. One possible method would involve replacing the discrete LUT bias mapping with a high resolution digital word that controls both the gate bias and supply voltage for each unit cell. For instance, using a 4 bit bias word would allow for the possible creation of 16 distinct bias states, allowing for maintaining high power added efficiency (PAE) </w:t>
      </w:r>
      <w:r>
        <w:t>across the 16-QAM constellation</w:t>
      </w:r>
      <w:r w:rsidR="00623860">
        <w:t>.</w:t>
      </w:r>
    </w:p>
    <w:p w:rsidR="00447C35" w:rsidRDefault="00447C35" w:rsidP="00447C35">
      <w:pPr>
        <w:pStyle w:val="BodyText"/>
      </w:pPr>
      <w:r>
        <w:t xml:space="preserve">In terms of inherent flexibility, the retimed DSP </w:t>
      </w:r>
      <w:proofErr w:type="spellStart"/>
      <w:r>
        <w:t>datapath</w:t>
      </w:r>
      <w:proofErr w:type="spellEnd"/>
      <w:r>
        <w:t xml:space="preserve"> has greater flexibility than its original version (the pipeline non-retimed DSP </w:t>
      </w:r>
      <w:proofErr w:type="spellStart"/>
      <w:r>
        <w:t>datapath</w:t>
      </w:r>
      <w:proofErr w:type="spellEnd"/>
      <w:r>
        <w:t xml:space="preserve">). The </w:t>
      </w:r>
      <w:proofErr w:type="spellStart"/>
      <w:r>
        <w:t>Leiserson</w:t>
      </w:r>
      <w:proofErr w:type="spellEnd"/>
      <w:r>
        <w:t xml:space="preserve">-Saxe retiming algorithm targets the directed graph representation of the </w:t>
      </w:r>
      <w:proofErr w:type="spellStart"/>
      <w:r>
        <w:t>datapath</w:t>
      </w:r>
      <w:proofErr w:type="spellEnd"/>
      <w:r>
        <w:t xml:space="preserve"> (irrespective of the actual arithmetic functions that the </w:t>
      </w:r>
      <w:proofErr w:type="spellStart"/>
      <w:r>
        <w:t>datapath</w:t>
      </w:r>
      <w:proofErr w:type="spellEnd"/>
      <w:r>
        <w:t xml:space="preserve"> may provide). Thus, the only requirement for replacing the Tomlinson-</w:t>
      </w:r>
      <w:proofErr w:type="spellStart"/>
      <w:r>
        <w:t>Harashima</w:t>
      </w:r>
      <w:proofErr w:type="spellEnd"/>
      <w:r>
        <w:t xml:space="preserve"> </w:t>
      </w:r>
      <w:proofErr w:type="spellStart"/>
      <w:r>
        <w:t>precoder</w:t>
      </w:r>
      <w:proofErr w:type="spellEnd"/>
      <w:r>
        <w:t xml:space="preserve"> with a multi-level QAM modulator (which requires complex multiplication and matrix operations) is for the modified application to include the appropriate graph representation of the modified application. The use of a half rate architecture with 8 phase interleaving is continued, as long as the critical path delay remains less than or equal to 320 </w:t>
      </w:r>
      <w:proofErr w:type="spellStart"/>
      <w:r>
        <w:t>ps</w:t>
      </w:r>
      <w:proofErr w:type="spellEnd"/>
      <w:r>
        <w:t xml:space="preserve"> after retiming. Therefore, the digital baseband will not be the limiting factor to the implementati</w:t>
      </w:r>
      <w:r w:rsidR="0034271F">
        <w:t>on of higher order modulations.</w:t>
      </w:r>
    </w:p>
    <w:p w:rsidR="008E2BA4" w:rsidRDefault="00447C35" w:rsidP="00447C35">
      <w:pPr>
        <w:pStyle w:val="BodyText"/>
      </w:pPr>
      <w:r>
        <w:t>On the other hand, the time interleaved ADCs will be a significant barrier to the implementation of either 16-QAM or 64-QAM reception. This is due to the increasing signal to noise ratios (SNRs) and increased effective number of bits (ENOB) that will be</w:t>
      </w:r>
      <w:r w:rsidR="0034271F">
        <w:t xml:space="preserve"> required for these modulations</w:t>
      </w:r>
      <w:r w:rsidR="00623860">
        <w:t xml:space="preserve">. </w:t>
      </w:r>
      <w:r w:rsidR="0034271F" w:rsidRPr="0034271F">
        <w:t xml:space="preserve">The 8-bit TI-SAR ADC installed like having a 200 GS/s bandwidth has an ENOB of about 7.5 bits and this is acceptable for PAM-4 but it could be 1 or 2 bits short for 64-QAM. If the ADC resolution was increased from 8 bits to 10 bits, the number of SAR comparisons per channel would have to be doubled and therefore the maximum bandwidth per channel will now be reduced to ½. In order to keep 10 bits at 200 GS/s, the number of channels need to be interleaved will also have to be increased from 32 lines to 64 or 128 lines which increases the problem with timing skew calibration. Future directions might explore the use of </w:t>
      </w:r>
      <w:proofErr w:type="gramStart"/>
      <w:r w:rsidR="0034271F" w:rsidRPr="0034271F">
        <w:t>a time</w:t>
      </w:r>
      <w:proofErr w:type="gramEnd"/>
      <w:r w:rsidR="0034271F" w:rsidRPr="0034271F">
        <w:t>-interleaved pipeline architecture to achieve greater resolutions but this will result in a larger area and latency, or the use of a hybrid architecture by cascading a coars</w:t>
      </w:r>
      <w:r w:rsidR="0034271F">
        <w:t>e Flash ADC with a fine SAR ADC</w:t>
      </w:r>
      <w:r w:rsidR="00623860">
        <w:t>.</w:t>
      </w:r>
    </w:p>
    <w:p w:rsidR="008E2BA4" w:rsidRPr="00413AAE" w:rsidRDefault="00623860">
      <w:pPr>
        <w:pStyle w:val="Heading1"/>
        <w:rPr>
          <w:sz w:val="18"/>
          <w:szCs w:val="18"/>
        </w:rPr>
      </w:pPr>
      <w:bookmarkStart w:id="11" w:name="conclusion"/>
      <w:bookmarkEnd w:id="7"/>
      <w:bookmarkEnd w:id="10"/>
      <w:r w:rsidRPr="00413AAE">
        <w:rPr>
          <w:sz w:val="18"/>
          <w:szCs w:val="18"/>
        </w:rPr>
        <w:t>Conclusion</w:t>
      </w:r>
    </w:p>
    <w:p w:rsidR="008E2BA4" w:rsidRPr="00413AAE" w:rsidRDefault="0034271F" w:rsidP="00E44873">
      <w:pPr>
        <w:jc w:val="both"/>
        <w:rPr>
          <w:sz w:val="18"/>
          <w:szCs w:val="18"/>
        </w:rPr>
      </w:pPr>
      <w:r w:rsidRPr="00413AAE">
        <w:rPr>
          <w:sz w:val="18"/>
          <w:szCs w:val="18"/>
        </w:rPr>
        <w:t xml:space="preserve">In this paper we present a 200 </w:t>
      </w:r>
      <w:proofErr w:type="spellStart"/>
      <w:r w:rsidRPr="00413AAE">
        <w:rPr>
          <w:sz w:val="18"/>
          <w:szCs w:val="18"/>
        </w:rPr>
        <w:t>Gbps</w:t>
      </w:r>
      <w:proofErr w:type="spellEnd"/>
      <w:r w:rsidRPr="00413AAE">
        <w:rPr>
          <w:sz w:val="18"/>
          <w:szCs w:val="18"/>
        </w:rPr>
        <w:t xml:space="preserve"> PAM-4 terahertz transceiver designed using 7 nm </w:t>
      </w:r>
      <w:proofErr w:type="spellStart"/>
      <w:r w:rsidRPr="00413AAE">
        <w:rPr>
          <w:sz w:val="18"/>
          <w:szCs w:val="18"/>
        </w:rPr>
        <w:t>FinFET</w:t>
      </w:r>
      <w:proofErr w:type="spellEnd"/>
      <w:r w:rsidRPr="00413AAE">
        <w:rPr>
          <w:sz w:val="18"/>
          <w:szCs w:val="18"/>
        </w:rPr>
        <w:t xml:space="preserve"> technology with an energy efficiency of 1.56 </w:t>
      </w:r>
      <w:proofErr w:type="spellStart"/>
      <w:r w:rsidRPr="00413AAE">
        <w:rPr>
          <w:sz w:val="18"/>
          <w:szCs w:val="18"/>
        </w:rPr>
        <w:t>pJ</w:t>
      </w:r>
      <w:proofErr w:type="spellEnd"/>
      <w:r w:rsidRPr="00413AAE">
        <w:rPr>
          <w:sz w:val="18"/>
          <w:szCs w:val="18"/>
        </w:rPr>
        <w:t xml:space="preserve">/bit achieved through co-optimization of VLSI design. A discrete envelope tracking (ET) adaptive-bias power amplifier (PA) array removes the limits of continuous ET bandwidth. Pipeline retiming allows digital signal processing (DSP) operation at half rate (3.125 GHz). Background calibrated time interleaved successive approximation register (TI-SAR) analog to digital converter (ADC) provides timing skew suppression under 50 </w:t>
      </w:r>
      <w:proofErr w:type="spellStart"/>
      <w:r w:rsidRPr="00413AAE">
        <w:rPr>
          <w:sz w:val="18"/>
          <w:szCs w:val="18"/>
        </w:rPr>
        <w:t>fs</w:t>
      </w:r>
      <w:proofErr w:type="spellEnd"/>
      <w:r w:rsidRPr="00413AAE">
        <w:rPr>
          <w:sz w:val="18"/>
          <w:szCs w:val="18"/>
        </w:rPr>
        <w:t xml:space="preserve"> and injection locked ring oscillator (ILRO) based clock data recovery (CDR) achieves 180 </w:t>
      </w:r>
      <w:proofErr w:type="spellStart"/>
      <w:r w:rsidRPr="00413AAE">
        <w:rPr>
          <w:sz w:val="18"/>
          <w:szCs w:val="18"/>
        </w:rPr>
        <w:t>fs</w:t>
      </w:r>
      <w:proofErr w:type="spellEnd"/>
      <w:r w:rsidRPr="00413AAE">
        <w:rPr>
          <w:sz w:val="18"/>
          <w:szCs w:val="18"/>
        </w:rPr>
        <w:t xml:space="preserve"> jitter. The results from the ablation study show that each technique has a substantial impact on overall efficiency. The architecture provides evidence of the feasibility of terahertz communication for </w:t>
      </w:r>
      <w:r w:rsidRPr="00413AAE">
        <w:rPr>
          <w:sz w:val="18"/>
          <w:szCs w:val="18"/>
        </w:rPr>
        <w:lastRenderedPageBreak/>
        <w:t>future 6G systems as well as the quantification of the key trade-offs between power and performance</w:t>
      </w:r>
      <w:r w:rsidR="00623860" w:rsidRPr="00413AAE">
        <w:rPr>
          <w:sz w:val="18"/>
          <w:szCs w:val="18"/>
        </w:rPr>
        <w:t>.</w:t>
      </w:r>
    </w:p>
    <w:p w:rsidR="008E2BA4" w:rsidRPr="00413AAE" w:rsidRDefault="00623860" w:rsidP="00E44873">
      <w:pPr>
        <w:pStyle w:val="Heading1"/>
        <w:numPr>
          <w:ilvl w:val="0"/>
          <w:numId w:val="0"/>
        </w:numPr>
        <w:rPr>
          <w:sz w:val="16"/>
          <w:szCs w:val="16"/>
        </w:rPr>
      </w:pPr>
      <w:bookmarkStart w:id="12" w:name="references"/>
      <w:bookmarkEnd w:id="11"/>
      <w:r w:rsidRPr="00413AAE">
        <w:rPr>
          <w:sz w:val="16"/>
          <w:szCs w:val="16"/>
        </w:rPr>
        <w:t>References</w:t>
      </w:r>
    </w:p>
    <w:p w:rsidR="008E2BA4" w:rsidRPr="00413AAE" w:rsidRDefault="00623860" w:rsidP="00E44873">
      <w:pPr>
        <w:pStyle w:val="ListParagraph"/>
        <w:numPr>
          <w:ilvl w:val="0"/>
          <w:numId w:val="21"/>
        </w:numPr>
        <w:jc w:val="both"/>
        <w:rPr>
          <w:sz w:val="16"/>
          <w:szCs w:val="16"/>
        </w:rPr>
      </w:pPr>
      <w:bookmarkStart w:id="13" w:name="ref-ShafieYangHanJornetJunttiothers2022"/>
      <w:bookmarkStart w:id="14" w:name="refs"/>
      <w:r w:rsidRPr="00413AAE">
        <w:rPr>
          <w:sz w:val="16"/>
          <w:szCs w:val="16"/>
        </w:rPr>
        <w:t xml:space="preserve">A. Shafie, N. Yang, C. Han, J. Jornet, M. Juntti, </w:t>
      </w:r>
      <w:r w:rsidRPr="00413AAE">
        <w:rPr>
          <w:i/>
          <w:iCs/>
          <w:sz w:val="16"/>
          <w:szCs w:val="16"/>
        </w:rPr>
        <w:t>et al.</w:t>
      </w:r>
      <w:r w:rsidRPr="00413AAE">
        <w:rPr>
          <w:sz w:val="16"/>
          <w:szCs w:val="16"/>
        </w:rPr>
        <w:t xml:space="preserve">, “Terahertz communications for 6G and beyond wireless networks: Challenges, key advancements, and opportunities,” </w:t>
      </w:r>
      <w:r w:rsidRPr="00413AAE">
        <w:rPr>
          <w:i/>
          <w:iCs/>
          <w:sz w:val="16"/>
          <w:szCs w:val="16"/>
        </w:rPr>
        <w:t>IEEE Network</w:t>
      </w:r>
      <w:r w:rsidRPr="00413AAE">
        <w:rPr>
          <w:sz w:val="16"/>
          <w:szCs w:val="16"/>
        </w:rPr>
        <w:t>, 2022.</w:t>
      </w:r>
    </w:p>
    <w:p w:rsidR="008E2BA4" w:rsidRPr="00413AAE" w:rsidRDefault="003A598B" w:rsidP="00E44873">
      <w:pPr>
        <w:pStyle w:val="ListParagraph"/>
        <w:numPr>
          <w:ilvl w:val="0"/>
          <w:numId w:val="21"/>
        </w:numPr>
        <w:jc w:val="both"/>
        <w:rPr>
          <w:sz w:val="16"/>
          <w:szCs w:val="16"/>
        </w:rPr>
      </w:pPr>
      <w:bookmarkStart w:id="15" w:name="ref-2023"/>
      <w:bookmarkEnd w:id="13"/>
      <w:r w:rsidRPr="00413AAE">
        <w:rPr>
          <w:sz w:val="16"/>
          <w:szCs w:val="16"/>
        </w:rPr>
        <w:t xml:space="preserve">N. G. Rani, M. Balaji, S. J. Basha, A. Sachdeva, and E. Abbasian, "Exact and Inexact Ternary Multipliers for Energy-Efficient Image Processing Applications with 32-nm CNTFETs," </w:t>
      </w:r>
      <w:r w:rsidRPr="00413AAE">
        <w:rPr>
          <w:i/>
          <w:iCs/>
          <w:sz w:val="16"/>
          <w:szCs w:val="16"/>
        </w:rPr>
        <w:t>Iranian Journal of Science and Technology - Transactions of Electrical Engineering</w:t>
      </w:r>
      <w:r w:rsidRPr="00413AAE">
        <w:rPr>
          <w:sz w:val="16"/>
          <w:szCs w:val="16"/>
        </w:rPr>
        <w:t xml:space="preserve">, 2026. </w:t>
      </w:r>
      <w:proofErr w:type="spellStart"/>
      <w:proofErr w:type="gramStart"/>
      <w:r w:rsidRPr="00413AAE">
        <w:rPr>
          <w:sz w:val="16"/>
          <w:szCs w:val="16"/>
        </w:rPr>
        <w:t>doi</w:t>
      </w:r>
      <w:proofErr w:type="spellEnd"/>
      <w:proofErr w:type="gramEnd"/>
      <w:r w:rsidRPr="00413AAE">
        <w:rPr>
          <w:sz w:val="16"/>
          <w:szCs w:val="16"/>
        </w:rPr>
        <w:t>: 10.1007/s40998-026-01081-8..</w:t>
      </w:r>
    </w:p>
    <w:p w:rsidR="008E2BA4" w:rsidRPr="00413AAE" w:rsidRDefault="00623860" w:rsidP="00E44873">
      <w:pPr>
        <w:pStyle w:val="ListParagraph"/>
        <w:numPr>
          <w:ilvl w:val="0"/>
          <w:numId w:val="21"/>
        </w:numPr>
        <w:jc w:val="both"/>
        <w:rPr>
          <w:sz w:val="16"/>
          <w:szCs w:val="16"/>
        </w:rPr>
      </w:pPr>
      <w:bookmarkStart w:id="16" w:name="ref-KimKimKimSonChoothers2013"/>
      <w:bookmarkEnd w:id="15"/>
      <w:r w:rsidRPr="00413AAE">
        <w:rPr>
          <w:sz w:val="16"/>
          <w:szCs w:val="16"/>
        </w:rPr>
        <w:t xml:space="preserve">B. Kim, J. Kim, D. Kim, J. Son, Y. Cho, </w:t>
      </w:r>
      <w:r w:rsidRPr="00413AAE">
        <w:rPr>
          <w:i/>
          <w:iCs/>
          <w:sz w:val="16"/>
          <w:szCs w:val="16"/>
        </w:rPr>
        <w:t>et al.</w:t>
      </w:r>
      <w:r w:rsidRPr="00413AAE">
        <w:rPr>
          <w:sz w:val="16"/>
          <w:szCs w:val="16"/>
        </w:rPr>
        <w:t xml:space="preserve">, “Push the envelope: Design concepts for envelope-tracking power amplifiers,” </w:t>
      </w:r>
      <w:r w:rsidRPr="00413AAE">
        <w:rPr>
          <w:i/>
          <w:iCs/>
          <w:sz w:val="16"/>
          <w:szCs w:val="16"/>
        </w:rPr>
        <w:t>IEEE Microwave Magazine</w:t>
      </w:r>
      <w:r w:rsidRPr="00413AAE">
        <w:rPr>
          <w:sz w:val="16"/>
          <w:szCs w:val="16"/>
        </w:rPr>
        <w:t>, 2013.</w:t>
      </w:r>
    </w:p>
    <w:p w:rsidR="008E2BA4" w:rsidRPr="00413AAE" w:rsidRDefault="00623860" w:rsidP="00E44873">
      <w:pPr>
        <w:pStyle w:val="ListParagraph"/>
        <w:numPr>
          <w:ilvl w:val="0"/>
          <w:numId w:val="21"/>
        </w:numPr>
        <w:jc w:val="both"/>
        <w:rPr>
          <w:sz w:val="16"/>
          <w:szCs w:val="16"/>
        </w:rPr>
      </w:pPr>
      <w:bookmarkStart w:id="17" w:name="ref-DraxlerYanKimballothers2012"/>
      <w:bookmarkEnd w:id="16"/>
      <w:r w:rsidRPr="00413AAE">
        <w:rPr>
          <w:sz w:val="16"/>
          <w:szCs w:val="16"/>
        </w:rPr>
        <w:t xml:space="preserve">P. Draxler, J. Yan, D. Kimball, </w:t>
      </w:r>
      <w:r w:rsidRPr="00413AAE">
        <w:rPr>
          <w:i/>
          <w:iCs/>
          <w:sz w:val="16"/>
          <w:szCs w:val="16"/>
        </w:rPr>
        <w:t>et al.</w:t>
      </w:r>
      <w:r w:rsidRPr="00413AAE">
        <w:rPr>
          <w:sz w:val="16"/>
          <w:szCs w:val="16"/>
        </w:rPr>
        <w:t xml:space="preserve">, “Digital predistortion for envelope tracking power amplifiers,” </w:t>
      </w:r>
      <w:r w:rsidRPr="00413AAE">
        <w:rPr>
          <w:i/>
          <w:iCs/>
          <w:sz w:val="16"/>
          <w:szCs w:val="16"/>
        </w:rPr>
        <w:t>WAMICON</w:t>
      </w:r>
      <w:r w:rsidRPr="00413AAE">
        <w:rPr>
          <w:sz w:val="16"/>
          <w:szCs w:val="16"/>
        </w:rPr>
        <w:t>, 2012.</w:t>
      </w:r>
    </w:p>
    <w:p w:rsidR="008E2BA4" w:rsidRPr="00413AAE" w:rsidRDefault="00623860" w:rsidP="00E44873">
      <w:pPr>
        <w:pStyle w:val="ListParagraph"/>
        <w:numPr>
          <w:ilvl w:val="0"/>
          <w:numId w:val="21"/>
        </w:numPr>
        <w:jc w:val="both"/>
        <w:rPr>
          <w:sz w:val="16"/>
          <w:szCs w:val="16"/>
        </w:rPr>
      </w:pPr>
      <w:bookmarkStart w:id="18" w:name="ref-LeisersonSaxe1991"/>
      <w:bookmarkEnd w:id="17"/>
      <w:r w:rsidRPr="00413AAE">
        <w:rPr>
          <w:sz w:val="16"/>
          <w:szCs w:val="16"/>
        </w:rPr>
        <w:t xml:space="preserve">C. Leiserson and J. Saxe, “Retiming synchronous circuitry,” </w:t>
      </w:r>
      <w:r w:rsidRPr="00413AAE">
        <w:rPr>
          <w:i/>
          <w:iCs/>
          <w:sz w:val="16"/>
          <w:szCs w:val="16"/>
        </w:rPr>
        <w:t>Algorithmica</w:t>
      </w:r>
      <w:r w:rsidRPr="00413AAE">
        <w:rPr>
          <w:sz w:val="16"/>
          <w:szCs w:val="16"/>
        </w:rPr>
        <w:t>, 1991.</w:t>
      </w:r>
    </w:p>
    <w:p w:rsidR="008E2BA4" w:rsidRPr="00413AAE" w:rsidRDefault="003A598B" w:rsidP="00E44873">
      <w:pPr>
        <w:pStyle w:val="ListParagraph"/>
        <w:numPr>
          <w:ilvl w:val="0"/>
          <w:numId w:val="21"/>
        </w:numPr>
        <w:jc w:val="both"/>
        <w:rPr>
          <w:sz w:val="16"/>
          <w:szCs w:val="16"/>
        </w:rPr>
      </w:pPr>
      <w:bookmarkStart w:id="19" w:name="ref-Nairn2008"/>
      <w:bookmarkEnd w:id="18"/>
      <w:r w:rsidRPr="00413AAE">
        <w:rPr>
          <w:sz w:val="16"/>
          <w:szCs w:val="16"/>
        </w:rPr>
        <w:t xml:space="preserve">N. G. Rani, A. Ramya, K. Prathap Kumar, P. Sreedhar, and V. R. Reddy, "Nanotechnology-Based Drug Delivery Systems: Precision, Efficiency, and Clinical Potential," in </w:t>
      </w:r>
      <w:r w:rsidRPr="00413AAE">
        <w:rPr>
          <w:i/>
          <w:iCs/>
          <w:sz w:val="16"/>
          <w:szCs w:val="16"/>
        </w:rPr>
        <w:t xml:space="preserve">Proc. 2025 2nd Int. Conf. New Frontiers </w:t>
      </w:r>
      <w:proofErr w:type="gramStart"/>
      <w:r w:rsidRPr="00413AAE">
        <w:rPr>
          <w:i/>
          <w:iCs/>
          <w:sz w:val="16"/>
          <w:szCs w:val="16"/>
        </w:rPr>
        <w:t>Commun.,</w:t>
      </w:r>
      <w:proofErr w:type="gramEnd"/>
      <w:r w:rsidRPr="00413AAE">
        <w:rPr>
          <w:i/>
          <w:iCs/>
          <w:sz w:val="16"/>
          <w:szCs w:val="16"/>
        </w:rPr>
        <w:t xml:space="preserve"> Autom., Manage. Security (ICCAMS)</w:t>
      </w:r>
      <w:r w:rsidRPr="00413AAE">
        <w:rPr>
          <w:sz w:val="16"/>
          <w:szCs w:val="16"/>
        </w:rPr>
        <w:t>, 2025.</w:t>
      </w:r>
    </w:p>
    <w:p w:rsidR="008E2BA4" w:rsidRPr="00413AAE" w:rsidRDefault="00623860" w:rsidP="00E44873">
      <w:pPr>
        <w:pStyle w:val="ListParagraph"/>
        <w:numPr>
          <w:ilvl w:val="0"/>
          <w:numId w:val="21"/>
        </w:numPr>
        <w:jc w:val="both"/>
        <w:rPr>
          <w:sz w:val="16"/>
          <w:szCs w:val="16"/>
        </w:rPr>
      </w:pPr>
      <w:bookmarkStart w:id="20" w:name="ref-CamareroKalaiaNavinerothers2008"/>
      <w:bookmarkEnd w:id="19"/>
      <w:r w:rsidRPr="00413AAE">
        <w:rPr>
          <w:sz w:val="16"/>
          <w:szCs w:val="16"/>
        </w:rPr>
        <w:t xml:space="preserve">D. Camarero, K. Kalaia, J. Naviner, </w:t>
      </w:r>
      <w:r w:rsidRPr="00413AAE">
        <w:rPr>
          <w:i/>
          <w:iCs/>
          <w:sz w:val="16"/>
          <w:szCs w:val="16"/>
        </w:rPr>
        <w:t>et al.</w:t>
      </w:r>
      <w:r w:rsidRPr="00413AAE">
        <w:rPr>
          <w:sz w:val="16"/>
          <w:szCs w:val="16"/>
        </w:rPr>
        <w:t xml:space="preserve">, “Mixed-signal clock-skew calibration technique for time-interleaved ADCs,” </w:t>
      </w:r>
      <w:r w:rsidRPr="00413AAE">
        <w:rPr>
          <w:i/>
          <w:iCs/>
          <w:sz w:val="16"/>
          <w:szCs w:val="16"/>
        </w:rPr>
        <w:t>IEEE Transactions on Circuits and Systems II: Express Briefs</w:t>
      </w:r>
      <w:r w:rsidRPr="00413AAE">
        <w:rPr>
          <w:sz w:val="16"/>
          <w:szCs w:val="16"/>
        </w:rPr>
        <w:t>, 2008.</w:t>
      </w:r>
    </w:p>
    <w:p w:rsidR="008E2BA4" w:rsidRPr="00413AAE" w:rsidRDefault="00BE6060" w:rsidP="00E44873">
      <w:pPr>
        <w:pStyle w:val="ListParagraph"/>
        <w:numPr>
          <w:ilvl w:val="0"/>
          <w:numId w:val="21"/>
        </w:numPr>
        <w:jc w:val="both"/>
        <w:rPr>
          <w:sz w:val="16"/>
          <w:szCs w:val="16"/>
        </w:rPr>
      </w:pPr>
      <w:bookmarkStart w:id="21" w:name="ref-BegueretDevalScarabelloothers2003"/>
      <w:bookmarkEnd w:id="20"/>
      <w:r w:rsidRPr="00413AAE">
        <w:rPr>
          <w:sz w:val="16"/>
          <w:szCs w:val="16"/>
        </w:rPr>
        <w:t xml:space="preserve">N. Geetha Rani and P. Chandrasekhar Reddy, "Implementation of near-threshold gates at 45nmTechnology," </w:t>
      </w:r>
      <w:r w:rsidRPr="00413AAE">
        <w:rPr>
          <w:i/>
          <w:iCs/>
          <w:sz w:val="16"/>
          <w:szCs w:val="16"/>
        </w:rPr>
        <w:t>Int. J. Appl. Eng. Res.</w:t>
      </w:r>
      <w:r w:rsidRPr="00413AAE">
        <w:rPr>
          <w:sz w:val="16"/>
          <w:szCs w:val="16"/>
        </w:rPr>
        <w:t>, vol. 10, no. 08, pp. 39416 - 39421, 2015.</w:t>
      </w:r>
    </w:p>
    <w:p w:rsidR="008E2BA4" w:rsidRPr="00413AAE" w:rsidRDefault="00623860" w:rsidP="00E44873">
      <w:pPr>
        <w:pStyle w:val="ListParagraph"/>
        <w:numPr>
          <w:ilvl w:val="0"/>
          <w:numId w:val="21"/>
        </w:numPr>
        <w:jc w:val="both"/>
        <w:rPr>
          <w:sz w:val="16"/>
          <w:szCs w:val="16"/>
        </w:rPr>
      </w:pPr>
      <w:bookmarkStart w:id="22" w:name="ref-MadhaviTripathiRam2022"/>
      <w:bookmarkEnd w:id="21"/>
      <w:r w:rsidRPr="00413AAE">
        <w:rPr>
          <w:sz w:val="16"/>
          <w:szCs w:val="16"/>
        </w:rPr>
        <w:t xml:space="preserve">B. Madhavi, S. Tripathi, and B. Ram, “FinFET technology for low-power applications,” </w:t>
      </w:r>
      <w:r w:rsidRPr="00413AAE">
        <w:rPr>
          <w:i/>
          <w:iCs/>
          <w:sz w:val="16"/>
          <w:szCs w:val="16"/>
        </w:rPr>
        <w:t>Handbook of Efficient Energy Systems</w:t>
      </w:r>
      <w:r w:rsidRPr="00413AAE">
        <w:rPr>
          <w:sz w:val="16"/>
          <w:szCs w:val="16"/>
        </w:rPr>
        <w:t>, 2022.</w:t>
      </w:r>
    </w:p>
    <w:p w:rsidR="008E2BA4" w:rsidRPr="00413AAE" w:rsidRDefault="00623860" w:rsidP="00E44873">
      <w:pPr>
        <w:pStyle w:val="ListParagraph"/>
        <w:numPr>
          <w:ilvl w:val="0"/>
          <w:numId w:val="21"/>
        </w:numPr>
        <w:jc w:val="both"/>
        <w:rPr>
          <w:sz w:val="16"/>
          <w:szCs w:val="16"/>
        </w:rPr>
      </w:pPr>
      <w:bookmarkStart w:id="23" w:name="ref-DepaoliZhangMazziniothers2018"/>
      <w:bookmarkEnd w:id="22"/>
      <w:r w:rsidRPr="00413AAE">
        <w:rPr>
          <w:sz w:val="16"/>
          <w:szCs w:val="16"/>
        </w:rPr>
        <w:t xml:space="preserve">E. Depaoli, H. Zhang, M. Mazzini, </w:t>
      </w:r>
      <w:r w:rsidRPr="00413AAE">
        <w:rPr>
          <w:i/>
          <w:iCs/>
          <w:sz w:val="16"/>
          <w:szCs w:val="16"/>
        </w:rPr>
        <w:t>et al.</w:t>
      </w:r>
      <w:r w:rsidRPr="00413AAE">
        <w:rPr>
          <w:sz w:val="16"/>
          <w:szCs w:val="16"/>
        </w:rPr>
        <w:t xml:space="preserve">, “A 64 gb/s low-power transceiver for short-reach PAM-4 electrical links in 28-nm FDSOI CMOS,” </w:t>
      </w:r>
      <w:r w:rsidRPr="00413AAE">
        <w:rPr>
          <w:i/>
          <w:iCs/>
          <w:sz w:val="16"/>
          <w:szCs w:val="16"/>
        </w:rPr>
        <w:t>IEEE Journal of Solid-State Circuits</w:t>
      </w:r>
      <w:r w:rsidRPr="00413AAE">
        <w:rPr>
          <w:sz w:val="16"/>
          <w:szCs w:val="16"/>
        </w:rPr>
        <w:t>, 2018.</w:t>
      </w:r>
    </w:p>
    <w:p w:rsidR="008E2BA4" w:rsidRPr="00413AAE" w:rsidRDefault="00623860" w:rsidP="00E44873">
      <w:pPr>
        <w:pStyle w:val="ListParagraph"/>
        <w:numPr>
          <w:ilvl w:val="0"/>
          <w:numId w:val="21"/>
        </w:numPr>
        <w:jc w:val="both"/>
        <w:rPr>
          <w:sz w:val="16"/>
          <w:szCs w:val="16"/>
        </w:rPr>
      </w:pPr>
      <w:bookmarkStart w:id="24" w:name="ref-FransMcLeodHedayatiothers2016"/>
      <w:bookmarkEnd w:id="23"/>
      <w:r w:rsidRPr="00413AAE">
        <w:rPr>
          <w:sz w:val="16"/>
          <w:szCs w:val="16"/>
        </w:rPr>
        <w:t xml:space="preserve">Y. Frans, S. McLeod, H. Hedayati, </w:t>
      </w:r>
      <w:r w:rsidRPr="00413AAE">
        <w:rPr>
          <w:i/>
          <w:iCs/>
          <w:sz w:val="16"/>
          <w:szCs w:val="16"/>
        </w:rPr>
        <w:t>et al.</w:t>
      </w:r>
      <w:r w:rsidRPr="00413AAE">
        <w:rPr>
          <w:sz w:val="16"/>
          <w:szCs w:val="16"/>
        </w:rPr>
        <w:t xml:space="preserve">, “A 40-to-64 gb/s NRZ transmitter with supply-regulated front-end in 16 nm FinFET,” </w:t>
      </w:r>
      <w:r w:rsidRPr="00413AAE">
        <w:rPr>
          <w:i/>
          <w:iCs/>
          <w:sz w:val="16"/>
          <w:szCs w:val="16"/>
        </w:rPr>
        <w:t>IEEE Journal of Solid-State Circuits</w:t>
      </w:r>
      <w:r w:rsidRPr="00413AAE">
        <w:rPr>
          <w:sz w:val="16"/>
          <w:szCs w:val="16"/>
        </w:rPr>
        <w:t>, 2016.</w:t>
      </w:r>
    </w:p>
    <w:p w:rsidR="008E2BA4" w:rsidRPr="00413AAE" w:rsidRDefault="00413AAE" w:rsidP="00E44873">
      <w:pPr>
        <w:pStyle w:val="ListParagraph"/>
        <w:numPr>
          <w:ilvl w:val="0"/>
          <w:numId w:val="21"/>
        </w:numPr>
        <w:jc w:val="both"/>
        <w:rPr>
          <w:sz w:val="16"/>
          <w:szCs w:val="16"/>
        </w:rPr>
      </w:pPr>
      <w:bookmarkStart w:id="25" w:name="ref-ElgaardzenWestessonothers2023"/>
      <w:bookmarkEnd w:id="24"/>
      <w:r w:rsidRPr="00413AAE">
        <w:rPr>
          <w:sz w:val="16"/>
          <w:szCs w:val="16"/>
        </w:rPr>
        <w:t xml:space="preserve">N. Praveen Kumar, B. Stephen Charles, V. </w:t>
      </w:r>
      <w:proofErr w:type="spellStart"/>
      <w:r w:rsidRPr="00413AAE">
        <w:rPr>
          <w:sz w:val="16"/>
          <w:szCs w:val="16"/>
        </w:rPr>
        <w:t>Sumalatha</w:t>
      </w:r>
      <w:proofErr w:type="spellEnd"/>
      <w:r w:rsidRPr="00413AAE">
        <w:rPr>
          <w:sz w:val="16"/>
          <w:szCs w:val="16"/>
        </w:rPr>
        <w:t>, “A Review on Leakage Power Reduction Techniques at 45nm Technology”, Materials Today: Proceedings, Volume 2, Issue 9, Part A, 2015, Pages 4569-4574, ISSN 2214-7853, https://doi.org/10.1016/j.matpr.2015.10.074</w:t>
      </w:r>
      <w:r w:rsidR="00623860" w:rsidRPr="00413AAE">
        <w:rPr>
          <w:sz w:val="16"/>
          <w:szCs w:val="16"/>
        </w:rPr>
        <w:t>.</w:t>
      </w:r>
    </w:p>
    <w:p w:rsidR="008E2BA4" w:rsidRPr="00413AAE" w:rsidRDefault="00623860" w:rsidP="00E44873">
      <w:pPr>
        <w:pStyle w:val="ListParagraph"/>
        <w:numPr>
          <w:ilvl w:val="0"/>
          <w:numId w:val="21"/>
        </w:numPr>
        <w:jc w:val="both"/>
        <w:rPr>
          <w:sz w:val="16"/>
          <w:szCs w:val="16"/>
        </w:rPr>
      </w:pPr>
      <w:bookmarkStart w:id="26" w:name="ref-GiuncoSosioNaniFabianoothers2025"/>
      <w:bookmarkEnd w:id="25"/>
      <w:r w:rsidRPr="00413AAE">
        <w:rPr>
          <w:sz w:val="16"/>
          <w:szCs w:val="16"/>
        </w:rPr>
        <w:t xml:space="preserve">F. Giunco, M. Sosio, C. Nani, I. Fabiano, </w:t>
      </w:r>
      <w:r w:rsidRPr="00413AAE">
        <w:rPr>
          <w:i/>
          <w:iCs/>
          <w:sz w:val="16"/>
          <w:szCs w:val="16"/>
        </w:rPr>
        <w:t>et al.</w:t>
      </w:r>
      <w:r w:rsidRPr="00413AAE">
        <w:rPr>
          <w:sz w:val="16"/>
          <w:szCs w:val="16"/>
        </w:rPr>
        <w:t xml:space="preserve">, “An eight-lane 800-gb/s transceiver for PAM-4 optical direct-detection applications in 5-nm FinFET process,” </w:t>
      </w:r>
      <w:r w:rsidRPr="00413AAE">
        <w:rPr>
          <w:i/>
          <w:iCs/>
          <w:sz w:val="16"/>
          <w:szCs w:val="16"/>
        </w:rPr>
        <w:t>IEEE Journal of Solid-State Circuits</w:t>
      </w:r>
      <w:r w:rsidRPr="00413AAE">
        <w:rPr>
          <w:sz w:val="16"/>
          <w:szCs w:val="16"/>
        </w:rPr>
        <w:t>, 2025.</w:t>
      </w:r>
      <w:bookmarkEnd w:id="12"/>
      <w:bookmarkEnd w:id="14"/>
      <w:bookmarkEnd w:id="26"/>
    </w:p>
    <w:sectPr w:rsidR="008E2BA4" w:rsidRPr="00413AAE" w:rsidSect="004C572B">
      <w:type w:val="continuous"/>
      <w:pgSz w:w="12240" w:h="15840" w:code="1"/>
      <w:pgMar w:top="960" w:right="960" w:bottom="960" w:left="960" w:header="540" w:footer="540" w:gutter="0"/>
      <w:cols w:num="2" w:space="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C37" w:rsidRDefault="00B22C37">
      <w:r>
        <w:separator/>
      </w:r>
    </w:p>
  </w:endnote>
  <w:endnote w:type="continuationSeparator" w:id="0">
    <w:p w:rsidR="00B22C37" w:rsidRDefault="00B22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C37" w:rsidRDefault="00B22C37">
      <w:r>
        <w:separator/>
      </w:r>
    </w:p>
  </w:footnote>
  <w:footnote w:type="continuationSeparator" w:id="0">
    <w:p w:rsidR="00B22C37" w:rsidRDefault="00B22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97" w:rsidRDefault="00253597">
    <w:pPr>
      <w:pStyle w:val="Header"/>
      <w:ind w:right="36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4F8E6A4"/>
    <w:lvl w:ilvl="0">
      <w:start w:val="1"/>
      <w:numFmt w:val="decimal"/>
      <w:lvlText w:val="%1."/>
      <w:lvlJc w:val="left"/>
      <w:pPr>
        <w:tabs>
          <w:tab w:val="num" w:pos="360"/>
        </w:tabs>
        <w:ind w:left="360" w:hanging="360"/>
      </w:pPr>
    </w:lvl>
  </w:abstractNum>
  <w:abstractNum w:abstractNumId="1">
    <w:nsid w:val="FFFFFFFB"/>
    <w:multiLevelType w:val="multilevel"/>
    <w:tmpl w:val="104A24C4"/>
    <w:lvl w:ilvl="0">
      <w:start w:val="1"/>
      <w:numFmt w:val="upperRoman"/>
      <w:pStyle w:val="Heading1"/>
      <w:suff w:val="nothing"/>
      <w:lvlText w:val="%1.  "/>
      <w:lvlJc w:val="left"/>
      <w:pPr>
        <w:ind w:left="142" w:firstLine="0"/>
      </w:pPr>
    </w:lvl>
    <w:lvl w:ilvl="1">
      <w:start w:val="1"/>
      <w:numFmt w:val="upperLetter"/>
      <w:pStyle w:val="Heading2"/>
      <w:suff w:val="nothing"/>
      <w:lvlText w:val="%2.  "/>
      <w:lvlJc w:val="left"/>
      <w:pPr>
        <w:ind w:left="0" w:firstLine="0"/>
      </w:pPr>
    </w:lvl>
    <w:lvl w:ilvl="2">
      <w:start w:val="1"/>
      <w:numFmt w:val="decimal"/>
      <w:pStyle w:val="Heading3"/>
      <w:suff w:val="nothing"/>
      <w:lvlText w:val="    %3)  "/>
      <w:lvlJc w:val="left"/>
      <w:pPr>
        <w:ind w:left="0" w:firstLine="0"/>
      </w:pPr>
    </w:lvl>
    <w:lvl w:ilvl="3">
      <w:start w:val="1"/>
      <w:numFmt w:val="lowerLetter"/>
      <w:pStyle w:val="Heading4"/>
      <w:suff w:val="nothing"/>
      <w:lvlText w:val="          %4)  "/>
      <w:lvlJc w:val="left"/>
      <w:pPr>
        <w:ind w:left="0" w:firstLine="0"/>
      </w:pPr>
    </w:lvl>
    <w:lvl w:ilvl="4">
      <w:start w:val="1"/>
      <w:numFmt w:val="decimal"/>
      <w:pStyle w:val="Heading5"/>
      <w:suff w:val="nothing"/>
      <w:lvlText w:val="                (%5)  "/>
      <w:lvlJc w:val="left"/>
      <w:pPr>
        <w:ind w:left="0" w:firstLine="0"/>
      </w:pPr>
    </w:lvl>
    <w:lvl w:ilvl="5">
      <w:start w:val="1"/>
      <w:numFmt w:val="lowerLetter"/>
      <w:pStyle w:val="Heading6"/>
      <w:suff w:val="nothing"/>
      <w:lvlText w:val="                (%6)  "/>
      <w:lvlJc w:val="left"/>
      <w:pPr>
        <w:ind w:left="0" w:firstLine="0"/>
      </w:pPr>
    </w:lvl>
    <w:lvl w:ilvl="6">
      <w:start w:val="1"/>
      <w:numFmt w:val="decimal"/>
      <w:pStyle w:val="Heading7"/>
      <w:suff w:val="nothing"/>
      <w:lvlText w:val="                (%7)  "/>
      <w:lvlJc w:val="left"/>
      <w:pPr>
        <w:ind w:left="0" w:firstLine="0"/>
      </w:pPr>
    </w:lvl>
    <w:lvl w:ilvl="7">
      <w:start w:val="1"/>
      <w:numFmt w:val="lowerLetter"/>
      <w:pStyle w:val="Heading8"/>
      <w:suff w:val="nothing"/>
      <w:lvlText w:val="                (%8)  "/>
      <w:lvlJc w:val="left"/>
      <w:pPr>
        <w:ind w:left="0" w:firstLine="0"/>
      </w:pPr>
    </w:lvl>
    <w:lvl w:ilvl="8">
      <w:start w:val="1"/>
      <w:numFmt w:val="decimal"/>
      <w:pStyle w:val="Heading9"/>
      <w:suff w:val="nothing"/>
      <w:lvlText w:val="(%9)  "/>
      <w:lvlJc w:val="left"/>
      <w:pPr>
        <w:ind w:left="0" w:firstLine="0"/>
      </w:pPr>
    </w:lvl>
  </w:abstractNum>
  <w:abstractNum w:abstractNumId="2">
    <w:nsid w:val="0000A990"/>
    <w:multiLevelType w:val="multilevel"/>
    <w:tmpl w:val="C4E8A7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3">
    <w:nsid w:val="156C7F19"/>
    <w:multiLevelType w:val="singleLevel"/>
    <w:tmpl w:val="742C2B68"/>
    <w:lvl w:ilvl="0">
      <w:start w:val="1"/>
      <w:numFmt w:val="none"/>
      <w:lvlText w:val=""/>
      <w:legacy w:legacy="1" w:legacySpace="0" w:legacyIndent="0"/>
      <w:lvlJc w:val="left"/>
      <w:pPr>
        <w:ind w:left="0" w:firstLine="0"/>
      </w:pPr>
    </w:lvl>
  </w:abstractNum>
  <w:abstractNum w:abstractNumId="4">
    <w:nsid w:val="1B0B1D66"/>
    <w:multiLevelType w:val="singleLevel"/>
    <w:tmpl w:val="0BEC9FB0"/>
    <w:lvl w:ilvl="0">
      <w:start w:val="1"/>
      <w:numFmt w:val="none"/>
      <w:lvlText w:val=""/>
      <w:legacy w:legacy="1" w:legacySpace="0" w:legacyIndent="0"/>
      <w:lvlJc w:val="left"/>
      <w:pPr>
        <w:ind w:left="288"/>
      </w:pPr>
    </w:lvl>
  </w:abstractNum>
  <w:abstractNum w:abstractNumId="5">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A877D64"/>
    <w:multiLevelType w:val="singleLevel"/>
    <w:tmpl w:val="5DA6FC16"/>
    <w:lvl w:ilvl="0">
      <w:start w:val="1"/>
      <w:numFmt w:val="decimal"/>
      <w:lvlText w:val="[%1]"/>
      <w:lvlJc w:val="left"/>
      <w:pPr>
        <w:tabs>
          <w:tab w:val="num" w:pos="360"/>
        </w:tabs>
        <w:ind w:left="360" w:hanging="360"/>
      </w:pPr>
    </w:lvl>
  </w:abstractNum>
  <w:abstractNum w:abstractNumId="8">
    <w:nsid w:val="437807FD"/>
    <w:multiLevelType w:val="hybridMultilevel"/>
    <w:tmpl w:val="4F8631EA"/>
    <w:lvl w:ilvl="0" w:tplc="A28C3C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nsid w:val="54D0012A"/>
    <w:multiLevelType w:val="singleLevel"/>
    <w:tmpl w:val="742C2B68"/>
    <w:lvl w:ilvl="0">
      <w:start w:val="1"/>
      <w:numFmt w:val="none"/>
      <w:lvlText w:val=""/>
      <w:legacy w:legacy="1" w:legacySpace="0" w:legacyIndent="0"/>
      <w:lvlJc w:val="left"/>
      <w:pPr>
        <w:ind w:left="0" w:firstLine="0"/>
      </w:pPr>
    </w:lvl>
  </w:abstractNum>
  <w:abstractNum w:abstractNumId="11">
    <w:nsid w:val="614672C0"/>
    <w:multiLevelType w:val="singleLevel"/>
    <w:tmpl w:val="488EC81A"/>
    <w:lvl w:ilvl="0">
      <w:start w:val="1"/>
      <w:numFmt w:val="decimal"/>
      <w:lvlText w:val="%1."/>
      <w:legacy w:legacy="1" w:legacySpace="0" w:legacyIndent="360"/>
      <w:lvlJc w:val="left"/>
      <w:pPr>
        <w:ind w:left="360" w:hanging="360"/>
      </w:pPr>
    </w:lvl>
  </w:abstractNum>
  <w:abstractNum w:abstractNumId="12">
    <w:nsid w:val="657A3524"/>
    <w:multiLevelType w:val="hybridMultilevel"/>
    <w:tmpl w:val="A23692AE"/>
    <w:lvl w:ilvl="0" w:tplc="4768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6"/>
    <w:lvlOverride w:ilvl="0">
      <w:lvl w:ilvl="0">
        <w:start w:val="1"/>
        <w:numFmt w:val="decimal"/>
        <w:lvlText w:val="%1."/>
        <w:legacy w:legacy="1" w:legacySpace="0" w:legacyIndent="360"/>
        <w:lvlJc w:val="left"/>
        <w:pPr>
          <w:ind w:left="360" w:hanging="360"/>
        </w:pPr>
      </w:lvl>
    </w:lvlOverride>
  </w:num>
  <w:num w:numId="7">
    <w:abstractNumId w:val="9"/>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9"/>
    <w:lvlOverride w:ilvl="0">
      <w:lvl w:ilvl="0">
        <w:start w:val="1"/>
        <w:numFmt w:val="decimal"/>
        <w:lvlText w:val="%1."/>
        <w:legacy w:legacy="1" w:legacySpace="0" w:legacyIndent="360"/>
        <w:lvlJc w:val="left"/>
        <w:pPr>
          <w:ind w:left="360" w:hanging="360"/>
        </w:pPr>
      </w:lvl>
    </w:lvlOverride>
  </w:num>
  <w:num w:numId="13">
    <w:abstractNumId w:val="7"/>
  </w:num>
  <w:num w:numId="14">
    <w:abstractNumId w:val="5"/>
  </w:num>
  <w:num w:numId="15">
    <w:abstractNumId w:val="3"/>
  </w:num>
  <w:num w:numId="16">
    <w:abstractNumId w:val="11"/>
  </w:num>
  <w:num w:numId="17">
    <w:abstractNumId w:val="10"/>
  </w:num>
  <w:num w:numId="18">
    <w:abstractNumId w:val="4"/>
  </w:num>
  <w:num w:numId="19">
    <w:abstractNumId w:val="8"/>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8" w:dllVersion="513" w:checkStyle="1"/>
  <w:proofState w:spelling="clean" w:grammar="clean"/>
  <w:stylePaneFormatFilter w:val="3F01"/>
  <w:doNotTrackMoves/>
  <w:defaultTabStop w:val="20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fillcolor="white">
      <v:fill color="white"/>
    </o:shapedefaults>
  </w:hdrShapeDefaults>
  <w:footnotePr>
    <w:footnote w:id="-1"/>
    <w:footnote w:id="0"/>
  </w:footnotePr>
  <w:endnotePr>
    <w:endnote w:id="-1"/>
    <w:endnote w:id="0"/>
  </w:endnotePr>
  <w:compat>
    <w:useFELayout/>
  </w:compat>
  <w:rsids>
    <w:rsidRoot w:val="00F15BD2"/>
    <w:rsid w:val="00017E6F"/>
    <w:rsid w:val="0002627A"/>
    <w:rsid w:val="00037A97"/>
    <w:rsid w:val="000460ED"/>
    <w:rsid w:val="00050C92"/>
    <w:rsid w:val="00054BF2"/>
    <w:rsid w:val="00074F79"/>
    <w:rsid w:val="0008234C"/>
    <w:rsid w:val="000B0276"/>
    <w:rsid w:val="000B4EAE"/>
    <w:rsid w:val="000C49CA"/>
    <w:rsid w:val="000E7ED5"/>
    <w:rsid w:val="000F2A08"/>
    <w:rsid w:val="000F5290"/>
    <w:rsid w:val="000F68DF"/>
    <w:rsid w:val="00105E51"/>
    <w:rsid w:val="00105F9C"/>
    <w:rsid w:val="00112EC9"/>
    <w:rsid w:val="00115013"/>
    <w:rsid w:val="0011755E"/>
    <w:rsid w:val="00117D4A"/>
    <w:rsid w:val="00122833"/>
    <w:rsid w:val="00146D4A"/>
    <w:rsid w:val="00152BBD"/>
    <w:rsid w:val="00155AF1"/>
    <w:rsid w:val="00180EE6"/>
    <w:rsid w:val="00182852"/>
    <w:rsid w:val="00191939"/>
    <w:rsid w:val="001D5F95"/>
    <w:rsid w:val="001F5C2F"/>
    <w:rsid w:val="00211CA2"/>
    <w:rsid w:val="002123BF"/>
    <w:rsid w:val="00213E56"/>
    <w:rsid w:val="00223F3E"/>
    <w:rsid w:val="00236EDF"/>
    <w:rsid w:val="00251C3E"/>
    <w:rsid w:val="00253597"/>
    <w:rsid w:val="002616B2"/>
    <w:rsid w:val="00263395"/>
    <w:rsid w:val="0027577F"/>
    <w:rsid w:val="0027787D"/>
    <w:rsid w:val="002837AC"/>
    <w:rsid w:val="0029025B"/>
    <w:rsid w:val="002A0960"/>
    <w:rsid w:val="002A478C"/>
    <w:rsid w:val="002A6DE4"/>
    <w:rsid w:val="002D506C"/>
    <w:rsid w:val="002E1FDE"/>
    <w:rsid w:val="003025FC"/>
    <w:rsid w:val="00304E9D"/>
    <w:rsid w:val="00307179"/>
    <w:rsid w:val="00324EBF"/>
    <w:rsid w:val="00327A5B"/>
    <w:rsid w:val="0034271F"/>
    <w:rsid w:val="00345C8C"/>
    <w:rsid w:val="00350CF8"/>
    <w:rsid w:val="00393F4F"/>
    <w:rsid w:val="003A48F5"/>
    <w:rsid w:val="003A598B"/>
    <w:rsid w:val="003C219B"/>
    <w:rsid w:val="003C624F"/>
    <w:rsid w:val="003D0B8C"/>
    <w:rsid w:val="003D2AB9"/>
    <w:rsid w:val="003F5FFD"/>
    <w:rsid w:val="003F7283"/>
    <w:rsid w:val="00400ED8"/>
    <w:rsid w:val="00401947"/>
    <w:rsid w:val="00403185"/>
    <w:rsid w:val="00413AAE"/>
    <w:rsid w:val="00422FCC"/>
    <w:rsid w:val="00447C35"/>
    <w:rsid w:val="00461D21"/>
    <w:rsid w:val="00465221"/>
    <w:rsid w:val="0047489E"/>
    <w:rsid w:val="004A0E57"/>
    <w:rsid w:val="004C417E"/>
    <w:rsid w:val="004C572B"/>
    <w:rsid w:val="004E0A6C"/>
    <w:rsid w:val="004E530D"/>
    <w:rsid w:val="004F4880"/>
    <w:rsid w:val="00502CC3"/>
    <w:rsid w:val="00504E06"/>
    <w:rsid w:val="00506B91"/>
    <w:rsid w:val="00507F59"/>
    <w:rsid w:val="00544501"/>
    <w:rsid w:val="00555E36"/>
    <w:rsid w:val="00584B5F"/>
    <w:rsid w:val="005A7D0B"/>
    <w:rsid w:val="005A7E78"/>
    <w:rsid w:val="005C178B"/>
    <w:rsid w:val="005E3DAA"/>
    <w:rsid w:val="005E6E74"/>
    <w:rsid w:val="005F0353"/>
    <w:rsid w:val="00616DD0"/>
    <w:rsid w:val="006229D6"/>
    <w:rsid w:val="00623860"/>
    <w:rsid w:val="00634F08"/>
    <w:rsid w:val="00641024"/>
    <w:rsid w:val="00650368"/>
    <w:rsid w:val="00662FA9"/>
    <w:rsid w:val="00687E5F"/>
    <w:rsid w:val="00690121"/>
    <w:rsid w:val="006A42C1"/>
    <w:rsid w:val="006B6A1F"/>
    <w:rsid w:val="006F3463"/>
    <w:rsid w:val="006F4546"/>
    <w:rsid w:val="00707047"/>
    <w:rsid w:val="00707A66"/>
    <w:rsid w:val="007175F2"/>
    <w:rsid w:val="007426B9"/>
    <w:rsid w:val="00765D3F"/>
    <w:rsid w:val="007677B4"/>
    <w:rsid w:val="00774935"/>
    <w:rsid w:val="007A1CCC"/>
    <w:rsid w:val="007A23E1"/>
    <w:rsid w:val="007A51F1"/>
    <w:rsid w:val="007B3FF6"/>
    <w:rsid w:val="007C1437"/>
    <w:rsid w:val="007C1A85"/>
    <w:rsid w:val="007C3309"/>
    <w:rsid w:val="007C3A7B"/>
    <w:rsid w:val="007D1543"/>
    <w:rsid w:val="00801C29"/>
    <w:rsid w:val="0080348A"/>
    <w:rsid w:val="00805539"/>
    <w:rsid w:val="00811B78"/>
    <w:rsid w:val="008265D6"/>
    <w:rsid w:val="00833897"/>
    <w:rsid w:val="00834592"/>
    <w:rsid w:val="00841F2A"/>
    <w:rsid w:val="00842508"/>
    <w:rsid w:val="008456B0"/>
    <w:rsid w:val="00847191"/>
    <w:rsid w:val="00855CAF"/>
    <w:rsid w:val="0086063B"/>
    <w:rsid w:val="00880B8D"/>
    <w:rsid w:val="00882E3D"/>
    <w:rsid w:val="00884A45"/>
    <w:rsid w:val="008A06B3"/>
    <w:rsid w:val="008B589E"/>
    <w:rsid w:val="008E2BA4"/>
    <w:rsid w:val="008F05ED"/>
    <w:rsid w:val="008F386A"/>
    <w:rsid w:val="008F5200"/>
    <w:rsid w:val="00900AE0"/>
    <w:rsid w:val="0090273C"/>
    <w:rsid w:val="00916205"/>
    <w:rsid w:val="00916BA8"/>
    <w:rsid w:val="00941C3B"/>
    <w:rsid w:val="00942852"/>
    <w:rsid w:val="00956776"/>
    <w:rsid w:val="009670C2"/>
    <w:rsid w:val="00984375"/>
    <w:rsid w:val="00986952"/>
    <w:rsid w:val="009A2EF8"/>
    <w:rsid w:val="009D32ED"/>
    <w:rsid w:val="009E7F36"/>
    <w:rsid w:val="009F18E3"/>
    <w:rsid w:val="009F7B0D"/>
    <w:rsid w:val="00A40011"/>
    <w:rsid w:val="00A46F0A"/>
    <w:rsid w:val="00A81783"/>
    <w:rsid w:val="00A908FD"/>
    <w:rsid w:val="00A92E50"/>
    <w:rsid w:val="00A95FCC"/>
    <w:rsid w:val="00AA5E36"/>
    <w:rsid w:val="00AA7487"/>
    <w:rsid w:val="00B0685F"/>
    <w:rsid w:val="00B20591"/>
    <w:rsid w:val="00B22C37"/>
    <w:rsid w:val="00B27141"/>
    <w:rsid w:val="00B360B5"/>
    <w:rsid w:val="00B47F4C"/>
    <w:rsid w:val="00B84A09"/>
    <w:rsid w:val="00B85875"/>
    <w:rsid w:val="00B871E3"/>
    <w:rsid w:val="00B93E4E"/>
    <w:rsid w:val="00BA09DB"/>
    <w:rsid w:val="00BB0A0E"/>
    <w:rsid w:val="00BC2051"/>
    <w:rsid w:val="00BC517A"/>
    <w:rsid w:val="00BD5038"/>
    <w:rsid w:val="00BD60A7"/>
    <w:rsid w:val="00BE16B7"/>
    <w:rsid w:val="00BE6060"/>
    <w:rsid w:val="00BE7776"/>
    <w:rsid w:val="00C024E1"/>
    <w:rsid w:val="00C1441F"/>
    <w:rsid w:val="00C27A86"/>
    <w:rsid w:val="00C51604"/>
    <w:rsid w:val="00C51F0A"/>
    <w:rsid w:val="00C62BE1"/>
    <w:rsid w:val="00C70B7E"/>
    <w:rsid w:val="00C72BD1"/>
    <w:rsid w:val="00C76790"/>
    <w:rsid w:val="00C91CDD"/>
    <w:rsid w:val="00C96BE8"/>
    <w:rsid w:val="00CA56CE"/>
    <w:rsid w:val="00CC45F2"/>
    <w:rsid w:val="00CC59EE"/>
    <w:rsid w:val="00CD6652"/>
    <w:rsid w:val="00CD67D5"/>
    <w:rsid w:val="00CD6B7F"/>
    <w:rsid w:val="00CD6D28"/>
    <w:rsid w:val="00D124BB"/>
    <w:rsid w:val="00D129BA"/>
    <w:rsid w:val="00D24E07"/>
    <w:rsid w:val="00D257C9"/>
    <w:rsid w:val="00D3406D"/>
    <w:rsid w:val="00D46799"/>
    <w:rsid w:val="00D55ABF"/>
    <w:rsid w:val="00DB08D2"/>
    <w:rsid w:val="00DD1A39"/>
    <w:rsid w:val="00DF6DD2"/>
    <w:rsid w:val="00E160E9"/>
    <w:rsid w:val="00E26274"/>
    <w:rsid w:val="00E30319"/>
    <w:rsid w:val="00E311B0"/>
    <w:rsid w:val="00E3516A"/>
    <w:rsid w:val="00E36531"/>
    <w:rsid w:val="00E44873"/>
    <w:rsid w:val="00E5617B"/>
    <w:rsid w:val="00E73222"/>
    <w:rsid w:val="00E733A8"/>
    <w:rsid w:val="00E95520"/>
    <w:rsid w:val="00EA2CCC"/>
    <w:rsid w:val="00EB0667"/>
    <w:rsid w:val="00EE2AC7"/>
    <w:rsid w:val="00F05EDA"/>
    <w:rsid w:val="00F15BD2"/>
    <w:rsid w:val="00F15D73"/>
    <w:rsid w:val="00F17149"/>
    <w:rsid w:val="00F21C56"/>
    <w:rsid w:val="00F41F4E"/>
    <w:rsid w:val="00F67C94"/>
    <w:rsid w:val="00F71D66"/>
    <w:rsid w:val="00F87173"/>
    <w:rsid w:val="00F905DE"/>
    <w:rsid w:val="00F93D6B"/>
    <w:rsid w:val="00FA1CF8"/>
    <w:rsid w:val="00FA5518"/>
    <w:rsid w:val="00FE3645"/>
    <w:rsid w:val="00FF7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BF"/>
    <w:rPr>
      <w:color w:val="000000" w:themeColor="text1"/>
    </w:rPr>
  </w:style>
  <w:style w:type="paragraph" w:styleId="Heading1">
    <w:name w:val="heading 1"/>
    <w:basedOn w:val="Normal"/>
    <w:next w:val="Normal"/>
    <w:qFormat/>
    <w:rsid w:val="002837AC"/>
    <w:pPr>
      <w:keepNext/>
      <w:numPr>
        <w:numId w:val="2"/>
      </w:numPr>
      <w:spacing w:before="240" w:after="80"/>
      <w:jc w:val="center"/>
      <w:outlineLvl w:val="0"/>
    </w:pPr>
    <w:rPr>
      <w:smallCaps/>
      <w:kern w:val="28"/>
    </w:rPr>
  </w:style>
  <w:style w:type="paragraph" w:styleId="Heading2">
    <w:name w:val="heading 2"/>
    <w:basedOn w:val="Normal"/>
    <w:next w:val="Normal"/>
    <w:qFormat/>
    <w:rsid w:val="002837AC"/>
    <w:pPr>
      <w:keepNext/>
      <w:numPr>
        <w:ilvl w:val="1"/>
        <w:numId w:val="2"/>
      </w:numPr>
      <w:spacing w:before="120" w:after="60"/>
      <w:outlineLvl w:val="1"/>
    </w:pPr>
    <w:rPr>
      <w:i/>
    </w:rPr>
  </w:style>
  <w:style w:type="paragraph" w:styleId="Heading3">
    <w:name w:val="heading 3"/>
    <w:basedOn w:val="Normal"/>
    <w:next w:val="Normal"/>
    <w:qFormat/>
    <w:rsid w:val="002837AC"/>
    <w:pPr>
      <w:keepNext/>
      <w:numPr>
        <w:ilvl w:val="2"/>
        <w:numId w:val="2"/>
      </w:numPr>
      <w:outlineLvl w:val="2"/>
    </w:pPr>
    <w:rPr>
      <w:i/>
    </w:rPr>
  </w:style>
  <w:style w:type="paragraph" w:styleId="Heading4">
    <w:name w:val="heading 4"/>
    <w:basedOn w:val="Normal"/>
    <w:next w:val="Normal"/>
    <w:qFormat/>
    <w:rsid w:val="002837AC"/>
    <w:pPr>
      <w:keepNext/>
      <w:numPr>
        <w:ilvl w:val="3"/>
        <w:numId w:val="2"/>
      </w:numPr>
      <w:outlineLvl w:val="3"/>
    </w:pPr>
    <w:rPr>
      <w:i/>
    </w:rPr>
  </w:style>
  <w:style w:type="paragraph" w:styleId="Heading5">
    <w:name w:val="heading 5"/>
    <w:basedOn w:val="Normal"/>
    <w:next w:val="Normal"/>
    <w:qFormat/>
    <w:rsid w:val="002837AC"/>
    <w:pPr>
      <w:keepNext/>
      <w:numPr>
        <w:ilvl w:val="4"/>
        <w:numId w:val="2"/>
      </w:numPr>
      <w:outlineLvl w:val="4"/>
    </w:pPr>
    <w:rPr>
      <w:i/>
    </w:rPr>
  </w:style>
  <w:style w:type="paragraph" w:styleId="Heading6">
    <w:name w:val="heading 6"/>
    <w:basedOn w:val="Normal"/>
    <w:next w:val="Normal"/>
    <w:qFormat/>
    <w:rsid w:val="002837AC"/>
    <w:pPr>
      <w:keepNext/>
      <w:numPr>
        <w:ilvl w:val="5"/>
        <w:numId w:val="2"/>
      </w:numPr>
      <w:ind w:left="360"/>
      <w:outlineLvl w:val="5"/>
    </w:pPr>
    <w:rPr>
      <w:i/>
    </w:rPr>
  </w:style>
  <w:style w:type="paragraph" w:styleId="Heading7">
    <w:name w:val="heading 7"/>
    <w:basedOn w:val="Normal"/>
    <w:next w:val="Normal"/>
    <w:qFormat/>
    <w:rsid w:val="002837AC"/>
    <w:pPr>
      <w:keepNext/>
      <w:numPr>
        <w:ilvl w:val="6"/>
        <w:numId w:val="2"/>
      </w:numPr>
      <w:ind w:left="720"/>
      <w:outlineLvl w:val="6"/>
    </w:pPr>
    <w:rPr>
      <w:i/>
    </w:rPr>
  </w:style>
  <w:style w:type="paragraph" w:styleId="Heading8">
    <w:name w:val="heading 8"/>
    <w:basedOn w:val="Normal"/>
    <w:next w:val="Normal"/>
    <w:qFormat/>
    <w:rsid w:val="002837AC"/>
    <w:pPr>
      <w:keepNext/>
      <w:numPr>
        <w:ilvl w:val="7"/>
        <w:numId w:val="2"/>
      </w:numPr>
      <w:ind w:left="1080"/>
      <w:outlineLvl w:val="7"/>
    </w:pPr>
    <w:rPr>
      <w:i/>
    </w:rPr>
  </w:style>
  <w:style w:type="paragraph" w:styleId="Heading9">
    <w:name w:val="heading 9"/>
    <w:basedOn w:val="Normal"/>
    <w:next w:val="Normal"/>
    <w:qFormat/>
    <w:rsid w:val="002837AC"/>
    <w:pPr>
      <w:keepNext/>
      <w:numPr>
        <w:ilvl w:val="8"/>
        <w:numId w:val="2"/>
      </w:numPr>
      <w:ind w:left="21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837AC"/>
    <w:pPr>
      <w:spacing w:before="20"/>
      <w:ind w:firstLine="240"/>
      <w:jc w:val="both"/>
    </w:pPr>
    <w:rPr>
      <w:b/>
      <w:sz w:val="18"/>
    </w:rPr>
  </w:style>
  <w:style w:type="paragraph" w:customStyle="1" w:styleId="Authors">
    <w:name w:val="Authors"/>
    <w:basedOn w:val="Normal"/>
    <w:next w:val="Normal"/>
    <w:link w:val="Authors0"/>
    <w:rsid w:val="002837AC"/>
    <w:pPr>
      <w:framePr w:w="9072" w:hSpace="187" w:vSpace="187" w:wrap="notBeside" w:vAnchor="text" w:hAnchor="page" w:xAlign="center" w:y="1"/>
      <w:spacing w:after="320"/>
      <w:jc w:val="center"/>
    </w:pPr>
    <w:rPr>
      <w:sz w:val="22"/>
    </w:rPr>
  </w:style>
  <w:style w:type="character" w:customStyle="1" w:styleId="MemberType">
    <w:name w:val="MemberType"/>
    <w:rsid w:val="002837AC"/>
    <w:rPr>
      <w:rFonts w:ascii="Times New Roman" w:hAnsi="Times New Roman"/>
      <w:i/>
      <w:sz w:val="22"/>
    </w:rPr>
  </w:style>
  <w:style w:type="paragraph" w:styleId="Title">
    <w:name w:val="Title"/>
    <w:basedOn w:val="Normal"/>
    <w:link w:val="TitleChar"/>
    <w:qFormat/>
    <w:rsid w:val="002837AC"/>
    <w:pPr>
      <w:framePr w:w="9360" w:hSpace="187" w:vSpace="187" w:wrap="notBeside" w:vAnchor="text" w:hAnchor="page" w:xAlign="center" w:y="1"/>
      <w:jc w:val="center"/>
    </w:pPr>
    <w:rPr>
      <w:kern w:val="28"/>
      <w:sz w:val="48"/>
    </w:rPr>
  </w:style>
  <w:style w:type="paragraph" w:styleId="FootnoteText">
    <w:name w:val="footnote text"/>
    <w:basedOn w:val="Normal"/>
    <w:link w:val="FootnoteTextChar"/>
    <w:semiHidden/>
    <w:rsid w:val="002837AC"/>
    <w:pPr>
      <w:ind w:firstLine="240"/>
      <w:jc w:val="both"/>
    </w:pPr>
    <w:rPr>
      <w:sz w:val="16"/>
    </w:rPr>
  </w:style>
  <w:style w:type="paragraph" w:customStyle="1" w:styleId="References">
    <w:name w:val="References"/>
    <w:basedOn w:val="ListNumber"/>
    <w:rsid w:val="002837AC"/>
    <w:pPr>
      <w:ind w:left="0" w:firstLine="0"/>
      <w:jc w:val="both"/>
    </w:pPr>
    <w:rPr>
      <w:sz w:val="16"/>
    </w:rPr>
  </w:style>
  <w:style w:type="paragraph" w:styleId="ListNumber">
    <w:name w:val="List Number"/>
    <w:basedOn w:val="Normal"/>
    <w:rsid w:val="002837AC"/>
    <w:pPr>
      <w:ind w:left="360" w:hanging="360"/>
    </w:pPr>
  </w:style>
  <w:style w:type="paragraph" w:customStyle="1" w:styleId="IndexTerms">
    <w:name w:val="IndexTerms"/>
    <w:basedOn w:val="Normal"/>
    <w:next w:val="Normal"/>
    <w:rsid w:val="002837AC"/>
    <w:pPr>
      <w:ind w:firstLine="240"/>
      <w:jc w:val="both"/>
    </w:pPr>
    <w:rPr>
      <w:b/>
      <w:sz w:val="18"/>
    </w:rPr>
  </w:style>
  <w:style w:type="paragraph" w:customStyle="1" w:styleId="Theorem">
    <w:name w:val="Theorem"/>
    <w:basedOn w:val="Heading3"/>
    <w:rsid w:val="002837AC"/>
    <w:pPr>
      <w:outlineLvl w:val="9"/>
    </w:pPr>
  </w:style>
  <w:style w:type="paragraph" w:customStyle="1" w:styleId="Lemma">
    <w:name w:val="Lemma"/>
    <w:basedOn w:val="Heading3"/>
    <w:rsid w:val="002837AC"/>
    <w:pPr>
      <w:outlineLvl w:val="9"/>
    </w:pPr>
  </w:style>
  <w:style w:type="character" w:styleId="FootnoteReference">
    <w:name w:val="footnote reference"/>
    <w:semiHidden/>
    <w:rsid w:val="002837AC"/>
    <w:rPr>
      <w:vertAlign w:val="superscript"/>
    </w:rPr>
  </w:style>
  <w:style w:type="paragraph" w:styleId="Header">
    <w:name w:val="header"/>
    <w:basedOn w:val="Normal"/>
    <w:rsid w:val="002837AC"/>
    <w:pPr>
      <w:tabs>
        <w:tab w:val="center" w:pos="4320"/>
        <w:tab w:val="right" w:pos="8640"/>
      </w:tabs>
    </w:pPr>
  </w:style>
  <w:style w:type="paragraph" w:styleId="Footer">
    <w:name w:val="footer"/>
    <w:basedOn w:val="Normal"/>
    <w:rsid w:val="002837AC"/>
    <w:pPr>
      <w:tabs>
        <w:tab w:val="center" w:pos="4320"/>
        <w:tab w:val="right" w:pos="8640"/>
      </w:tabs>
    </w:pPr>
  </w:style>
  <w:style w:type="character" w:styleId="Hyperlink">
    <w:name w:val="Hyperlink"/>
    <w:rsid w:val="002837AC"/>
    <w:rPr>
      <w:color w:val="0000FF"/>
    </w:rPr>
  </w:style>
  <w:style w:type="paragraph" w:styleId="BodyTextIndent">
    <w:name w:val="Body Text Indent"/>
    <w:basedOn w:val="Normal"/>
    <w:rsid w:val="002837AC"/>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rsid w:val="002837AC"/>
    <w:pPr>
      <w:widowControl w:val="0"/>
      <w:spacing w:line="252" w:lineRule="auto"/>
      <w:ind w:firstLine="240"/>
      <w:jc w:val="both"/>
    </w:pPr>
  </w:style>
  <w:style w:type="character" w:styleId="FollowedHyperlink">
    <w:name w:val="FollowedHyperlink"/>
    <w:rsid w:val="002837AC"/>
    <w:rPr>
      <w:color w:val="800080"/>
    </w:rPr>
  </w:style>
  <w:style w:type="paragraph" w:customStyle="1" w:styleId="FigureCaption">
    <w:name w:val="Figure Caption"/>
    <w:basedOn w:val="Normal"/>
    <w:rsid w:val="002837AC"/>
    <w:pPr>
      <w:jc w:val="both"/>
    </w:pPr>
    <w:rPr>
      <w:sz w:val="16"/>
    </w:rPr>
  </w:style>
  <w:style w:type="paragraph" w:customStyle="1" w:styleId="TableTitle">
    <w:name w:val="Table Title"/>
    <w:basedOn w:val="Normal"/>
    <w:rsid w:val="002837AC"/>
    <w:pPr>
      <w:jc w:val="center"/>
    </w:pPr>
    <w:rPr>
      <w:smallCaps/>
      <w:sz w:val="16"/>
    </w:rPr>
  </w:style>
  <w:style w:type="paragraph" w:styleId="BodyText">
    <w:name w:val="Body Text"/>
    <w:basedOn w:val="Normal"/>
    <w:rsid w:val="002837AC"/>
    <w:pPr>
      <w:jc w:val="both"/>
    </w:pPr>
  </w:style>
  <w:style w:type="character" w:styleId="PageNumber">
    <w:name w:val="page number"/>
    <w:basedOn w:val="DefaultParagraphFont"/>
    <w:rsid w:val="002837AC"/>
  </w:style>
  <w:style w:type="paragraph" w:styleId="PlainText">
    <w:name w:val="Plain Text"/>
    <w:basedOn w:val="Normal"/>
    <w:rsid w:val="002837AC"/>
    <w:rPr>
      <w:rFonts w:ascii="Courier New" w:hAnsi="Courier New"/>
    </w:rPr>
  </w:style>
  <w:style w:type="paragraph" w:customStyle="1" w:styleId="Biography">
    <w:name w:val="Biography"/>
    <w:basedOn w:val="PlainText"/>
    <w:rsid w:val="002837AC"/>
    <w:pPr>
      <w:spacing w:before="240"/>
      <w:jc w:val="both"/>
    </w:pPr>
    <w:rPr>
      <w:rFonts w:ascii="Times New Roman" w:hAnsi="Times New Roman"/>
      <w:sz w:val="16"/>
    </w:rPr>
  </w:style>
  <w:style w:type="paragraph" w:customStyle="1" w:styleId="BiographyBody">
    <w:name w:val="Biography Body"/>
    <w:basedOn w:val="Biography"/>
    <w:rsid w:val="002837AC"/>
    <w:pPr>
      <w:spacing w:before="0"/>
      <w:ind w:firstLine="240"/>
    </w:pPr>
  </w:style>
  <w:style w:type="character" w:styleId="Strong">
    <w:name w:val="Strong"/>
    <w:qFormat/>
    <w:rsid w:val="002837AC"/>
    <w:rPr>
      <w:b/>
    </w:rPr>
  </w:style>
  <w:style w:type="paragraph" w:styleId="BodyText2">
    <w:name w:val="Body Text 2"/>
    <w:basedOn w:val="Normal"/>
    <w:rsid w:val="002837AC"/>
    <w:pPr>
      <w:widowControl w:val="0"/>
      <w:jc w:val="both"/>
    </w:pPr>
    <w:rPr>
      <w:rFonts w:ascii="Arial" w:hAnsi="Arial"/>
      <w:snapToGrid w:val="0"/>
    </w:rPr>
  </w:style>
  <w:style w:type="paragraph" w:styleId="BalloonText">
    <w:name w:val="Balloon Text"/>
    <w:basedOn w:val="Normal"/>
    <w:semiHidden/>
    <w:rsid w:val="00EA2CCC"/>
    <w:rPr>
      <w:rFonts w:ascii="Tahoma" w:hAnsi="Tahoma" w:cs="Tahoma"/>
      <w:sz w:val="16"/>
      <w:szCs w:val="16"/>
    </w:rPr>
  </w:style>
  <w:style w:type="character" w:customStyle="1" w:styleId="FootnoteTextChar">
    <w:name w:val="Footnote Text Char"/>
    <w:basedOn w:val="DefaultParagraphFont"/>
    <w:link w:val="FootnoteText"/>
    <w:semiHidden/>
    <w:rsid w:val="00834592"/>
    <w:rPr>
      <w:sz w:val="16"/>
    </w:rPr>
  </w:style>
  <w:style w:type="character" w:styleId="PlaceholderText">
    <w:name w:val="Placeholder Text"/>
    <w:basedOn w:val="DefaultParagraphFont"/>
    <w:uiPriority w:val="99"/>
    <w:semiHidden/>
    <w:rsid w:val="00650368"/>
    <w:rPr>
      <w:color w:val="808080"/>
    </w:rPr>
  </w:style>
  <w:style w:type="character" w:styleId="CommentReference">
    <w:name w:val="annotation reference"/>
    <w:basedOn w:val="DefaultParagraphFont"/>
    <w:uiPriority w:val="99"/>
    <w:semiHidden/>
    <w:unhideWhenUsed/>
    <w:rsid w:val="00112EC9"/>
    <w:rPr>
      <w:sz w:val="16"/>
      <w:szCs w:val="16"/>
    </w:rPr>
  </w:style>
  <w:style w:type="paragraph" w:styleId="CommentText">
    <w:name w:val="annotation text"/>
    <w:basedOn w:val="Normal"/>
    <w:link w:val="CommentTextChar"/>
    <w:semiHidden/>
    <w:unhideWhenUsed/>
    <w:rsid w:val="00112EC9"/>
  </w:style>
  <w:style w:type="character" w:customStyle="1" w:styleId="CommentTextChar">
    <w:name w:val="Comment Text Char"/>
    <w:basedOn w:val="DefaultParagraphFont"/>
    <w:link w:val="CommentText"/>
    <w:semiHidden/>
    <w:rsid w:val="00112EC9"/>
  </w:style>
  <w:style w:type="paragraph" w:styleId="CommentSubject">
    <w:name w:val="annotation subject"/>
    <w:basedOn w:val="CommentText"/>
    <w:next w:val="CommentText"/>
    <w:link w:val="CommentSubjectChar"/>
    <w:semiHidden/>
    <w:unhideWhenUsed/>
    <w:rsid w:val="00112EC9"/>
    <w:rPr>
      <w:b/>
      <w:bCs/>
    </w:rPr>
  </w:style>
  <w:style w:type="character" w:customStyle="1" w:styleId="CommentSubjectChar">
    <w:name w:val="Comment Subject Char"/>
    <w:basedOn w:val="CommentTextChar"/>
    <w:link w:val="CommentSubject"/>
    <w:semiHidden/>
    <w:rsid w:val="00112EC9"/>
    <w:rPr>
      <w:b/>
      <w:bCs/>
    </w:rPr>
  </w:style>
  <w:style w:type="paragraph" w:customStyle="1" w:styleId="Author">
    <w:name w:val="Author"/>
    <w:basedOn w:val="Authors"/>
    <w:link w:val="Author0"/>
    <w:qFormat/>
    <w:rsid w:val="00833897"/>
    <w:pPr>
      <w:framePr w:h="781" w:hRule="exact" w:wrap="notBeside" w:x="1569" w:y="-213"/>
    </w:pPr>
  </w:style>
  <w:style w:type="character" w:customStyle="1" w:styleId="Authors0">
    <w:name w:val="Authors 字符"/>
    <w:basedOn w:val="DefaultParagraphFont"/>
    <w:link w:val="Authors"/>
    <w:rsid w:val="00833897"/>
    <w:rPr>
      <w:sz w:val="22"/>
    </w:rPr>
  </w:style>
  <w:style w:type="character" w:customStyle="1" w:styleId="Author0">
    <w:name w:val="Author 字符"/>
    <w:basedOn w:val="Authors0"/>
    <w:link w:val="Author"/>
    <w:rsid w:val="00833897"/>
    <w:rPr>
      <w:sz w:val="22"/>
    </w:rPr>
  </w:style>
  <w:style w:type="paragraph" w:customStyle="1" w:styleId="Title1">
    <w:name w:val="Title1"/>
    <w:basedOn w:val="Title"/>
    <w:link w:val="Title0"/>
    <w:qFormat/>
    <w:rsid w:val="00017E6F"/>
    <w:pPr>
      <w:framePr w:wrap="notBeside"/>
    </w:pPr>
  </w:style>
  <w:style w:type="character" w:customStyle="1" w:styleId="TitleChar">
    <w:name w:val="Title Char"/>
    <w:basedOn w:val="DefaultParagraphFont"/>
    <w:link w:val="Title"/>
    <w:rsid w:val="00017E6F"/>
    <w:rPr>
      <w:kern w:val="28"/>
      <w:sz w:val="48"/>
    </w:rPr>
  </w:style>
  <w:style w:type="character" w:customStyle="1" w:styleId="Title0">
    <w:name w:val="Title 字符"/>
    <w:basedOn w:val="TitleChar"/>
    <w:link w:val="Title1"/>
    <w:rsid w:val="00017E6F"/>
    <w:rPr>
      <w:kern w:val="28"/>
      <w:sz w:val="48"/>
    </w:rPr>
  </w:style>
  <w:style w:type="table" w:customStyle="1" w:styleId="Table">
    <w:name w:val="Table"/>
    <w:basedOn w:val="TableList3"/>
    <w:uiPriority w:val="99"/>
    <w:rsid w:val="00882E3D"/>
    <w:pPr>
      <w:tabs>
        <w:tab w:val="left" w:pos="3068"/>
      </w:tabs>
      <w:ind w:firstLine="720"/>
    </w:pPr>
    <w:rPr>
      <w:rFonts w:asciiTheme="minorHAnsi" w:eastAsiaTheme="majorEastAsia" w:hAnsiTheme="minorHAnsi" w:cstheme="minorBidi"/>
      <w:sz w:val="22"/>
      <w:szCs w:val="22"/>
      <w:lang w:eastAsia="zh-CN"/>
    </w:rPr>
    <w:tblPr>
      <w:jc w:val="cente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jc w:val="center"/>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semiHidden/>
    <w:unhideWhenUsed/>
    <w:rsid w:val="00882E3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ourceCode">
    <w:name w:val="Source Code"/>
    <w:rsid w:val="002837AC"/>
    <w:pPr>
      <w:wordWrap w:val="0"/>
    </w:pPr>
  </w:style>
  <w:style w:type="character" w:customStyle="1" w:styleId="KeywordTok">
    <w:name w:val="KeywordTok"/>
    <w:rsid w:val="002837AC"/>
    <w:rPr>
      <w:b/>
      <w:color w:val="007020"/>
    </w:rPr>
  </w:style>
  <w:style w:type="character" w:customStyle="1" w:styleId="DataTypeTok">
    <w:name w:val="DataTypeTok"/>
    <w:rsid w:val="002837AC"/>
    <w:rPr>
      <w:color w:val="902000"/>
    </w:rPr>
  </w:style>
  <w:style w:type="character" w:customStyle="1" w:styleId="DecValTok">
    <w:name w:val="DecValTok"/>
    <w:rsid w:val="002837AC"/>
    <w:rPr>
      <w:color w:val="40A070"/>
    </w:rPr>
  </w:style>
  <w:style w:type="character" w:customStyle="1" w:styleId="BaseNTok">
    <w:name w:val="BaseNTok"/>
    <w:rsid w:val="002837AC"/>
    <w:rPr>
      <w:color w:val="40A070"/>
    </w:rPr>
  </w:style>
  <w:style w:type="character" w:customStyle="1" w:styleId="FloatTok">
    <w:name w:val="FloatTok"/>
    <w:rsid w:val="002837AC"/>
    <w:rPr>
      <w:color w:val="40A070"/>
    </w:rPr>
  </w:style>
  <w:style w:type="character" w:customStyle="1" w:styleId="ConstantTok">
    <w:name w:val="ConstantTok"/>
    <w:rsid w:val="002837AC"/>
    <w:rPr>
      <w:color w:val="880000"/>
    </w:rPr>
  </w:style>
  <w:style w:type="character" w:customStyle="1" w:styleId="CharTok">
    <w:name w:val="CharTok"/>
    <w:rsid w:val="002837AC"/>
    <w:rPr>
      <w:color w:val="4070A0"/>
    </w:rPr>
  </w:style>
  <w:style w:type="character" w:customStyle="1" w:styleId="SpecialCharTok">
    <w:name w:val="SpecialCharTok"/>
    <w:rsid w:val="002837AC"/>
    <w:rPr>
      <w:color w:val="4070A0"/>
    </w:rPr>
  </w:style>
  <w:style w:type="character" w:customStyle="1" w:styleId="StringTok">
    <w:name w:val="StringTok"/>
    <w:rsid w:val="002837AC"/>
    <w:rPr>
      <w:color w:val="4070A0"/>
    </w:rPr>
  </w:style>
  <w:style w:type="character" w:customStyle="1" w:styleId="VerbatimStringTok">
    <w:name w:val="VerbatimStringTok"/>
    <w:rsid w:val="002837AC"/>
    <w:rPr>
      <w:color w:val="4070A0"/>
    </w:rPr>
  </w:style>
  <w:style w:type="character" w:customStyle="1" w:styleId="SpecialStringTok">
    <w:name w:val="SpecialStringTok"/>
    <w:rsid w:val="002837AC"/>
    <w:rPr>
      <w:color w:val="BB6688"/>
    </w:rPr>
  </w:style>
  <w:style w:type="character" w:customStyle="1" w:styleId="ImportTok">
    <w:name w:val="ImportTok"/>
    <w:rsid w:val="002837AC"/>
    <w:rPr>
      <w:b/>
      <w:color w:val="008000"/>
    </w:rPr>
  </w:style>
  <w:style w:type="character" w:customStyle="1" w:styleId="CommentTok">
    <w:name w:val="CommentTok"/>
    <w:rsid w:val="002837AC"/>
    <w:rPr>
      <w:i/>
      <w:color w:val="60A0B0"/>
    </w:rPr>
  </w:style>
  <w:style w:type="character" w:customStyle="1" w:styleId="DocumentationTok">
    <w:name w:val="DocumentationTok"/>
    <w:rsid w:val="002837AC"/>
    <w:rPr>
      <w:i/>
      <w:color w:val="BA2121"/>
    </w:rPr>
  </w:style>
  <w:style w:type="character" w:customStyle="1" w:styleId="AnnotationTok">
    <w:name w:val="AnnotationTok"/>
    <w:rsid w:val="002837AC"/>
    <w:rPr>
      <w:b/>
      <w:i/>
      <w:color w:val="60A0B0"/>
    </w:rPr>
  </w:style>
  <w:style w:type="character" w:customStyle="1" w:styleId="CommentVarTok">
    <w:name w:val="CommentVarTok"/>
    <w:rsid w:val="002837AC"/>
    <w:rPr>
      <w:b/>
      <w:i/>
      <w:color w:val="60A0B0"/>
    </w:rPr>
  </w:style>
  <w:style w:type="character" w:customStyle="1" w:styleId="OtherTok">
    <w:name w:val="OtherTok"/>
    <w:rsid w:val="002837AC"/>
    <w:rPr>
      <w:color w:val="007020"/>
    </w:rPr>
  </w:style>
  <w:style w:type="character" w:customStyle="1" w:styleId="FunctionTok">
    <w:name w:val="FunctionTok"/>
    <w:rsid w:val="002837AC"/>
    <w:rPr>
      <w:color w:val="06287E"/>
    </w:rPr>
  </w:style>
  <w:style w:type="character" w:customStyle="1" w:styleId="VariableTok">
    <w:name w:val="VariableTok"/>
    <w:rsid w:val="002837AC"/>
    <w:rPr>
      <w:color w:val="19177C"/>
    </w:rPr>
  </w:style>
  <w:style w:type="character" w:customStyle="1" w:styleId="ControlFlowTok">
    <w:name w:val="ControlFlowTok"/>
    <w:rsid w:val="002837AC"/>
    <w:rPr>
      <w:b/>
      <w:color w:val="007020"/>
    </w:rPr>
  </w:style>
  <w:style w:type="character" w:customStyle="1" w:styleId="OperatorTok">
    <w:name w:val="OperatorTok"/>
    <w:rsid w:val="002837AC"/>
    <w:rPr>
      <w:color w:val="666666"/>
    </w:rPr>
  </w:style>
  <w:style w:type="character" w:customStyle="1" w:styleId="BuiltInTok">
    <w:name w:val="BuiltInTok"/>
    <w:rsid w:val="002837AC"/>
    <w:rPr>
      <w:color w:val="008000"/>
    </w:rPr>
  </w:style>
  <w:style w:type="character" w:customStyle="1" w:styleId="ExtensionTok">
    <w:name w:val="ExtensionTok"/>
    <w:rsid w:val="002837AC"/>
  </w:style>
  <w:style w:type="character" w:customStyle="1" w:styleId="PreprocessorTok">
    <w:name w:val="PreprocessorTok"/>
    <w:rsid w:val="002837AC"/>
    <w:rPr>
      <w:color w:val="BC7A00"/>
    </w:rPr>
  </w:style>
  <w:style w:type="character" w:customStyle="1" w:styleId="AttributeTok">
    <w:name w:val="AttributeTok"/>
    <w:rsid w:val="002837AC"/>
    <w:rPr>
      <w:color w:val="7D9029"/>
    </w:rPr>
  </w:style>
  <w:style w:type="character" w:customStyle="1" w:styleId="RegionMarkerTok">
    <w:name w:val="RegionMarkerTok"/>
    <w:rsid w:val="002837AC"/>
  </w:style>
  <w:style w:type="character" w:customStyle="1" w:styleId="InformationTok">
    <w:name w:val="InformationTok"/>
    <w:rsid w:val="002837AC"/>
    <w:rPr>
      <w:b/>
      <w:i/>
      <w:color w:val="60A0B0"/>
    </w:rPr>
  </w:style>
  <w:style w:type="character" w:customStyle="1" w:styleId="WarningTok">
    <w:name w:val="WarningTok"/>
    <w:rsid w:val="002837AC"/>
    <w:rPr>
      <w:b/>
      <w:i/>
      <w:color w:val="60A0B0"/>
    </w:rPr>
  </w:style>
  <w:style w:type="character" w:customStyle="1" w:styleId="AlertTok">
    <w:name w:val="AlertTok"/>
    <w:rsid w:val="002837AC"/>
    <w:rPr>
      <w:b/>
      <w:color w:val="FF0000"/>
    </w:rPr>
  </w:style>
  <w:style w:type="character" w:customStyle="1" w:styleId="ErrorTok">
    <w:name w:val="ErrorTok"/>
    <w:rsid w:val="002837AC"/>
    <w:rPr>
      <w:b/>
      <w:color w:val="FF0000"/>
    </w:rPr>
  </w:style>
  <w:style w:type="character" w:customStyle="1" w:styleId="NormalTok">
    <w:name w:val="NormalTok"/>
    <w:rsid w:val="002837AC"/>
  </w:style>
  <w:style w:type="table" w:styleId="TableGrid">
    <w:name w:val="Table Grid"/>
    <w:basedOn w:val="TableNormal"/>
    <w:rsid w:val="00E44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4873"/>
    <w:pPr>
      <w:ind w:left="720"/>
      <w:contextualSpacing/>
    </w:pPr>
  </w:style>
</w:styles>
</file>

<file path=word/webSettings.xml><?xml version="1.0" encoding="utf-8"?>
<w:webSettings xmlns:r="http://schemas.openxmlformats.org/officeDocument/2006/relationships" xmlns:w="http://schemas.openxmlformats.org/wordprocessingml/2006/main">
  <w:divs>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1882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6</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200 Gbps PAM-4 Terahertz Transceiver in 7nm FinFET with Adaptive-Bias PA Array, Pipeline-Retimed DSP, and ILRO-Based CDR Achieving 1.56 pJ/bit</vt:lpstr>
    </vt:vector>
  </TitlesOfParts>
  <Company>IEEE</Company>
  <LinksUpToDate>false</LinksUpToDate>
  <CharactersWithSpaces>32218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200 Gbps PAM-4 Terahertz Transceiver in 7nm FinFET with Adaptive-Bias PA Array, Pipeline-Retimed DSP, and ILRO-Based CDR Achieving 1.56 pJ/bit</dc:title>
  <dc:creator/>
  <cp:keywords/>
  <cp:lastModifiedBy>DELL</cp:lastModifiedBy>
  <cp:revision>12</cp:revision>
  <dcterms:created xsi:type="dcterms:W3CDTF">2026-06-15T12:12:00Z</dcterms:created>
  <dcterms:modified xsi:type="dcterms:W3CDTF">2026-06-22T08:26:00Z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/tmp/com.gatsbi/.cache/82e45811bd5cc1d72d8f56baf979879a/ref.bib</vt:lpwstr>
  </property>
  <property fmtid="{D5CDD505-2E9C-101B-9397-08002B2CF9AE}" pid="3" name="csl">
    <vt:lpwstr>/home/gatsbi/gatsbi_backend/paid_gatsbi/theseus/resources/csl/ieee.csl</vt:lpwstr>
  </property>
</Properties>
</file>