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EF3118" w14:textId="34E74AF3" w:rsidR="00156C2B" w:rsidRPr="008C292A" w:rsidRDefault="00156C2B" w:rsidP="00156C2B">
      <w:pPr>
        <w:shd w:val="clear" w:color="auto" w:fill="FFFFFF"/>
        <w:spacing w:before="100" w:beforeAutospacing="1" w:after="240" w:line="510" w:lineRule="atLeast"/>
        <w:jc w:val="both"/>
        <w:outlineLvl w:val="0"/>
        <w:rPr>
          <w:rFonts w:ascii="Segoe UI" w:eastAsia="Times New Roman" w:hAnsi="Segoe UI" w:cs="Segoe UI"/>
          <w:b/>
          <w:bCs/>
          <w:color w:val="0F1115"/>
          <w:kern w:val="36"/>
          <w:sz w:val="36"/>
          <w:szCs w:val="36"/>
        </w:rPr>
      </w:pPr>
      <w:r w:rsidRPr="008C292A">
        <w:rPr>
          <w:rFonts w:ascii="Segoe UI" w:eastAsia="Times New Roman" w:hAnsi="Segoe UI" w:cs="Segoe UI"/>
          <w:b/>
          <w:bCs/>
          <w:color w:val="0F1115"/>
          <w:kern w:val="36"/>
          <w:sz w:val="36"/>
          <w:szCs w:val="36"/>
        </w:rPr>
        <w:t>Post-Quantum Cryptography and Data Protection: Legal and Ethical Implications for Global Cybersecurity</w:t>
      </w:r>
    </w:p>
    <w:p w14:paraId="2050AF73" w14:textId="2C4A8E14" w:rsidR="009303D9" w:rsidRPr="008C292A" w:rsidRDefault="00053F1E" w:rsidP="00156C2B">
      <w:pPr>
        <w:rPr>
          <w:color w:val="FF0000"/>
          <w:kern w:val="48"/>
        </w:rPr>
      </w:pPr>
      <w:r w:rsidRPr="008C292A">
        <w:rPr>
          <w:rFonts w:ascii="Segoe UI" w:eastAsia="Times New Roman" w:hAnsi="Segoe UI" w:cs="Segoe UI"/>
          <w:b/>
          <w:bCs/>
          <w:color w:val="0F1115"/>
          <w:kern w:val="36"/>
          <w:sz w:val="36"/>
          <w:szCs w:val="36"/>
        </w:rPr>
        <w:t xml:space="preserve"> </w:t>
      </w:r>
    </w:p>
    <w:tbl>
      <w:tblPr>
        <w:tblW w:w="10134" w:type="dxa"/>
        <w:tblLayout w:type="fixed"/>
        <w:tblLook w:val="04A0" w:firstRow="1" w:lastRow="0" w:firstColumn="1" w:lastColumn="0" w:noHBand="0" w:noVBand="1"/>
      </w:tblPr>
      <w:tblGrid>
        <w:gridCol w:w="1701"/>
        <w:gridCol w:w="1985"/>
        <w:gridCol w:w="2293"/>
        <w:gridCol w:w="400"/>
        <w:gridCol w:w="1811"/>
        <w:gridCol w:w="1708"/>
        <w:gridCol w:w="236"/>
      </w:tblGrid>
      <w:tr w:rsidR="00580DA7" w:rsidRPr="008C292A" w14:paraId="1E592788" w14:textId="56B988A3" w:rsidTr="0033213D">
        <w:trPr>
          <w:trHeight w:val="958"/>
        </w:trPr>
        <w:tc>
          <w:tcPr>
            <w:tcW w:w="1701" w:type="dxa"/>
          </w:tcPr>
          <w:p w14:paraId="03318323" w14:textId="77777777" w:rsidR="00580DA7" w:rsidRPr="008C292A" w:rsidRDefault="00580DA7" w:rsidP="006032AB">
            <w:pPr>
              <w:pStyle w:val="88888"/>
              <w:spacing w:before="0" w:beforeAutospacing="0" w:after="0"/>
              <w:rPr>
                <w:color w:val="000000" w:themeColor="text1"/>
              </w:rPr>
            </w:pPr>
            <w:r w:rsidRPr="008C292A">
              <w:rPr>
                <w:color w:val="000000" w:themeColor="text1"/>
              </w:rPr>
              <w:t>Jafar Ababneh</w:t>
            </w:r>
          </w:p>
          <w:p w14:paraId="1D8076FC" w14:textId="77777777" w:rsidR="00580DA7" w:rsidRPr="008C292A" w:rsidRDefault="00580DA7" w:rsidP="006032AB">
            <w:pPr>
              <w:pStyle w:val="88888"/>
              <w:spacing w:before="0" w:beforeAutospacing="0" w:after="0"/>
              <w:rPr>
                <w:i/>
                <w:iCs/>
                <w:color w:val="000000" w:themeColor="text1"/>
              </w:rPr>
            </w:pPr>
            <w:r w:rsidRPr="008C292A">
              <w:rPr>
                <w:i/>
                <w:iCs/>
                <w:color w:val="000000" w:themeColor="text1"/>
              </w:rPr>
              <w:t xml:space="preserve">Cyber Security department, </w:t>
            </w:r>
          </w:p>
          <w:p w14:paraId="64616DE6" w14:textId="77777777" w:rsidR="00580DA7" w:rsidRPr="008C292A" w:rsidRDefault="00580DA7" w:rsidP="006032AB">
            <w:pPr>
              <w:pStyle w:val="88888"/>
              <w:spacing w:before="0" w:beforeAutospacing="0" w:after="0"/>
              <w:rPr>
                <w:i/>
                <w:iCs/>
                <w:color w:val="000000" w:themeColor="text1"/>
              </w:rPr>
            </w:pPr>
            <w:r w:rsidRPr="008C292A">
              <w:rPr>
                <w:i/>
                <w:iCs/>
                <w:color w:val="000000" w:themeColor="text1"/>
              </w:rPr>
              <w:t xml:space="preserve">Faculty of Information Technology </w:t>
            </w:r>
          </w:p>
          <w:p w14:paraId="08C204EC" w14:textId="77777777" w:rsidR="00580DA7" w:rsidRPr="008C292A" w:rsidRDefault="00580DA7" w:rsidP="006032AB">
            <w:pPr>
              <w:pStyle w:val="88888"/>
              <w:spacing w:before="0" w:beforeAutospacing="0" w:after="0"/>
              <w:rPr>
                <w:i/>
                <w:iCs/>
                <w:color w:val="000000" w:themeColor="text1"/>
              </w:rPr>
            </w:pPr>
            <w:r w:rsidRPr="008C292A">
              <w:rPr>
                <w:i/>
                <w:iCs/>
                <w:color w:val="000000" w:themeColor="text1"/>
              </w:rPr>
              <w:t>Zarqa University</w:t>
            </w:r>
          </w:p>
          <w:p w14:paraId="16438896" w14:textId="77777777" w:rsidR="00580DA7" w:rsidRPr="008C292A" w:rsidRDefault="00580DA7" w:rsidP="006032AB">
            <w:pPr>
              <w:pStyle w:val="88888"/>
              <w:spacing w:before="0" w:beforeAutospacing="0" w:after="0"/>
              <w:rPr>
                <w:color w:val="000000" w:themeColor="text1"/>
              </w:rPr>
            </w:pPr>
            <w:r w:rsidRPr="008C292A">
              <w:rPr>
                <w:color w:val="000000" w:themeColor="text1"/>
              </w:rPr>
              <w:t>Zarqa, Jordan</w:t>
            </w:r>
          </w:p>
          <w:p w14:paraId="7E182252" w14:textId="37DB9478" w:rsidR="00580DA7" w:rsidRPr="008C292A" w:rsidRDefault="00580DA7" w:rsidP="006032AB">
            <w:pPr>
              <w:pStyle w:val="88888"/>
              <w:spacing w:before="0" w:beforeAutospacing="0" w:after="0"/>
              <w:rPr>
                <w:color w:val="000000" w:themeColor="text1"/>
              </w:rPr>
            </w:pPr>
            <w:r w:rsidRPr="008C292A">
              <w:rPr>
                <w:rStyle w:val="Hyperlink"/>
                <w:color w:val="000000" w:themeColor="text1"/>
              </w:rPr>
              <w:t>jababneh@zu.edu.jo</w:t>
            </w:r>
          </w:p>
        </w:tc>
        <w:tc>
          <w:tcPr>
            <w:tcW w:w="1985" w:type="dxa"/>
          </w:tcPr>
          <w:p w14:paraId="4CEB0CB7" w14:textId="77777777" w:rsidR="00253368" w:rsidRPr="008C292A" w:rsidRDefault="00253368" w:rsidP="00253368">
            <w:pPr>
              <w:pStyle w:val="88888"/>
              <w:spacing w:before="0" w:beforeAutospacing="0" w:after="0"/>
              <w:rPr>
                <w:rFonts w:asciiTheme="majorBidi" w:hAnsiTheme="majorBidi" w:cstheme="majorBidi"/>
                <w:color w:val="000000" w:themeColor="text1"/>
                <w:vertAlign w:val="superscript"/>
                <w:rtl/>
              </w:rPr>
            </w:pPr>
            <w:r w:rsidRPr="008C292A">
              <w:rPr>
                <w:rFonts w:asciiTheme="majorBidi" w:hAnsiTheme="majorBidi" w:cstheme="majorBidi"/>
                <w:color w:val="000000" w:themeColor="text1"/>
              </w:rPr>
              <w:t>Mahhmood alasasfeh</w:t>
            </w:r>
          </w:p>
          <w:p w14:paraId="705397FA" w14:textId="77777777" w:rsidR="00253368" w:rsidRPr="008C292A" w:rsidRDefault="00253368" w:rsidP="00253368">
            <w:pPr>
              <w:pStyle w:val="88888"/>
              <w:spacing w:before="0" w:beforeAutospacing="0" w:after="0"/>
              <w:rPr>
                <w:i/>
                <w:iCs/>
                <w:color w:val="000000" w:themeColor="text1"/>
              </w:rPr>
            </w:pPr>
            <w:r w:rsidRPr="008C292A">
              <w:rPr>
                <w:i/>
                <w:iCs/>
                <w:color w:val="000000" w:themeColor="text1"/>
              </w:rPr>
              <w:t xml:space="preserve">Cyber Security department, </w:t>
            </w:r>
          </w:p>
          <w:p w14:paraId="51FA474F" w14:textId="77777777" w:rsidR="00253368" w:rsidRPr="008C292A" w:rsidRDefault="00253368" w:rsidP="00253368">
            <w:pPr>
              <w:pStyle w:val="88888"/>
              <w:spacing w:before="0" w:beforeAutospacing="0" w:after="0"/>
              <w:rPr>
                <w:i/>
                <w:iCs/>
                <w:color w:val="000000" w:themeColor="text1"/>
              </w:rPr>
            </w:pPr>
            <w:r w:rsidRPr="008C292A">
              <w:rPr>
                <w:i/>
                <w:iCs/>
                <w:color w:val="000000" w:themeColor="text1"/>
              </w:rPr>
              <w:t xml:space="preserve">Faculty of Information Technology </w:t>
            </w:r>
          </w:p>
          <w:p w14:paraId="098E7459" w14:textId="77777777" w:rsidR="00253368" w:rsidRPr="008C292A" w:rsidRDefault="00253368" w:rsidP="00253368">
            <w:pPr>
              <w:pStyle w:val="88888"/>
              <w:spacing w:before="0" w:beforeAutospacing="0" w:after="0"/>
              <w:rPr>
                <w:i/>
                <w:iCs/>
                <w:color w:val="000000" w:themeColor="text1"/>
              </w:rPr>
            </w:pPr>
            <w:r w:rsidRPr="008C292A">
              <w:rPr>
                <w:i/>
                <w:iCs/>
                <w:color w:val="000000" w:themeColor="text1"/>
              </w:rPr>
              <w:t>Zarqa University</w:t>
            </w:r>
          </w:p>
          <w:p w14:paraId="39123B38" w14:textId="77777777" w:rsidR="00253368" w:rsidRPr="008C292A" w:rsidRDefault="00253368" w:rsidP="00253368">
            <w:pPr>
              <w:pStyle w:val="88888"/>
              <w:spacing w:before="0" w:beforeAutospacing="0" w:after="0"/>
              <w:rPr>
                <w:color w:val="000000" w:themeColor="text1"/>
              </w:rPr>
            </w:pPr>
            <w:r w:rsidRPr="008C292A">
              <w:rPr>
                <w:color w:val="000000" w:themeColor="text1"/>
              </w:rPr>
              <w:t>Zarqa, Jordan</w:t>
            </w:r>
          </w:p>
          <w:p w14:paraId="09EEE055" w14:textId="0B76B8BA" w:rsidR="00580DA7" w:rsidRPr="008C292A" w:rsidRDefault="00253368" w:rsidP="00253368">
            <w:pPr>
              <w:pStyle w:val="88888"/>
              <w:spacing w:before="0" w:beforeAutospacing="0" w:after="0"/>
              <w:rPr>
                <w:color w:val="000000" w:themeColor="text1"/>
              </w:rPr>
            </w:pPr>
            <w:r w:rsidRPr="008C292A">
              <w:rPr>
                <w:rStyle w:val="Hyperlink"/>
                <w:color w:val="000000" w:themeColor="text1"/>
              </w:rPr>
              <w:t>malasasfeh@zu.edu.jo</w:t>
            </w:r>
          </w:p>
        </w:tc>
        <w:tc>
          <w:tcPr>
            <w:tcW w:w="2293" w:type="dxa"/>
          </w:tcPr>
          <w:p w14:paraId="3DBC9848" w14:textId="77777777" w:rsidR="008F47BE" w:rsidRPr="008C292A" w:rsidRDefault="008F47BE" w:rsidP="008F47BE">
            <w:pPr>
              <w:pStyle w:val="88888"/>
              <w:spacing w:before="0" w:beforeAutospacing="0" w:after="0"/>
              <w:rPr>
                <w:i/>
                <w:iCs/>
                <w:color w:val="000000" w:themeColor="text1"/>
              </w:rPr>
            </w:pPr>
            <w:r w:rsidRPr="008C292A">
              <w:rPr>
                <w:i/>
                <w:iCs/>
                <w:color w:val="000000" w:themeColor="text1"/>
              </w:rPr>
              <w:t>Esam Al-Nsour</w:t>
            </w:r>
          </w:p>
          <w:p w14:paraId="072AC7EB" w14:textId="77777777" w:rsidR="008F47BE" w:rsidRPr="008C292A" w:rsidRDefault="008F47BE" w:rsidP="008F47BE">
            <w:pPr>
              <w:pStyle w:val="88888"/>
              <w:spacing w:before="0" w:beforeAutospacing="0" w:after="0"/>
              <w:rPr>
                <w:i/>
                <w:iCs/>
                <w:color w:val="000000" w:themeColor="text1"/>
              </w:rPr>
            </w:pPr>
            <w:r w:rsidRPr="008C292A">
              <w:rPr>
                <w:i/>
                <w:iCs/>
                <w:color w:val="000000" w:themeColor="text1"/>
              </w:rPr>
              <w:t xml:space="preserve">Department of Computer Science </w:t>
            </w:r>
          </w:p>
          <w:p w14:paraId="0F4439F9" w14:textId="77777777" w:rsidR="008F47BE" w:rsidRPr="008C292A" w:rsidRDefault="008F47BE" w:rsidP="008F47BE">
            <w:pPr>
              <w:pStyle w:val="88888"/>
              <w:spacing w:before="0" w:beforeAutospacing="0" w:after="0"/>
              <w:rPr>
                <w:i/>
                <w:iCs/>
                <w:color w:val="000000" w:themeColor="text1"/>
              </w:rPr>
            </w:pPr>
            <w:r w:rsidRPr="008C292A">
              <w:rPr>
                <w:i/>
                <w:iCs/>
                <w:color w:val="000000" w:themeColor="text1"/>
              </w:rPr>
              <w:t>University of Zarqa</w:t>
            </w:r>
          </w:p>
          <w:p w14:paraId="4770B064" w14:textId="77777777" w:rsidR="008F47BE" w:rsidRPr="008C292A" w:rsidRDefault="008F47BE" w:rsidP="008F47BE">
            <w:pPr>
              <w:pStyle w:val="88888"/>
              <w:spacing w:before="0" w:beforeAutospacing="0" w:after="0"/>
              <w:rPr>
                <w:i/>
                <w:iCs/>
                <w:color w:val="000000" w:themeColor="text1"/>
              </w:rPr>
            </w:pPr>
            <w:r w:rsidRPr="008C292A">
              <w:rPr>
                <w:i/>
                <w:iCs/>
                <w:color w:val="000000" w:themeColor="text1"/>
              </w:rPr>
              <w:t>Zarqa, Jordan</w:t>
            </w:r>
          </w:p>
          <w:p w14:paraId="492BC93D" w14:textId="77777777" w:rsidR="008F47BE" w:rsidRPr="008C292A" w:rsidRDefault="008F47BE" w:rsidP="008F47BE">
            <w:pPr>
              <w:tabs>
                <w:tab w:val="left" w:pos="6890"/>
              </w:tabs>
              <w:rPr>
                <w:color w:val="000000" w:themeColor="text1"/>
              </w:rPr>
            </w:pPr>
            <w:r w:rsidRPr="008C292A">
              <w:rPr>
                <w:i/>
                <w:iCs/>
                <w:color w:val="000000" w:themeColor="text1"/>
              </w:rPr>
              <w:t>ealnsour@zu.edu.jo</w:t>
            </w:r>
            <w:r w:rsidRPr="008C292A">
              <w:rPr>
                <w:rFonts w:asciiTheme="majorBidi" w:hAnsiTheme="majorBidi" w:cstheme="majorBidi"/>
                <w:sz w:val="18"/>
                <w:szCs w:val="18"/>
              </w:rPr>
              <w:t xml:space="preserve"> </w:t>
            </w:r>
          </w:p>
          <w:p w14:paraId="0B8592B0" w14:textId="74E6B65B" w:rsidR="00580DA7" w:rsidRPr="008F47BE" w:rsidRDefault="00580DA7" w:rsidP="00BE49AA">
            <w:pPr>
              <w:pStyle w:val="88888"/>
              <w:spacing w:before="0" w:beforeAutospacing="0" w:after="0"/>
              <w:jc w:val="both"/>
              <w:rPr>
                <w:color w:val="000000" w:themeColor="text1"/>
              </w:rPr>
            </w:pPr>
          </w:p>
        </w:tc>
        <w:tc>
          <w:tcPr>
            <w:tcW w:w="2211" w:type="dxa"/>
            <w:gridSpan w:val="2"/>
          </w:tcPr>
          <w:p w14:paraId="195C4DB2" w14:textId="77777777" w:rsidR="00B34828" w:rsidRDefault="00B34828" w:rsidP="00253368">
            <w:pPr>
              <w:pStyle w:val="ListParagraph"/>
              <w:tabs>
                <w:tab w:val="left" w:pos="450"/>
              </w:tabs>
              <w:spacing w:line="259" w:lineRule="auto"/>
              <w:ind w:left="0"/>
              <w:rPr>
                <w:rFonts w:asciiTheme="majorBidi" w:hAnsiTheme="majorBidi" w:cstheme="majorBidi"/>
                <w:color w:val="000000" w:themeColor="text1"/>
                <w:rtl/>
              </w:rPr>
            </w:pPr>
            <w:r w:rsidRPr="00B34828">
              <w:rPr>
                <w:rFonts w:asciiTheme="majorBidi" w:hAnsiTheme="majorBidi" w:cstheme="majorBidi"/>
                <w:color w:val="000000" w:themeColor="text1"/>
              </w:rPr>
              <w:t>Ibrahim Obeidat</w:t>
            </w:r>
          </w:p>
          <w:p w14:paraId="3CC76B33" w14:textId="1CA24C78" w:rsidR="00580DA7" w:rsidRDefault="00253368" w:rsidP="00253368">
            <w:pPr>
              <w:pStyle w:val="ListParagraph"/>
              <w:tabs>
                <w:tab w:val="left" w:pos="450"/>
              </w:tabs>
              <w:spacing w:line="259" w:lineRule="auto"/>
              <w:ind w:left="0"/>
              <w:rPr>
                <w:rFonts w:asciiTheme="majorBidi" w:hAnsiTheme="majorBidi" w:cstheme="majorBidi"/>
                <w:color w:val="000000" w:themeColor="text1"/>
              </w:rPr>
            </w:pPr>
            <w:r w:rsidRPr="00253368">
              <w:rPr>
                <w:rFonts w:asciiTheme="majorBidi" w:hAnsiTheme="majorBidi" w:cstheme="majorBidi"/>
                <w:color w:val="000000" w:themeColor="text1"/>
              </w:rPr>
              <w:t>Prince Al-Hussein Bin Abdullah II Faculty of Information Technology, Hashemite University, Zarqa, Jordan</w:t>
            </w:r>
          </w:p>
          <w:p w14:paraId="49684B3C" w14:textId="77777777" w:rsidR="0033213D" w:rsidRPr="00E17C53" w:rsidRDefault="0033213D" w:rsidP="0033213D">
            <w:pPr>
              <w:jc w:val="lowKashida"/>
              <w:rPr>
                <w:rFonts w:asciiTheme="majorBidi" w:hAnsiTheme="majorBidi" w:cstheme="majorBidi"/>
                <w:color w:val="000000" w:themeColor="text1"/>
                <w:sz w:val="16"/>
                <w:szCs w:val="16"/>
              </w:rPr>
            </w:pPr>
            <w:hyperlink r:id="rId8" w:tgtFrame="_blank" w:history="1">
              <w:r w:rsidRPr="00E17C53">
                <w:rPr>
                  <w:rStyle w:val="Hyperlink"/>
                  <w:rFonts w:asciiTheme="majorBidi" w:hAnsiTheme="majorBidi" w:cstheme="majorBidi"/>
                  <w:color w:val="000000" w:themeColor="text1"/>
                  <w:sz w:val="16"/>
                  <w:szCs w:val="16"/>
                </w:rPr>
                <w:t>imsobeidat@hu.edu.jo</w:t>
              </w:r>
            </w:hyperlink>
          </w:p>
          <w:p w14:paraId="26BBC011" w14:textId="1216D2C8" w:rsidR="0033213D" w:rsidRPr="008C292A" w:rsidRDefault="0033213D" w:rsidP="00253368">
            <w:pPr>
              <w:pStyle w:val="ListParagraph"/>
              <w:tabs>
                <w:tab w:val="left" w:pos="450"/>
              </w:tabs>
              <w:spacing w:line="259" w:lineRule="auto"/>
              <w:ind w:left="0"/>
              <w:rPr>
                <w:rFonts w:asciiTheme="majorBidi" w:hAnsiTheme="majorBidi" w:cstheme="majorBidi"/>
                <w:color w:val="000000" w:themeColor="text1"/>
              </w:rPr>
            </w:pPr>
          </w:p>
        </w:tc>
        <w:tc>
          <w:tcPr>
            <w:tcW w:w="1708" w:type="dxa"/>
          </w:tcPr>
          <w:p w14:paraId="49D523EF" w14:textId="77777777" w:rsidR="008F47BE" w:rsidRPr="008C292A" w:rsidRDefault="008F47BE" w:rsidP="008F47BE">
            <w:pPr>
              <w:tabs>
                <w:tab w:val="left" w:pos="6890"/>
              </w:tabs>
              <w:rPr>
                <w:rFonts w:asciiTheme="majorBidi" w:hAnsiTheme="majorBidi" w:cstheme="majorBidi"/>
                <w:sz w:val="18"/>
                <w:szCs w:val="18"/>
              </w:rPr>
            </w:pPr>
            <w:r w:rsidRPr="008C292A">
              <w:rPr>
                <w:rFonts w:asciiTheme="majorBidi" w:hAnsiTheme="majorBidi" w:cstheme="majorBidi"/>
                <w:sz w:val="18"/>
                <w:szCs w:val="18"/>
              </w:rPr>
              <w:t>Sami Askar</w:t>
            </w:r>
          </w:p>
          <w:p w14:paraId="10D06317" w14:textId="77777777" w:rsidR="008F47BE" w:rsidRPr="008C292A" w:rsidRDefault="008F47BE" w:rsidP="008F47BE">
            <w:pPr>
              <w:tabs>
                <w:tab w:val="left" w:pos="6890"/>
              </w:tabs>
              <w:rPr>
                <w:rFonts w:asciiTheme="majorBidi" w:hAnsiTheme="majorBidi" w:cstheme="majorBidi"/>
                <w:sz w:val="18"/>
                <w:szCs w:val="18"/>
              </w:rPr>
            </w:pPr>
            <w:r w:rsidRPr="008C292A">
              <w:rPr>
                <w:rFonts w:asciiTheme="majorBidi" w:hAnsiTheme="majorBidi" w:cstheme="majorBidi"/>
                <w:sz w:val="18"/>
                <w:szCs w:val="18"/>
              </w:rPr>
              <w:t>Department of Cybersecurity</w:t>
            </w:r>
          </w:p>
          <w:p w14:paraId="257625F9" w14:textId="77777777" w:rsidR="008F47BE" w:rsidRPr="008C292A" w:rsidRDefault="008F47BE" w:rsidP="008F47BE">
            <w:pPr>
              <w:tabs>
                <w:tab w:val="left" w:pos="6890"/>
              </w:tabs>
              <w:rPr>
                <w:rFonts w:asciiTheme="majorBidi" w:hAnsiTheme="majorBidi" w:cstheme="majorBidi"/>
                <w:sz w:val="18"/>
                <w:szCs w:val="18"/>
              </w:rPr>
            </w:pPr>
            <w:r w:rsidRPr="008C292A">
              <w:rPr>
                <w:rFonts w:asciiTheme="majorBidi" w:hAnsiTheme="majorBidi" w:cstheme="majorBidi"/>
                <w:sz w:val="18"/>
                <w:szCs w:val="18"/>
              </w:rPr>
              <w:t>Zarqa University</w:t>
            </w:r>
          </w:p>
          <w:p w14:paraId="409B9946" w14:textId="77777777" w:rsidR="008F47BE" w:rsidRPr="008C292A" w:rsidRDefault="008F47BE" w:rsidP="008F47BE">
            <w:pPr>
              <w:tabs>
                <w:tab w:val="left" w:pos="6890"/>
              </w:tabs>
              <w:rPr>
                <w:rFonts w:asciiTheme="majorBidi" w:hAnsiTheme="majorBidi" w:cstheme="majorBidi"/>
                <w:sz w:val="18"/>
                <w:szCs w:val="18"/>
              </w:rPr>
            </w:pPr>
            <w:r w:rsidRPr="008C292A">
              <w:rPr>
                <w:rFonts w:asciiTheme="majorBidi" w:hAnsiTheme="majorBidi" w:cstheme="majorBidi"/>
                <w:sz w:val="18"/>
                <w:szCs w:val="18"/>
              </w:rPr>
              <w:t>Zarqa, Jordan</w:t>
            </w:r>
          </w:p>
          <w:p w14:paraId="0BC40068" w14:textId="2C53E7C6" w:rsidR="00580DA7" w:rsidRPr="008C292A" w:rsidRDefault="008F47BE" w:rsidP="008F47BE">
            <w:pPr>
              <w:pStyle w:val="88888"/>
              <w:spacing w:before="0" w:beforeAutospacing="0" w:after="0"/>
              <w:rPr>
                <w:i/>
                <w:iCs/>
                <w:color w:val="000000" w:themeColor="text1"/>
              </w:rPr>
            </w:pPr>
            <w:r w:rsidRPr="008C292A">
              <w:rPr>
                <w:rFonts w:asciiTheme="majorBidi" w:hAnsiTheme="majorBidi" w:cstheme="majorBidi"/>
              </w:rPr>
              <w:t>saskar@zu.edu.jo</w:t>
            </w:r>
          </w:p>
        </w:tc>
        <w:tc>
          <w:tcPr>
            <w:tcW w:w="236" w:type="dxa"/>
          </w:tcPr>
          <w:p w14:paraId="79503A0B" w14:textId="77777777" w:rsidR="00580DA7" w:rsidRPr="008C292A" w:rsidRDefault="00580DA7" w:rsidP="00580DA7">
            <w:pPr>
              <w:pStyle w:val="88888"/>
              <w:spacing w:before="0" w:beforeAutospacing="0" w:after="0"/>
              <w:rPr>
                <w:rFonts w:asciiTheme="majorBidi" w:hAnsiTheme="majorBidi" w:cstheme="majorBidi"/>
                <w:color w:val="000000" w:themeColor="text1"/>
              </w:rPr>
            </w:pPr>
          </w:p>
        </w:tc>
      </w:tr>
      <w:tr w:rsidR="00580DA7" w:rsidRPr="008C292A" w14:paraId="5B5BA737" w14:textId="15CFB4E8" w:rsidTr="0033213D">
        <w:trPr>
          <w:trHeight w:val="958"/>
        </w:trPr>
        <w:tc>
          <w:tcPr>
            <w:tcW w:w="1701" w:type="dxa"/>
          </w:tcPr>
          <w:p w14:paraId="358C68FF" w14:textId="77777777" w:rsidR="00580DA7" w:rsidRPr="008C292A" w:rsidRDefault="00580DA7" w:rsidP="00580DA7">
            <w:pPr>
              <w:pStyle w:val="88888"/>
              <w:spacing w:before="0" w:beforeAutospacing="0" w:after="0"/>
              <w:rPr>
                <w:color w:val="000000" w:themeColor="text1"/>
                <w:rtl/>
              </w:rPr>
            </w:pPr>
          </w:p>
          <w:p w14:paraId="1D2A0C59" w14:textId="23D63151" w:rsidR="00BE49AA" w:rsidRPr="008C292A" w:rsidRDefault="00BE49AA" w:rsidP="004A374E">
            <w:pPr>
              <w:pStyle w:val="88888"/>
              <w:spacing w:before="0" w:beforeAutospacing="0" w:after="0"/>
              <w:rPr>
                <w:i/>
                <w:iCs/>
                <w:color w:val="000000" w:themeColor="text1"/>
              </w:rPr>
            </w:pPr>
            <w:r w:rsidRPr="008C292A">
              <w:rPr>
                <w:i/>
                <w:iCs/>
                <w:color w:val="000000" w:themeColor="text1"/>
              </w:rPr>
              <w:t xml:space="preserve">Hassan Ali </w:t>
            </w:r>
          </w:p>
          <w:p w14:paraId="712886A0" w14:textId="77777777" w:rsidR="00BE49AA" w:rsidRPr="008C292A" w:rsidRDefault="00BE49AA" w:rsidP="004A374E">
            <w:pPr>
              <w:pStyle w:val="88888"/>
              <w:spacing w:before="0" w:beforeAutospacing="0" w:after="0"/>
              <w:rPr>
                <w:i/>
                <w:iCs/>
                <w:color w:val="000000" w:themeColor="text1"/>
              </w:rPr>
            </w:pPr>
            <w:r w:rsidRPr="008C292A">
              <w:rPr>
                <w:i/>
                <w:iCs/>
                <w:color w:val="000000" w:themeColor="text1"/>
              </w:rPr>
              <w:t>Department of Electronic Marketing and social media,</w:t>
            </w:r>
          </w:p>
          <w:p w14:paraId="2EA07B83" w14:textId="794B242A" w:rsidR="00BE49AA" w:rsidRPr="008C292A" w:rsidRDefault="00BE49AA" w:rsidP="004A374E">
            <w:pPr>
              <w:pStyle w:val="88888"/>
              <w:spacing w:before="0" w:beforeAutospacing="0" w:after="0"/>
              <w:rPr>
                <w:i/>
                <w:iCs/>
                <w:color w:val="000000" w:themeColor="text1"/>
              </w:rPr>
            </w:pPr>
            <w:r w:rsidRPr="008C292A">
              <w:rPr>
                <w:i/>
                <w:iCs/>
                <w:color w:val="000000" w:themeColor="text1"/>
              </w:rPr>
              <w:t xml:space="preserve">Zarqa University, Zarqa, Jordan  </w:t>
            </w:r>
          </w:p>
          <w:p w14:paraId="327067F4" w14:textId="13898117" w:rsidR="00580DA7" w:rsidRPr="008C292A" w:rsidRDefault="00580DA7" w:rsidP="00580DA7">
            <w:pPr>
              <w:pStyle w:val="88888"/>
              <w:spacing w:before="0" w:beforeAutospacing="0" w:after="0"/>
              <w:rPr>
                <w:color w:val="000000" w:themeColor="text1"/>
                <w:lang w:val="ru-RU"/>
              </w:rPr>
            </w:pPr>
          </w:p>
        </w:tc>
        <w:tc>
          <w:tcPr>
            <w:tcW w:w="1985" w:type="dxa"/>
          </w:tcPr>
          <w:p w14:paraId="69BB88F8" w14:textId="77777777" w:rsidR="0012278D" w:rsidRPr="009864CF" w:rsidRDefault="0012278D" w:rsidP="0012278D">
            <w:pPr>
              <w:pStyle w:val="88888"/>
              <w:spacing w:before="0" w:beforeAutospacing="0" w:after="0"/>
              <w:rPr>
                <w:i/>
                <w:iCs/>
                <w:color w:val="000000" w:themeColor="text1"/>
              </w:rPr>
            </w:pPr>
            <w:r w:rsidRPr="009864CF">
              <w:rPr>
                <w:i/>
                <w:iCs/>
                <w:color w:val="000000" w:themeColor="text1"/>
              </w:rPr>
              <w:t>Rami Almatarneh</w:t>
            </w:r>
          </w:p>
          <w:p w14:paraId="5A82796B" w14:textId="77777777" w:rsidR="0012278D" w:rsidRPr="009864CF" w:rsidRDefault="0012278D" w:rsidP="0012278D">
            <w:pPr>
              <w:pStyle w:val="88888"/>
              <w:spacing w:before="0" w:beforeAutospacing="0" w:after="0"/>
              <w:rPr>
                <w:i/>
                <w:iCs/>
                <w:color w:val="000000" w:themeColor="text1"/>
              </w:rPr>
            </w:pPr>
            <w:r w:rsidRPr="009864CF">
              <w:rPr>
                <w:i/>
                <w:iCs/>
                <w:color w:val="000000" w:themeColor="text1"/>
              </w:rPr>
              <w:t>Department of Cybersecurity</w:t>
            </w:r>
          </w:p>
          <w:p w14:paraId="5A78EA37" w14:textId="77777777" w:rsidR="0012278D" w:rsidRPr="009864CF" w:rsidRDefault="0012278D" w:rsidP="0012278D">
            <w:pPr>
              <w:pStyle w:val="88888"/>
              <w:spacing w:before="0" w:beforeAutospacing="0" w:after="0"/>
              <w:rPr>
                <w:i/>
                <w:iCs/>
                <w:color w:val="000000" w:themeColor="text1"/>
              </w:rPr>
            </w:pPr>
            <w:r w:rsidRPr="009864CF">
              <w:rPr>
                <w:i/>
                <w:iCs/>
                <w:color w:val="000000" w:themeColor="text1"/>
              </w:rPr>
              <w:t>Zarqa University</w:t>
            </w:r>
          </w:p>
          <w:p w14:paraId="6BBE32D8" w14:textId="77777777" w:rsidR="0012278D" w:rsidRPr="009864CF" w:rsidRDefault="0012278D" w:rsidP="0012278D">
            <w:pPr>
              <w:pStyle w:val="88888"/>
              <w:spacing w:before="0" w:beforeAutospacing="0" w:after="0"/>
              <w:rPr>
                <w:i/>
                <w:iCs/>
                <w:color w:val="000000" w:themeColor="text1"/>
              </w:rPr>
            </w:pPr>
            <w:r w:rsidRPr="009864CF">
              <w:rPr>
                <w:i/>
                <w:iCs/>
                <w:color w:val="000000" w:themeColor="text1"/>
              </w:rPr>
              <w:t>Zarqa, Jordan</w:t>
            </w:r>
          </w:p>
          <w:p w14:paraId="3CF8D0F3" w14:textId="7AB173C3" w:rsidR="00580DA7" w:rsidRPr="008C292A" w:rsidRDefault="0012278D" w:rsidP="0012278D">
            <w:pPr>
              <w:pStyle w:val="88888"/>
              <w:spacing w:before="0" w:beforeAutospacing="0" w:after="0"/>
              <w:rPr>
                <w:color w:val="000000" w:themeColor="text1"/>
                <w:lang w:val="ru-RU"/>
              </w:rPr>
            </w:pPr>
            <w:r w:rsidRPr="009864CF">
              <w:rPr>
                <w:i/>
                <w:iCs/>
                <w:color w:val="000000" w:themeColor="text1"/>
              </w:rPr>
              <w:t>ralmatarneh@zu.edu.jo</w:t>
            </w:r>
          </w:p>
        </w:tc>
        <w:tc>
          <w:tcPr>
            <w:tcW w:w="2693" w:type="dxa"/>
            <w:gridSpan w:val="2"/>
          </w:tcPr>
          <w:p w14:paraId="4A332A25" w14:textId="71D4BF1E" w:rsidR="001D5DF0" w:rsidRPr="001D5DF0" w:rsidRDefault="001D5DF0" w:rsidP="001D5DF0">
            <w:pPr>
              <w:tabs>
                <w:tab w:val="left" w:pos="6890"/>
              </w:tabs>
              <w:rPr>
                <w:color w:val="000000" w:themeColor="text1"/>
                <w:lang w:val="ru-RU"/>
              </w:rPr>
            </w:pPr>
            <w:r w:rsidRPr="001D5DF0">
              <w:rPr>
                <w:color w:val="000000" w:themeColor="text1"/>
                <w:lang w:val="ru-RU"/>
              </w:rPr>
              <w:t>Ala’a Al-Shaikh</w:t>
            </w:r>
          </w:p>
          <w:p w14:paraId="27E4AEED" w14:textId="77777777" w:rsidR="001D5DF0" w:rsidRPr="001D5DF0" w:rsidRDefault="001D5DF0" w:rsidP="001D5DF0">
            <w:pPr>
              <w:tabs>
                <w:tab w:val="left" w:pos="6890"/>
              </w:tabs>
              <w:rPr>
                <w:color w:val="000000" w:themeColor="text1"/>
                <w:lang w:val="ru-RU"/>
              </w:rPr>
            </w:pPr>
            <w:r w:rsidRPr="001D5DF0">
              <w:rPr>
                <w:color w:val="000000" w:themeColor="text1"/>
                <w:lang w:val="ru-RU"/>
              </w:rPr>
              <w:t>Cybersecurity Department</w:t>
            </w:r>
          </w:p>
          <w:p w14:paraId="0B1779A4" w14:textId="77777777" w:rsidR="001D5DF0" w:rsidRPr="001D5DF0" w:rsidRDefault="001D5DF0" w:rsidP="001D5DF0">
            <w:pPr>
              <w:tabs>
                <w:tab w:val="left" w:pos="6890"/>
              </w:tabs>
              <w:rPr>
                <w:color w:val="000000" w:themeColor="text1"/>
                <w:lang w:val="ru-RU"/>
              </w:rPr>
            </w:pPr>
            <w:r w:rsidRPr="001D5DF0">
              <w:rPr>
                <w:color w:val="000000" w:themeColor="text1"/>
                <w:lang w:val="ru-RU"/>
              </w:rPr>
              <w:t>Faculty of Science and Information Technology</w:t>
            </w:r>
          </w:p>
          <w:p w14:paraId="1EA23D41" w14:textId="77777777" w:rsidR="001D5DF0" w:rsidRPr="001D5DF0" w:rsidRDefault="001D5DF0" w:rsidP="001D5DF0">
            <w:pPr>
              <w:tabs>
                <w:tab w:val="left" w:pos="6890"/>
              </w:tabs>
              <w:rPr>
                <w:color w:val="000000" w:themeColor="text1"/>
                <w:lang w:val="ru-RU"/>
              </w:rPr>
            </w:pPr>
            <w:r w:rsidRPr="001D5DF0">
              <w:rPr>
                <w:color w:val="000000" w:themeColor="text1"/>
                <w:lang w:val="ru-RU"/>
              </w:rPr>
              <w:t>Al-Zaytoonah University of Jordan</w:t>
            </w:r>
          </w:p>
          <w:p w14:paraId="2CABF17A" w14:textId="2264A81E" w:rsidR="00580DA7" w:rsidRPr="008F47BE" w:rsidRDefault="001D5DF0" w:rsidP="001D5DF0">
            <w:pPr>
              <w:tabs>
                <w:tab w:val="left" w:pos="6890"/>
              </w:tabs>
              <w:rPr>
                <w:rFonts w:hint="cs"/>
                <w:color w:val="000000" w:themeColor="text1"/>
                <w:rtl/>
                <w:lang w:val="ru-RU" w:bidi="ar-JO"/>
              </w:rPr>
            </w:pPr>
            <w:r w:rsidRPr="001D5DF0">
              <w:rPr>
                <w:color w:val="000000" w:themeColor="text1"/>
                <w:lang w:val="ru-RU"/>
              </w:rPr>
              <w:t>a.alshaikh@zuj.edu.jo</w:t>
            </w:r>
          </w:p>
        </w:tc>
        <w:tc>
          <w:tcPr>
            <w:tcW w:w="1811" w:type="dxa"/>
          </w:tcPr>
          <w:p w14:paraId="1695A07E" w14:textId="77777777" w:rsidR="008B0599" w:rsidRDefault="008B0599" w:rsidP="008B0599">
            <w:pPr>
              <w:pStyle w:val="88888"/>
              <w:spacing w:before="0" w:beforeAutospacing="0" w:after="0"/>
              <w:rPr>
                <w:i/>
                <w:iCs/>
                <w:color w:val="000000" w:themeColor="text1"/>
              </w:rPr>
            </w:pPr>
            <w:r>
              <w:rPr>
                <w:i/>
                <w:iCs/>
                <w:color w:val="000000" w:themeColor="text1"/>
              </w:rPr>
              <w:t>Mohammad aldniabat</w:t>
            </w:r>
          </w:p>
          <w:p w14:paraId="08EFD5D9" w14:textId="3B14588B" w:rsidR="008B0599" w:rsidRPr="00DB3F8D" w:rsidRDefault="008B0599" w:rsidP="008B0599">
            <w:pPr>
              <w:pStyle w:val="88888"/>
              <w:spacing w:before="0" w:beforeAutospacing="0" w:after="0"/>
              <w:rPr>
                <w:color w:val="000000" w:themeColor="text1"/>
              </w:rPr>
            </w:pPr>
            <w:r>
              <w:rPr>
                <w:i/>
                <w:iCs/>
                <w:color w:val="000000" w:themeColor="text1"/>
              </w:rPr>
              <w:t>Cloud computing and cybersecurity</w:t>
            </w:r>
            <w:r w:rsidRPr="00DB3F8D">
              <w:rPr>
                <w:i/>
                <w:iCs/>
                <w:color w:val="000000" w:themeColor="text1"/>
              </w:rPr>
              <w:t>f Engineering</w:t>
            </w:r>
            <w:r w:rsidRPr="00DB3F8D">
              <w:rPr>
                <w:color w:val="000000" w:themeColor="text1"/>
              </w:rPr>
              <w:t xml:space="preserve"> </w:t>
            </w:r>
          </w:p>
          <w:p w14:paraId="73EBA166" w14:textId="77777777" w:rsidR="008B0599" w:rsidRPr="00DB3F8D" w:rsidRDefault="008B0599" w:rsidP="008B0599">
            <w:pPr>
              <w:pStyle w:val="88888"/>
              <w:spacing w:before="0" w:beforeAutospacing="0" w:after="0"/>
              <w:rPr>
                <w:i/>
                <w:iCs/>
                <w:color w:val="000000" w:themeColor="text1"/>
              </w:rPr>
            </w:pPr>
            <w:r>
              <w:rPr>
                <w:i/>
                <w:iCs/>
                <w:color w:val="000000" w:themeColor="text1"/>
              </w:rPr>
              <w:t xml:space="preserve">Mut’ah </w:t>
            </w:r>
            <w:r w:rsidRPr="00DB3F8D">
              <w:rPr>
                <w:i/>
                <w:iCs/>
                <w:color w:val="000000" w:themeColor="text1"/>
              </w:rPr>
              <w:t>University</w:t>
            </w:r>
          </w:p>
          <w:p w14:paraId="319BAF68" w14:textId="77777777" w:rsidR="008B0599" w:rsidRPr="00DB3F8D" w:rsidRDefault="008B0599" w:rsidP="008B0599">
            <w:pPr>
              <w:pStyle w:val="88888"/>
              <w:tabs>
                <w:tab w:val="center" w:pos="1489"/>
                <w:tab w:val="left" w:pos="2216"/>
              </w:tabs>
              <w:spacing w:before="0" w:beforeAutospacing="0" w:after="0"/>
              <w:rPr>
                <w:color w:val="000000" w:themeColor="text1"/>
              </w:rPr>
            </w:pPr>
            <w:r>
              <w:rPr>
                <w:color w:val="000000" w:themeColor="text1"/>
              </w:rPr>
              <w:t>Amman,</w:t>
            </w:r>
            <w:r w:rsidRPr="00DB3F8D">
              <w:rPr>
                <w:color w:val="000000" w:themeColor="text1"/>
              </w:rPr>
              <w:t xml:space="preserve"> Jordan</w:t>
            </w:r>
          </w:p>
          <w:p w14:paraId="3CA4EB3E" w14:textId="3BD760ED" w:rsidR="008B0599" w:rsidRPr="00DB3F8D" w:rsidRDefault="008B0599" w:rsidP="008B0599">
            <w:pPr>
              <w:pStyle w:val="88888"/>
              <w:spacing w:before="0" w:beforeAutospacing="0" w:after="0"/>
              <w:rPr>
                <w:color w:val="000000" w:themeColor="text1"/>
              </w:rPr>
            </w:pPr>
            <w:r>
              <w:rPr>
                <w:rStyle w:val="Hyperlink"/>
                <w:color w:val="000000" w:themeColor="text1"/>
              </w:rPr>
              <w:t>620240436004</w:t>
            </w:r>
            <w:r w:rsidRPr="00DB3F8D">
              <w:rPr>
                <w:rStyle w:val="Hyperlink"/>
                <w:color w:val="000000" w:themeColor="text1"/>
              </w:rPr>
              <w:t>@</w:t>
            </w:r>
            <w:r>
              <w:rPr>
                <w:rStyle w:val="Hyperlink"/>
                <w:color w:val="000000" w:themeColor="text1"/>
              </w:rPr>
              <w:t>mutah.</w:t>
            </w:r>
            <w:r w:rsidRPr="00DB3F8D">
              <w:rPr>
                <w:rStyle w:val="Hyperlink"/>
                <w:color w:val="000000" w:themeColor="text1"/>
              </w:rPr>
              <w:t>edu.jo</w:t>
            </w:r>
          </w:p>
          <w:p w14:paraId="5C5BD3F7" w14:textId="29B61876" w:rsidR="00580DA7" w:rsidRPr="008C292A" w:rsidRDefault="00580DA7" w:rsidP="004A374E">
            <w:pPr>
              <w:tabs>
                <w:tab w:val="left" w:pos="6890"/>
              </w:tabs>
              <w:rPr>
                <w:rFonts w:asciiTheme="majorBidi" w:hAnsiTheme="majorBidi" w:cstheme="majorBidi"/>
                <w:sz w:val="18"/>
                <w:szCs w:val="18"/>
                <w:rtl/>
              </w:rPr>
            </w:pPr>
          </w:p>
        </w:tc>
        <w:tc>
          <w:tcPr>
            <w:tcW w:w="1708" w:type="dxa"/>
          </w:tcPr>
          <w:p w14:paraId="28DB8C6F" w14:textId="77777777" w:rsidR="008F47BE" w:rsidRPr="008C292A" w:rsidRDefault="008F47BE" w:rsidP="008F47BE">
            <w:pPr>
              <w:tabs>
                <w:tab w:val="left" w:pos="6890"/>
              </w:tabs>
              <w:rPr>
                <w:rFonts w:asciiTheme="majorBidi" w:hAnsiTheme="majorBidi" w:cstheme="majorBidi"/>
                <w:sz w:val="18"/>
                <w:szCs w:val="18"/>
              </w:rPr>
            </w:pPr>
            <w:r w:rsidRPr="008C292A">
              <w:rPr>
                <w:rFonts w:asciiTheme="majorBidi" w:hAnsiTheme="majorBidi" w:cstheme="majorBidi"/>
                <w:sz w:val="18"/>
                <w:szCs w:val="18"/>
              </w:rPr>
              <w:t xml:space="preserve">Mohamed Hafez </w:t>
            </w:r>
          </w:p>
          <w:p w14:paraId="09A751B9" w14:textId="77777777" w:rsidR="008F47BE" w:rsidRPr="008C292A" w:rsidRDefault="008F47BE" w:rsidP="008F47BE">
            <w:pPr>
              <w:tabs>
                <w:tab w:val="left" w:pos="6890"/>
              </w:tabs>
              <w:rPr>
                <w:rFonts w:asciiTheme="majorBidi" w:hAnsiTheme="majorBidi" w:cstheme="majorBidi"/>
                <w:i/>
                <w:iCs/>
                <w:sz w:val="18"/>
                <w:szCs w:val="18"/>
              </w:rPr>
            </w:pPr>
            <w:r w:rsidRPr="008C292A">
              <w:rPr>
                <w:rFonts w:asciiTheme="majorBidi" w:hAnsiTheme="majorBidi" w:cstheme="majorBidi"/>
                <w:i/>
                <w:iCs/>
                <w:sz w:val="18"/>
                <w:szCs w:val="18"/>
              </w:rPr>
              <w:t>Faculty of Engineering FEQS,</w:t>
            </w:r>
          </w:p>
          <w:p w14:paraId="72F6E00D" w14:textId="77777777" w:rsidR="008F47BE" w:rsidRPr="008C292A" w:rsidRDefault="008F47BE" w:rsidP="008F47BE">
            <w:pPr>
              <w:tabs>
                <w:tab w:val="left" w:pos="6890"/>
              </w:tabs>
              <w:rPr>
                <w:rFonts w:asciiTheme="majorBidi" w:hAnsiTheme="majorBidi" w:cstheme="majorBidi"/>
                <w:i/>
                <w:iCs/>
                <w:sz w:val="18"/>
                <w:szCs w:val="18"/>
              </w:rPr>
            </w:pPr>
            <w:r w:rsidRPr="008C292A">
              <w:rPr>
                <w:rFonts w:asciiTheme="majorBidi" w:hAnsiTheme="majorBidi" w:cstheme="majorBidi"/>
                <w:i/>
                <w:iCs/>
                <w:sz w:val="18"/>
                <w:szCs w:val="18"/>
              </w:rPr>
              <w:t>INTI-IU-University</w:t>
            </w:r>
          </w:p>
          <w:p w14:paraId="03FE3542" w14:textId="77777777" w:rsidR="008F47BE" w:rsidRPr="008C292A" w:rsidRDefault="008F47BE" w:rsidP="008F47BE">
            <w:pPr>
              <w:tabs>
                <w:tab w:val="left" w:pos="6890"/>
              </w:tabs>
              <w:rPr>
                <w:rFonts w:asciiTheme="majorBidi" w:hAnsiTheme="majorBidi" w:cstheme="majorBidi"/>
                <w:sz w:val="18"/>
                <w:szCs w:val="18"/>
              </w:rPr>
            </w:pPr>
            <w:r w:rsidRPr="008C292A">
              <w:rPr>
                <w:rFonts w:asciiTheme="majorBidi" w:hAnsiTheme="majorBidi" w:cstheme="majorBidi"/>
                <w:sz w:val="18"/>
                <w:szCs w:val="18"/>
              </w:rPr>
              <w:t xml:space="preserve">Nilai, Malaysia </w:t>
            </w:r>
          </w:p>
          <w:p w14:paraId="49DF8099" w14:textId="4A4DD30F" w:rsidR="00580DA7" w:rsidRPr="008C292A" w:rsidRDefault="008F47BE" w:rsidP="008F47BE">
            <w:pPr>
              <w:tabs>
                <w:tab w:val="left" w:pos="6890"/>
              </w:tabs>
              <w:rPr>
                <w:i/>
                <w:iCs/>
                <w:color w:val="000000" w:themeColor="text1"/>
                <w:sz w:val="18"/>
                <w:szCs w:val="18"/>
                <w:rtl/>
              </w:rPr>
            </w:pPr>
            <w:r w:rsidRPr="008C292A">
              <w:rPr>
                <w:rFonts w:asciiTheme="majorBidi" w:hAnsiTheme="majorBidi" w:cstheme="majorBidi"/>
                <w:color w:val="000000" w:themeColor="text1"/>
                <w:u w:val="single"/>
              </w:rPr>
              <w:t>mohdahmed.hafez@newinti.edu.my</w:t>
            </w:r>
          </w:p>
        </w:tc>
        <w:tc>
          <w:tcPr>
            <w:tcW w:w="236" w:type="dxa"/>
          </w:tcPr>
          <w:p w14:paraId="1E554D91" w14:textId="77777777" w:rsidR="00580DA7" w:rsidRPr="008C292A" w:rsidRDefault="00580DA7" w:rsidP="00580DA7">
            <w:pPr>
              <w:tabs>
                <w:tab w:val="left" w:pos="6890"/>
              </w:tabs>
              <w:rPr>
                <w:rFonts w:asciiTheme="majorBidi" w:hAnsiTheme="majorBidi" w:cstheme="majorBidi"/>
                <w:sz w:val="18"/>
                <w:szCs w:val="18"/>
                <w:rtl/>
              </w:rPr>
            </w:pPr>
          </w:p>
        </w:tc>
      </w:tr>
    </w:tbl>
    <w:p w14:paraId="52677F55" w14:textId="77777777" w:rsidR="00D7522C" w:rsidRPr="008C292A" w:rsidRDefault="00D7522C" w:rsidP="00962F24">
      <w:pPr>
        <w:pStyle w:val="Author"/>
        <w:spacing w:before="100" w:beforeAutospacing="1" w:after="100" w:afterAutospacing="1" w:line="120" w:lineRule="auto"/>
        <w:rPr>
          <w:sz w:val="16"/>
          <w:szCs w:val="16"/>
        </w:rPr>
      </w:pPr>
    </w:p>
    <w:p w14:paraId="79CE22DE" w14:textId="77777777" w:rsidR="00616C13" w:rsidRPr="008C292A" w:rsidRDefault="00616C13" w:rsidP="00CA4392">
      <w:pPr>
        <w:pStyle w:val="Author"/>
        <w:spacing w:before="100" w:beforeAutospacing="1" w:after="100" w:afterAutospacing="1" w:line="120" w:lineRule="auto"/>
        <w:rPr>
          <w:sz w:val="16"/>
          <w:szCs w:val="16"/>
        </w:rPr>
        <w:sectPr w:rsidR="00616C13" w:rsidRPr="008C292A" w:rsidSect="003B4E04">
          <w:footerReference w:type="first" r:id="rId9"/>
          <w:pgSz w:w="11906" w:h="16838" w:code="9"/>
          <w:pgMar w:top="540" w:right="893" w:bottom="1440" w:left="893" w:header="720" w:footer="720" w:gutter="0"/>
          <w:cols w:space="720"/>
          <w:titlePg/>
          <w:docGrid w:linePitch="360"/>
        </w:sectPr>
      </w:pPr>
    </w:p>
    <w:p w14:paraId="062CC3CB" w14:textId="52B768C0" w:rsidR="009303D9" w:rsidRPr="008C292A" w:rsidRDefault="009303D9">
      <w:pPr>
        <w:sectPr w:rsidR="009303D9" w:rsidRPr="008C292A" w:rsidSect="003B4E04">
          <w:type w:val="continuous"/>
          <w:pgSz w:w="11906" w:h="16838" w:code="9"/>
          <w:pgMar w:top="450" w:right="893" w:bottom="1440" w:left="893" w:header="720" w:footer="720" w:gutter="0"/>
          <w:cols w:num="3" w:space="720"/>
          <w:docGrid w:linePitch="360"/>
        </w:sectPr>
      </w:pPr>
    </w:p>
    <w:p w14:paraId="2CE546BA" w14:textId="225A60F5" w:rsidR="00156C2B" w:rsidRPr="008C292A" w:rsidRDefault="009303D9" w:rsidP="00156C2B">
      <w:pPr>
        <w:pStyle w:val="NormalWeb"/>
        <w:jc w:val="lowKashida"/>
        <w:rPr>
          <w:rFonts w:eastAsia="SimSun"/>
          <w:b/>
          <w:bCs/>
          <w:color w:val="000000" w:themeColor="text1"/>
          <w:sz w:val="18"/>
          <w:szCs w:val="18"/>
        </w:rPr>
      </w:pPr>
      <w:r w:rsidRPr="008C292A">
        <w:rPr>
          <w:i/>
          <w:iCs/>
          <w:color w:val="000000" w:themeColor="text1"/>
        </w:rPr>
        <w:t>Abstract</w:t>
      </w:r>
      <w:r w:rsidRPr="008C292A">
        <w:rPr>
          <w:color w:val="000000" w:themeColor="text1"/>
        </w:rPr>
        <w:t>—</w:t>
      </w:r>
      <w:r w:rsidR="00156C2B" w:rsidRPr="008C292A">
        <w:rPr>
          <w:rFonts w:eastAsia="SimSun"/>
          <w:b/>
          <w:bCs/>
          <w:color w:val="000000" w:themeColor="text1"/>
          <w:sz w:val="18"/>
          <w:szCs w:val="18"/>
        </w:rPr>
        <w:t>Current public-key cryptography infrastructure is in grave danger from the impending arrival of cryptographically relevant quantum computers (CRQCs), which could undermine worldwide data protection regimes. In light of new quantum-specific laws, regulations such as the General Data Protection Regulation (GDPR) and the California Consumer Privacy Act (CCPA) are influencing the development of post-quantum cryptography (PQC). By design principles, we examine the effects of PQC migration options on adherence to data minimization, purpose limitation, and data protection. We uncover major holes in present cryptography procedures that can cause compliance failures in the quantum age by conducting a comprehensive analysis of 35 worldwide rules and 20 PQC standardization initiatives. To measure PQC algorithms' adherence to regulations and technical security standards, our approach suggests a multi-dimensional assessment matrix. Although PQC provides technological answers to quantum problems, the results show that putting it into practice brings up serious ethical concerns about the openness of algorithms, the compatibility of systems between countries, and the management of data in the long run. We urge regulatory agencies, industry stakeholders, and cryptographic standards bodies to work together immediately to create data protection frameworks that are quantum-ready and strike a balance between security needs and basic privacy rights.</w:t>
      </w:r>
    </w:p>
    <w:p w14:paraId="18E5B3EA" w14:textId="4E8EF6EA" w:rsidR="00876601" w:rsidRPr="008C292A" w:rsidRDefault="004D72B5" w:rsidP="00B04BD2">
      <w:pPr>
        <w:shd w:val="clear" w:color="auto" w:fill="FFFFFF"/>
        <w:spacing w:before="240" w:after="240"/>
        <w:jc w:val="lowKashida"/>
        <w:rPr>
          <w:b/>
          <w:bCs/>
          <w:i/>
          <w:color w:val="000000" w:themeColor="text1"/>
          <w:sz w:val="18"/>
          <w:szCs w:val="18"/>
        </w:rPr>
      </w:pPr>
      <w:r w:rsidRPr="008C292A">
        <w:rPr>
          <w:color w:val="000000" w:themeColor="text1"/>
        </w:rPr>
        <w:t>Keywords—</w:t>
      </w:r>
      <w:r w:rsidR="00156C2B" w:rsidRPr="008C292A">
        <w:rPr>
          <w:b/>
          <w:bCs/>
          <w:i/>
          <w:color w:val="000000" w:themeColor="text1"/>
          <w:sz w:val="18"/>
          <w:szCs w:val="18"/>
        </w:rPr>
        <w:t xml:space="preserve"> cryptographic standards, cybersecurity law, data protection, ethical AI, GDPR, NIST PQC, Post-quantum cryptography, quantum computing</w:t>
      </w:r>
      <w:r w:rsidR="00B04BD2" w:rsidRPr="008C292A">
        <w:rPr>
          <w:b/>
          <w:bCs/>
          <w:i/>
          <w:color w:val="000000" w:themeColor="text1"/>
          <w:sz w:val="18"/>
          <w:szCs w:val="18"/>
        </w:rPr>
        <w:t xml:space="preserve"> </w:t>
      </w:r>
      <w:r w:rsidR="00876601" w:rsidRPr="008C292A">
        <w:rPr>
          <w:b/>
          <w:bCs/>
          <w:i/>
          <w:color w:val="000000" w:themeColor="text1"/>
          <w:sz w:val="18"/>
          <w:szCs w:val="18"/>
        </w:rPr>
        <w:t xml:space="preserve"> </w:t>
      </w:r>
    </w:p>
    <w:p w14:paraId="05D8BF0C" w14:textId="77777777" w:rsidR="009303D9" w:rsidRPr="008C292A" w:rsidRDefault="009303D9" w:rsidP="00423784">
      <w:pPr>
        <w:pStyle w:val="Heading1"/>
        <w:rPr>
          <w:color w:val="000000" w:themeColor="text1"/>
        </w:rPr>
      </w:pPr>
      <w:r w:rsidRPr="008C292A">
        <w:rPr>
          <w:color w:val="000000" w:themeColor="text1"/>
        </w:rPr>
        <w:t>Introduction</w:t>
      </w:r>
    </w:p>
    <w:p w14:paraId="028668BE" w14:textId="0D66EFDF" w:rsidR="00B00C62" w:rsidRPr="008C292A" w:rsidRDefault="00B00C62" w:rsidP="00B00C62">
      <w:pPr>
        <w:pStyle w:val="BodyText"/>
        <w:numPr>
          <w:ilvl w:val="0"/>
          <w:numId w:val="8"/>
        </w:numPr>
        <w:rPr>
          <w:i/>
          <w:iCs/>
          <w:noProof/>
          <w:color w:val="000000" w:themeColor="text1"/>
          <w:spacing w:val="0"/>
          <w:lang w:val="en-US" w:eastAsia="en-US"/>
        </w:rPr>
      </w:pPr>
      <w:r w:rsidRPr="008C292A">
        <w:rPr>
          <w:i/>
          <w:iCs/>
          <w:noProof/>
          <w:color w:val="000000" w:themeColor="text1"/>
          <w:spacing w:val="0"/>
          <w:lang w:val="en-US" w:eastAsia="en-US"/>
        </w:rPr>
        <w:t>The Quantum Threat Landscape</w:t>
      </w:r>
    </w:p>
    <w:p w14:paraId="620401AA" w14:textId="55E9B9B6" w:rsidR="00B00C62" w:rsidRPr="008C292A" w:rsidRDefault="00B00C62" w:rsidP="00B00C62">
      <w:pPr>
        <w:pStyle w:val="BodyText"/>
        <w:rPr>
          <w:color w:val="000000" w:themeColor="text1"/>
        </w:rPr>
      </w:pPr>
      <w:r w:rsidRPr="008C292A">
        <w:rPr>
          <w:color w:val="000000" w:themeColor="text1"/>
        </w:rPr>
        <w:t xml:space="preserve">There are major ramifications for the world's cybersecurity architecture as a result of the rapid development of quantum computing technologies, which have gone from being a theoretical possibility to a physical reality. It is believed that CRQCs, or cryptographically relevant quantum computers, </w:t>
      </w:r>
      <w:r w:rsidRPr="008C292A">
        <w:rPr>
          <w:color w:val="000000" w:themeColor="text1"/>
        </w:rPr>
        <w:t xml:space="preserve">would be able to crack popular public-key cryptosystems like RSA and ECC within the next ten to fifteen years [1]. Medical records, financial transactions, and government secrets are examples of data with long-term secrecy requirements that could remain sensitive even after quantum threats arrive. This timetable presents a significant window of vulnerability for many types of data. </w:t>
      </w:r>
    </w:p>
    <w:p w14:paraId="1A67E2E2" w14:textId="77777777" w:rsidR="00B00C62" w:rsidRPr="008C292A" w:rsidRDefault="00B00C62" w:rsidP="00B00C62">
      <w:pPr>
        <w:pStyle w:val="BodyText"/>
        <w:ind w:firstLine="0"/>
      </w:pPr>
      <w:r w:rsidRPr="008C292A">
        <w:rPr>
          <w:color w:val="000000" w:themeColor="text1"/>
        </w:rPr>
        <w:t>Most modern asymmetric encryption relies on Shor's method to overcome the integer factorization and discrete logarithm problems, which are the primary entry point for the quantum threat [2]. Current encryption standards are already vulnerable, and Grover's technique makes matters worse by quadratically speeding up brute-force attacks on symmetric key systems [3]. The cryptographic underpinnings of contemporary digital security may become obsolete when these algorithmic benefits are used on strong enough quantum computers.</w:t>
      </w:r>
      <w:r w:rsidRPr="008C292A">
        <w:t xml:space="preserve"> </w:t>
      </w:r>
    </w:p>
    <w:p w14:paraId="368EF6E6" w14:textId="1A739638" w:rsidR="00B00C62" w:rsidRPr="008C292A" w:rsidRDefault="00B00C62" w:rsidP="00B00C62">
      <w:pPr>
        <w:pStyle w:val="BodyText"/>
        <w:numPr>
          <w:ilvl w:val="0"/>
          <w:numId w:val="8"/>
        </w:numPr>
        <w:rPr>
          <w:i/>
          <w:iCs/>
          <w:noProof/>
          <w:color w:val="000000" w:themeColor="text1"/>
          <w:spacing w:val="0"/>
          <w:lang w:val="en-US" w:eastAsia="en-US"/>
        </w:rPr>
      </w:pPr>
      <w:r w:rsidRPr="008C292A">
        <w:rPr>
          <w:i/>
          <w:iCs/>
          <w:noProof/>
          <w:color w:val="000000" w:themeColor="text1"/>
          <w:spacing w:val="0"/>
          <w:lang w:val="en-US" w:eastAsia="en-US"/>
        </w:rPr>
        <w:t>The Data Protection Imperative</w:t>
      </w:r>
    </w:p>
    <w:p w14:paraId="2E7FA3BB" w14:textId="77777777" w:rsidR="00B00C62" w:rsidRPr="008C292A" w:rsidRDefault="00B00C62" w:rsidP="00B00C62">
      <w:pPr>
        <w:pStyle w:val="BodyText"/>
        <w:rPr>
          <w:color w:val="000000" w:themeColor="text1"/>
        </w:rPr>
      </w:pPr>
      <w:r w:rsidRPr="008C292A">
        <w:rPr>
          <w:color w:val="000000" w:themeColor="text1"/>
        </w:rPr>
        <w:t xml:space="preserve">Data protection regulations around the world have changed drastically in tandem with quantum developments. In 2018, the EU passed the General Data Protection Regulation (GDPR), which has a wide-ranging impact on data privacy and how businesses throughout the world operate [4]. The Personal Information Protection Law (PIPL) of China, the California Consumer Privacy Act (CCPA) of California, and the Brazilian LGPD all have similar criteria for data minimization, purpose limitation, and security-by-design [5]. This law has resulted in a complex web of legislation demanding compliance. </w:t>
      </w:r>
    </w:p>
    <w:p w14:paraId="37E9B41B" w14:textId="222CDF4F" w:rsidR="00B00C62" w:rsidRPr="008C292A" w:rsidRDefault="00B00C62" w:rsidP="00B00C62">
      <w:pPr>
        <w:pStyle w:val="BodyText"/>
        <w:rPr>
          <w:color w:val="000000" w:themeColor="text1"/>
        </w:rPr>
      </w:pPr>
      <w:r w:rsidRPr="008C292A">
        <w:rPr>
          <w:color w:val="000000" w:themeColor="text1"/>
        </w:rPr>
        <w:t>A significant moment has emerged for cybersecurity policy as a result of the convergence of two developments: better data protection and quantum vulnerability. Companies must comply with strict data protection standards that were created before quantum risks were even considered, while simultaneously attempting to migrate to cryptographic systems that are resistant to quantum attacks.</w:t>
      </w:r>
    </w:p>
    <w:p w14:paraId="6DC4B3F5" w14:textId="159E0E26" w:rsidR="00B00C62" w:rsidRPr="008C292A" w:rsidRDefault="00B00C62" w:rsidP="00B00C62">
      <w:pPr>
        <w:pStyle w:val="BodyText"/>
        <w:numPr>
          <w:ilvl w:val="0"/>
          <w:numId w:val="8"/>
        </w:numPr>
        <w:rPr>
          <w:i/>
          <w:iCs/>
          <w:noProof/>
          <w:color w:val="000000" w:themeColor="text1"/>
          <w:spacing w:val="0"/>
          <w:lang w:val="en-US" w:eastAsia="en-US"/>
        </w:rPr>
      </w:pPr>
      <w:r w:rsidRPr="008C292A">
        <w:rPr>
          <w:i/>
          <w:iCs/>
          <w:noProof/>
          <w:color w:val="000000" w:themeColor="text1"/>
          <w:spacing w:val="0"/>
          <w:lang w:val="en-US" w:eastAsia="en-US"/>
        </w:rPr>
        <w:lastRenderedPageBreak/>
        <w:t>Research Problem and Contributions</w:t>
      </w:r>
    </w:p>
    <w:p w14:paraId="38A6B042" w14:textId="77777777" w:rsidR="00B00C62" w:rsidRPr="008C292A" w:rsidRDefault="00B00C62" w:rsidP="00B00C62">
      <w:pPr>
        <w:pStyle w:val="BodyText"/>
        <w:rPr>
          <w:color w:val="000000" w:themeColor="text1"/>
        </w:rPr>
      </w:pPr>
    </w:p>
    <w:p w14:paraId="0C808E3A" w14:textId="77777777" w:rsidR="00B00C62" w:rsidRPr="008C292A" w:rsidRDefault="00B00C62" w:rsidP="00B00C62">
      <w:pPr>
        <w:pStyle w:val="BodyText"/>
      </w:pPr>
      <w:r w:rsidRPr="008C292A">
        <w:rPr>
          <w:color w:val="000000" w:themeColor="text1"/>
        </w:rPr>
        <w:t xml:space="preserve">How will the shift to post-quantum cryptography affect adherence to ethical data stewardship principles and worldwide data protection regulations? That is the central question this research seeks to answer. </w:t>
      </w:r>
      <w:r w:rsidRPr="008C292A">
        <w:rPr>
          <w:color w:val="000000" w:themeColor="text1"/>
        </w:rPr>
        <w:br/>
        <w:t xml:space="preserve">Among the many important contributions of our study are: </w:t>
      </w:r>
      <w:r w:rsidRPr="008C292A">
        <w:rPr>
          <w:color w:val="000000" w:themeColor="text1"/>
        </w:rPr>
        <w:br/>
        <w:t xml:space="preserve">First, we conduct a regulatory gap analysis to find all the ways in which current data protection regimes clash with the needs for PQC implementation. </w:t>
      </w:r>
      <w:r w:rsidRPr="008C292A">
        <w:rPr>
          <w:color w:val="000000" w:themeColor="text1"/>
        </w:rPr>
        <w:br/>
        <w:t xml:space="preserve">2. Creating an Ethical Framework: To evaluate PQC algorithms, we offer an ethical evaluation matrix that goes beyond technical security metrics. </w:t>
      </w:r>
      <w:r w:rsidRPr="008C292A">
        <w:rPr>
          <w:color w:val="000000" w:themeColor="text1"/>
        </w:rPr>
        <w:br/>
        <w:t xml:space="preserve">3.Third, we create a compliance map by comparing potential PQC migration procedures to individual sections of the most important data protection laws. </w:t>
      </w:r>
      <w:r w:rsidRPr="008C292A">
        <w:rPr>
          <w:color w:val="000000" w:themeColor="text1"/>
        </w:rPr>
        <w:br/>
        <w:t>4. Policy Suggestions: To help regulators, standards organizations, and implementers through the quantum transition, we offer practical advice.</w:t>
      </w:r>
      <w:r w:rsidRPr="008C292A">
        <w:t xml:space="preserve"> </w:t>
      </w:r>
    </w:p>
    <w:p w14:paraId="40F3DBE2" w14:textId="2765EEA2" w:rsidR="00B00C62" w:rsidRPr="008C292A" w:rsidRDefault="00B00C62" w:rsidP="004B2907">
      <w:pPr>
        <w:pStyle w:val="BodyText"/>
        <w:numPr>
          <w:ilvl w:val="0"/>
          <w:numId w:val="8"/>
        </w:numPr>
        <w:rPr>
          <w:i/>
          <w:iCs/>
          <w:noProof/>
          <w:color w:val="000000" w:themeColor="text1"/>
          <w:spacing w:val="0"/>
          <w:lang w:val="en-US" w:eastAsia="en-US"/>
        </w:rPr>
      </w:pPr>
      <w:r w:rsidRPr="008C292A">
        <w:rPr>
          <w:i/>
          <w:iCs/>
          <w:noProof/>
          <w:color w:val="000000" w:themeColor="text1"/>
          <w:spacing w:val="0"/>
          <w:lang w:val="en-US" w:eastAsia="en-US"/>
        </w:rPr>
        <w:t>Paper Structure</w:t>
      </w:r>
    </w:p>
    <w:p w14:paraId="34A98A32" w14:textId="77777777" w:rsidR="004B2907" w:rsidRPr="008C292A" w:rsidRDefault="004B2907" w:rsidP="004B2907">
      <w:pPr>
        <w:pStyle w:val="BodyText"/>
        <w:ind w:firstLine="0"/>
        <w:rPr>
          <w:b/>
          <w:bCs/>
          <w:color w:val="000000" w:themeColor="text1"/>
          <w:lang w:val="en-US"/>
        </w:rPr>
      </w:pPr>
      <w:r w:rsidRPr="008C292A">
        <w:rPr>
          <w:color w:val="000000" w:themeColor="text1"/>
        </w:rPr>
        <w:t xml:space="preserve">Here is how the rest of the paper is </w:t>
      </w:r>
      <w:proofErr w:type="spellStart"/>
      <w:r w:rsidRPr="008C292A">
        <w:rPr>
          <w:color w:val="000000" w:themeColor="text1"/>
        </w:rPr>
        <w:t>structured:In</w:t>
      </w:r>
      <w:proofErr w:type="spellEnd"/>
      <w:r w:rsidRPr="008C292A">
        <w:rPr>
          <w:color w:val="000000" w:themeColor="text1"/>
        </w:rPr>
        <w:t xml:space="preserve"> Section II, we will go over the literature that is pertinent to PQC standards, data protection law, and cryptographic ethics. Our methodology for assessing PQC-compliance alignment is detailed in Section III. Section IV addresses the results and key implementation issues. Section V provides suggestions for interested parties, while Section VI finishes with avenues for further study</w:t>
      </w:r>
      <w:r w:rsidRPr="008C292A">
        <w:rPr>
          <w:b/>
          <w:bCs/>
          <w:color w:val="000000" w:themeColor="text1"/>
          <w:lang w:val="en-US"/>
        </w:rPr>
        <w:t>.</w:t>
      </w:r>
    </w:p>
    <w:p w14:paraId="4C85E9A0" w14:textId="77777777" w:rsidR="00B00C62" w:rsidRPr="008C292A" w:rsidRDefault="00B00C62" w:rsidP="00B00C62">
      <w:pPr>
        <w:pStyle w:val="BodyText"/>
        <w:rPr>
          <w:b/>
          <w:bCs/>
          <w:color w:val="000000" w:themeColor="text1"/>
          <w:lang w:val="en-US"/>
        </w:rPr>
      </w:pPr>
    </w:p>
    <w:p w14:paraId="25DFC2F7" w14:textId="66474118" w:rsidR="009303D9" w:rsidRPr="008C292A" w:rsidRDefault="00876601" w:rsidP="00B04BD2">
      <w:pPr>
        <w:pStyle w:val="Heading1"/>
        <w:ind w:firstLine="0"/>
        <w:rPr>
          <w:color w:val="000000" w:themeColor="text1"/>
        </w:rPr>
      </w:pPr>
      <w:r w:rsidRPr="008C292A">
        <w:rPr>
          <w:color w:val="000000" w:themeColor="text1"/>
        </w:rPr>
        <w:t xml:space="preserve">Literature Review </w:t>
      </w:r>
    </w:p>
    <w:p w14:paraId="5DFA344A" w14:textId="62B4DCE3" w:rsidR="00876601" w:rsidRPr="008C292A" w:rsidRDefault="00876601" w:rsidP="00876601">
      <w:pPr>
        <w:rPr>
          <w:lang w:val="ru-RU"/>
        </w:rPr>
      </w:pPr>
    </w:p>
    <w:p w14:paraId="736D5AD3" w14:textId="347A9058" w:rsidR="004B2907" w:rsidRPr="008C292A" w:rsidRDefault="004B2907" w:rsidP="00B04BD2">
      <w:pPr>
        <w:pStyle w:val="BodyText"/>
        <w:ind w:firstLine="0"/>
        <w:rPr>
          <w:i/>
          <w:iCs/>
          <w:color w:val="000000" w:themeColor="text1"/>
          <w:lang w:val="en-US"/>
        </w:rPr>
      </w:pPr>
      <w:r w:rsidRPr="008C292A">
        <w:rPr>
          <w:i/>
          <w:iCs/>
          <w:color w:val="000000" w:themeColor="text1"/>
          <w:lang w:val="en-US"/>
        </w:rPr>
        <w:t>A. Post-Quantum Cryptography Standards</w:t>
      </w:r>
    </w:p>
    <w:p w14:paraId="40BDDA63" w14:textId="77777777" w:rsidR="004B2907" w:rsidRPr="008C292A" w:rsidRDefault="004B2907" w:rsidP="004B2907">
      <w:pPr>
        <w:pStyle w:val="BodyText"/>
        <w:ind w:firstLine="0"/>
        <w:rPr>
          <w:color w:val="000000" w:themeColor="text1"/>
        </w:rPr>
      </w:pPr>
      <w:r w:rsidRPr="008C292A">
        <w:rPr>
          <w:color w:val="000000" w:themeColor="text1"/>
        </w:rPr>
        <w:t>The cryptographic community has long been aware of the dangers posed by quantum computing; groundbreaking research into algorithms that are resistant to it dates back to the 1990s [6]. The National Institute of Standards and Technology (NIST) received 82 initial submissions in 2016 as part of their formal PQC standardization process [7]. CRYSTALS-Kyber has handled key encapsulation, while CRYSTALS-</w:t>
      </w:r>
      <w:proofErr w:type="spellStart"/>
      <w:r w:rsidRPr="008C292A">
        <w:rPr>
          <w:color w:val="000000" w:themeColor="text1"/>
        </w:rPr>
        <w:t>Dilithium</w:t>
      </w:r>
      <w:proofErr w:type="spellEnd"/>
      <w:r w:rsidRPr="008C292A">
        <w:rPr>
          <w:color w:val="000000" w:themeColor="text1"/>
        </w:rPr>
        <w:t xml:space="preserve">, Falcon, and SPHINCS+ have handled digital signatures [8]. This procedure has gone through various rounds of cryptanalysis. </w:t>
      </w:r>
    </w:p>
    <w:p w14:paraId="6D5EC51B" w14:textId="4FA3248B" w:rsidR="004B2907" w:rsidRPr="008C292A" w:rsidRDefault="004B2907" w:rsidP="004B2907">
      <w:pPr>
        <w:pStyle w:val="BodyText"/>
        <w:ind w:firstLine="0"/>
        <w:rPr>
          <w:color w:val="000000" w:themeColor="text1"/>
        </w:rPr>
      </w:pPr>
      <w:r w:rsidRPr="008C292A">
        <w:rPr>
          <w:color w:val="000000" w:themeColor="text1"/>
        </w:rPr>
        <w:t>Studies on these algorithms have mostly concentrated on their technical aspects, such as their security and performance. Alagic et al. [10] examines the theoretical security underpinnings of hash-based, code-based, lattice-based, and multivariate cryptographic methods, whereas Bernstein et al. [9] offer thorough platform-agnostic benchmarking of PQC candidates. There has been scant focus on the ethical and legal considerations surrounding PQC adoption, though.</w:t>
      </w:r>
    </w:p>
    <w:p w14:paraId="3147C85E" w14:textId="77777777" w:rsidR="004B2907" w:rsidRPr="008C292A" w:rsidRDefault="004B2907" w:rsidP="004B2907">
      <w:pPr>
        <w:pStyle w:val="BodyText"/>
        <w:ind w:firstLine="0"/>
        <w:rPr>
          <w:i/>
          <w:iCs/>
          <w:color w:val="000000" w:themeColor="text1"/>
          <w:lang w:val="en-US"/>
        </w:rPr>
      </w:pPr>
      <w:r w:rsidRPr="008C292A">
        <w:rPr>
          <w:i/>
          <w:iCs/>
          <w:color w:val="000000" w:themeColor="text1"/>
          <w:lang w:val="en-US"/>
        </w:rPr>
        <w:t>B. Data Protection Law and Technology</w:t>
      </w:r>
    </w:p>
    <w:p w14:paraId="16217DFD" w14:textId="77777777" w:rsidR="000D1804" w:rsidRPr="008C292A" w:rsidRDefault="000D1804" w:rsidP="000D1804">
      <w:pPr>
        <w:pStyle w:val="BodyText"/>
        <w:ind w:firstLine="0"/>
        <w:rPr>
          <w:color w:val="000000" w:themeColor="text1"/>
        </w:rPr>
      </w:pPr>
      <w:r w:rsidRPr="008C292A">
        <w:rPr>
          <w:color w:val="000000" w:themeColor="text1"/>
        </w:rPr>
        <w:t xml:space="preserve">The literature on data protection law has done a lot of research on the technical effects of GDPR and related rules. While Finck and Pallas [12] investigate the technological neutrality principle of GDPR, Voigt and von dem </w:t>
      </w:r>
      <w:proofErr w:type="spellStart"/>
      <w:r w:rsidRPr="008C292A">
        <w:rPr>
          <w:color w:val="000000" w:themeColor="text1"/>
        </w:rPr>
        <w:t>Bussche</w:t>
      </w:r>
      <w:proofErr w:type="spellEnd"/>
      <w:r w:rsidRPr="008C292A">
        <w:rPr>
          <w:color w:val="000000" w:themeColor="text1"/>
        </w:rPr>
        <w:t xml:space="preserve"> [11] offer a foundational examination of the regulation's requirements. A subfield known as Quantum Law Reviews [13] has recently emerged out of research into the ways in which quantum technology and the law interact. </w:t>
      </w:r>
    </w:p>
    <w:p w14:paraId="4760BA32" w14:textId="5FCB524F" w:rsidR="000D1804" w:rsidRPr="008C292A" w:rsidRDefault="000D1804" w:rsidP="000D1804">
      <w:pPr>
        <w:pStyle w:val="BodyText"/>
        <w:ind w:firstLine="0"/>
        <w:rPr>
          <w:color w:val="000000" w:themeColor="text1"/>
        </w:rPr>
      </w:pPr>
      <w:r w:rsidRPr="008C292A">
        <w:rPr>
          <w:color w:val="000000" w:themeColor="text1"/>
        </w:rPr>
        <w:t xml:space="preserve">On the other hand, there has been very little research into the interplay between PQC and compliance. While Buchmann et al. [15] address migration difficulties for current systems, Mosca and </w:t>
      </w:r>
      <w:proofErr w:type="spellStart"/>
      <w:r w:rsidRPr="008C292A">
        <w:rPr>
          <w:color w:val="000000" w:themeColor="text1"/>
        </w:rPr>
        <w:t>Piani</w:t>
      </w:r>
      <w:proofErr w:type="spellEnd"/>
      <w:r w:rsidRPr="008C292A">
        <w:rPr>
          <w:color w:val="000000" w:themeColor="text1"/>
        </w:rPr>
        <w:t xml:space="preserve"> [14] emphasize the time-related elements of quantum risk assessment. Research on the moral implications of cryptography has mostly focused on surveillance and human rights issues [16], with little to no bearing on PQC.</w:t>
      </w:r>
    </w:p>
    <w:p w14:paraId="5D32AC32" w14:textId="77777777" w:rsidR="000D1804" w:rsidRPr="008C292A" w:rsidRDefault="000D1804" w:rsidP="000D1804">
      <w:pPr>
        <w:pStyle w:val="BodyText"/>
        <w:ind w:firstLine="0"/>
        <w:rPr>
          <w:i/>
          <w:iCs/>
          <w:color w:val="000000" w:themeColor="text1"/>
          <w:lang w:val="en-US"/>
        </w:rPr>
      </w:pPr>
      <w:r w:rsidRPr="008C292A">
        <w:rPr>
          <w:i/>
          <w:iCs/>
          <w:color w:val="000000" w:themeColor="text1"/>
          <w:lang w:val="en-US"/>
        </w:rPr>
        <w:t>C. Research Gaps</w:t>
      </w:r>
    </w:p>
    <w:p w14:paraId="3CBE4C8D" w14:textId="77777777" w:rsidR="000D1804" w:rsidRPr="008C292A" w:rsidRDefault="000D1804" w:rsidP="000D1804">
      <w:pPr>
        <w:pStyle w:val="BodyText"/>
        <w:rPr>
          <w:color w:val="000000" w:themeColor="text1"/>
          <w:lang w:val="en-US"/>
        </w:rPr>
      </w:pPr>
      <w:r w:rsidRPr="008C292A">
        <w:rPr>
          <w:color w:val="000000" w:themeColor="text1"/>
          <w:lang w:val="en-US"/>
        </w:rPr>
        <w:t xml:space="preserve">There are three major knowledge gaps that our review uncovered: </w:t>
      </w:r>
      <w:r w:rsidRPr="008C292A">
        <w:rPr>
          <w:color w:val="000000" w:themeColor="text1"/>
          <w:lang w:val="en-US"/>
        </w:rPr>
        <w:br/>
        <w:t xml:space="preserve">1. A thorough analysis of data protection articles to determine PQC needs </w:t>
      </w:r>
      <w:r w:rsidRPr="008C292A">
        <w:rPr>
          <w:color w:val="000000" w:themeColor="text1"/>
          <w:lang w:val="en-US"/>
        </w:rPr>
        <w:br/>
        <w:t xml:space="preserve">2. Beyond technical measurements, ethical evaluation frameworks for PQC algorithms </w:t>
      </w:r>
      <w:r w:rsidRPr="008C292A">
        <w:rPr>
          <w:color w:val="000000" w:themeColor="text1"/>
          <w:lang w:val="en-US"/>
        </w:rPr>
        <w:br/>
        <w:t>3. Comparing PQC implementation across different jurisdictions: an international interoperability analysis</w:t>
      </w:r>
    </w:p>
    <w:p w14:paraId="07A5D895" w14:textId="445D56C9" w:rsidR="000D1804" w:rsidRPr="008C292A" w:rsidRDefault="00B04BD2" w:rsidP="000D1804">
      <w:pPr>
        <w:pStyle w:val="BodyText"/>
        <w:ind w:firstLine="0"/>
      </w:pPr>
      <w:r w:rsidRPr="008C292A">
        <w:rPr>
          <w:color w:val="000000" w:themeColor="text1"/>
          <w:lang w:val="en-US"/>
        </w:rPr>
        <w:t xml:space="preserve"> </w:t>
      </w:r>
      <w:r w:rsidR="000D1804" w:rsidRPr="008C292A">
        <w:t>TABLE I: POST-QUANTUM CRYPTOGRAPHY LANDSCAPE ANALYSIS</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993"/>
        <w:gridCol w:w="1141"/>
        <w:gridCol w:w="1421"/>
        <w:gridCol w:w="1311"/>
      </w:tblGrid>
      <w:tr w:rsidR="000D1804" w:rsidRPr="008C292A" w14:paraId="1BBA403A" w14:textId="77777777" w:rsidTr="001D72A0">
        <w:trPr>
          <w:tblHeader/>
        </w:trPr>
        <w:tc>
          <w:tcPr>
            <w:tcW w:w="993" w:type="dxa"/>
            <w:tcBorders>
              <w:top w:val="single" w:sz="4" w:space="0" w:color="auto"/>
              <w:bottom w:val="single" w:sz="4" w:space="0" w:color="auto"/>
            </w:tcBorders>
            <w:tcMar>
              <w:top w:w="150" w:type="dxa"/>
              <w:left w:w="0" w:type="dxa"/>
              <w:bottom w:w="150" w:type="dxa"/>
              <w:right w:w="240" w:type="dxa"/>
            </w:tcMar>
            <w:vAlign w:val="center"/>
            <w:hideMark/>
          </w:tcPr>
          <w:p w14:paraId="7DADCCFC" w14:textId="77777777" w:rsidR="000D1804" w:rsidRPr="008C292A" w:rsidRDefault="000D1804" w:rsidP="00EA3B01">
            <w:pPr>
              <w:spacing w:line="375" w:lineRule="atLeast"/>
              <w:rPr>
                <w:rFonts w:eastAsia="Times New Roman"/>
                <w:sz w:val="16"/>
                <w:szCs w:val="16"/>
              </w:rPr>
            </w:pPr>
            <w:r w:rsidRPr="008C292A">
              <w:rPr>
                <w:rFonts w:eastAsia="Times New Roman"/>
                <w:sz w:val="16"/>
                <w:szCs w:val="16"/>
              </w:rPr>
              <w:t>Reference</w:t>
            </w:r>
          </w:p>
        </w:tc>
        <w:tc>
          <w:tcPr>
            <w:tcW w:w="1141" w:type="dxa"/>
            <w:tcBorders>
              <w:top w:val="single" w:sz="4" w:space="0" w:color="auto"/>
              <w:bottom w:val="single" w:sz="4" w:space="0" w:color="auto"/>
            </w:tcBorders>
            <w:tcMar>
              <w:top w:w="150" w:type="dxa"/>
              <w:left w:w="240" w:type="dxa"/>
              <w:bottom w:w="150" w:type="dxa"/>
              <w:right w:w="240" w:type="dxa"/>
            </w:tcMar>
            <w:vAlign w:val="center"/>
            <w:hideMark/>
          </w:tcPr>
          <w:p w14:paraId="0F9DEA18" w14:textId="77777777" w:rsidR="000D1804" w:rsidRPr="008C292A" w:rsidRDefault="000D1804" w:rsidP="00EA3B01">
            <w:pPr>
              <w:spacing w:line="375" w:lineRule="atLeast"/>
              <w:rPr>
                <w:rFonts w:eastAsia="Times New Roman"/>
                <w:sz w:val="16"/>
                <w:szCs w:val="16"/>
              </w:rPr>
            </w:pPr>
            <w:r w:rsidRPr="008C292A">
              <w:rPr>
                <w:rFonts w:eastAsia="Times New Roman"/>
                <w:sz w:val="16"/>
                <w:szCs w:val="16"/>
              </w:rPr>
              <w:t>Focus Area</w:t>
            </w:r>
          </w:p>
        </w:tc>
        <w:tc>
          <w:tcPr>
            <w:tcW w:w="1421" w:type="dxa"/>
            <w:tcBorders>
              <w:top w:val="single" w:sz="4" w:space="0" w:color="auto"/>
              <w:bottom w:val="single" w:sz="4" w:space="0" w:color="auto"/>
            </w:tcBorders>
            <w:tcMar>
              <w:top w:w="150" w:type="dxa"/>
              <w:left w:w="240" w:type="dxa"/>
              <w:bottom w:w="150" w:type="dxa"/>
              <w:right w:w="240" w:type="dxa"/>
            </w:tcMar>
            <w:vAlign w:val="center"/>
            <w:hideMark/>
          </w:tcPr>
          <w:p w14:paraId="382A48A7" w14:textId="77777777" w:rsidR="000D1804" w:rsidRPr="008C292A" w:rsidRDefault="000D1804" w:rsidP="00EA3B01">
            <w:pPr>
              <w:spacing w:line="375" w:lineRule="atLeast"/>
              <w:rPr>
                <w:rFonts w:eastAsia="Times New Roman"/>
                <w:sz w:val="16"/>
                <w:szCs w:val="16"/>
              </w:rPr>
            </w:pPr>
            <w:r w:rsidRPr="008C292A">
              <w:rPr>
                <w:rFonts w:eastAsia="Times New Roman"/>
                <w:sz w:val="16"/>
                <w:szCs w:val="16"/>
              </w:rPr>
              <w:t>Key Contribution</w:t>
            </w:r>
          </w:p>
        </w:tc>
        <w:tc>
          <w:tcPr>
            <w:tcW w:w="1311" w:type="dxa"/>
            <w:tcBorders>
              <w:top w:val="single" w:sz="4" w:space="0" w:color="auto"/>
              <w:bottom w:val="single" w:sz="4" w:space="0" w:color="auto"/>
            </w:tcBorders>
            <w:tcMar>
              <w:top w:w="150" w:type="dxa"/>
              <w:left w:w="240" w:type="dxa"/>
              <w:bottom w:w="150" w:type="dxa"/>
              <w:right w:w="240" w:type="dxa"/>
            </w:tcMar>
            <w:vAlign w:val="center"/>
            <w:hideMark/>
          </w:tcPr>
          <w:p w14:paraId="4931EF68" w14:textId="77777777" w:rsidR="000D1804" w:rsidRPr="008C292A" w:rsidRDefault="000D1804" w:rsidP="00EA3B01">
            <w:pPr>
              <w:spacing w:line="375" w:lineRule="atLeast"/>
              <w:rPr>
                <w:rFonts w:eastAsia="Times New Roman"/>
                <w:sz w:val="16"/>
                <w:szCs w:val="16"/>
              </w:rPr>
            </w:pPr>
            <w:r w:rsidRPr="008C292A">
              <w:rPr>
                <w:rFonts w:eastAsia="Times New Roman"/>
                <w:sz w:val="16"/>
                <w:szCs w:val="16"/>
              </w:rPr>
              <w:t>Limitation</w:t>
            </w:r>
          </w:p>
        </w:tc>
      </w:tr>
      <w:tr w:rsidR="000D1804" w:rsidRPr="008C292A" w14:paraId="6C020932" w14:textId="77777777" w:rsidTr="001D72A0">
        <w:tc>
          <w:tcPr>
            <w:tcW w:w="993" w:type="dxa"/>
            <w:tcBorders>
              <w:top w:val="single" w:sz="4" w:space="0" w:color="auto"/>
            </w:tcBorders>
            <w:tcMar>
              <w:top w:w="150" w:type="dxa"/>
              <w:left w:w="0" w:type="dxa"/>
              <w:bottom w:w="150" w:type="dxa"/>
              <w:right w:w="240" w:type="dxa"/>
            </w:tcMar>
            <w:vAlign w:val="center"/>
            <w:hideMark/>
          </w:tcPr>
          <w:p w14:paraId="533EA392" w14:textId="77777777" w:rsidR="000D1804" w:rsidRPr="008C292A" w:rsidRDefault="000D1804" w:rsidP="00EA3B01">
            <w:pPr>
              <w:spacing w:line="375" w:lineRule="atLeast"/>
              <w:rPr>
                <w:rFonts w:eastAsia="Times New Roman"/>
                <w:sz w:val="16"/>
                <w:szCs w:val="16"/>
              </w:rPr>
            </w:pPr>
            <w:r w:rsidRPr="008C292A">
              <w:rPr>
                <w:rFonts w:eastAsia="Times New Roman"/>
                <w:sz w:val="16"/>
                <w:szCs w:val="16"/>
              </w:rPr>
              <w:t>[7] NIST (2022)</w:t>
            </w:r>
          </w:p>
        </w:tc>
        <w:tc>
          <w:tcPr>
            <w:tcW w:w="1141" w:type="dxa"/>
            <w:tcBorders>
              <w:top w:val="single" w:sz="4" w:space="0" w:color="auto"/>
            </w:tcBorders>
            <w:tcMar>
              <w:top w:w="150" w:type="dxa"/>
              <w:left w:w="240" w:type="dxa"/>
              <w:bottom w:w="150" w:type="dxa"/>
              <w:right w:w="240" w:type="dxa"/>
            </w:tcMar>
            <w:vAlign w:val="center"/>
            <w:hideMark/>
          </w:tcPr>
          <w:p w14:paraId="25160237" w14:textId="77777777" w:rsidR="000D1804" w:rsidRPr="008C292A" w:rsidRDefault="000D1804" w:rsidP="00EA3B01">
            <w:pPr>
              <w:spacing w:line="375" w:lineRule="atLeast"/>
              <w:rPr>
                <w:rFonts w:eastAsia="Times New Roman"/>
                <w:sz w:val="16"/>
                <w:szCs w:val="16"/>
              </w:rPr>
            </w:pPr>
            <w:r w:rsidRPr="008C292A">
              <w:rPr>
                <w:rFonts w:eastAsia="Times New Roman"/>
                <w:sz w:val="16"/>
                <w:szCs w:val="16"/>
              </w:rPr>
              <w:t>PQC Standardization</w:t>
            </w:r>
          </w:p>
        </w:tc>
        <w:tc>
          <w:tcPr>
            <w:tcW w:w="1421" w:type="dxa"/>
            <w:tcBorders>
              <w:top w:val="single" w:sz="4" w:space="0" w:color="auto"/>
            </w:tcBorders>
            <w:tcMar>
              <w:top w:w="150" w:type="dxa"/>
              <w:left w:w="240" w:type="dxa"/>
              <w:bottom w:w="150" w:type="dxa"/>
              <w:right w:w="240" w:type="dxa"/>
            </w:tcMar>
            <w:vAlign w:val="center"/>
            <w:hideMark/>
          </w:tcPr>
          <w:p w14:paraId="585FBA37" w14:textId="77777777" w:rsidR="000D1804" w:rsidRPr="008C292A" w:rsidRDefault="000D1804" w:rsidP="00EA3B01">
            <w:pPr>
              <w:spacing w:line="375" w:lineRule="atLeast"/>
              <w:rPr>
                <w:rFonts w:eastAsia="Times New Roman"/>
                <w:sz w:val="16"/>
                <w:szCs w:val="16"/>
              </w:rPr>
            </w:pPr>
            <w:r w:rsidRPr="008C292A">
              <w:rPr>
                <w:rFonts w:eastAsia="Times New Roman"/>
                <w:sz w:val="16"/>
                <w:szCs w:val="16"/>
              </w:rPr>
              <w:t xml:space="preserve">Final selection of CRYSTALS-Kyber, </w:t>
            </w:r>
            <w:proofErr w:type="spellStart"/>
            <w:r w:rsidRPr="008C292A">
              <w:rPr>
                <w:rFonts w:eastAsia="Times New Roman"/>
                <w:sz w:val="16"/>
                <w:szCs w:val="16"/>
              </w:rPr>
              <w:t>Dilithium</w:t>
            </w:r>
            <w:proofErr w:type="spellEnd"/>
            <w:r w:rsidRPr="008C292A">
              <w:rPr>
                <w:rFonts w:eastAsia="Times New Roman"/>
                <w:sz w:val="16"/>
                <w:szCs w:val="16"/>
              </w:rPr>
              <w:t>, Falcon, SPHINCS+</w:t>
            </w:r>
          </w:p>
        </w:tc>
        <w:tc>
          <w:tcPr>
            <w:tcW w:w="1311" w:type="dxa"/>
            <w:tcBorders>
              <w:top w:val="single" w:sz="4" w:space="0" w:color="auto"/>
            </w:tcBorders>
            <w:tcMar>
              <w:top w:w="150" w:type="dxa"/>
              <w:left w:w="240" w:type="dxa"/>
              <w:bottom w:w="150" w:type="dxa"/>
              <w:right w:w="240" w:type="dxa"/>
            </w:tcMar>
            <w:vAlign w:val="center"/>
            <w:hideMark/>
          </w:tcPr>
          <w:p w14:paraId="6B77BFB2" w14:textId="77777777" w:rsidR="000D1804" w:rsidRPr="008C292A" w:rsidRDefault="000D1804" w:rsidP="00EA3B01">
            <w:pPr>
              <w:spacing w:line="375" w:lineRule="atLeast"/>
              <w:rPr>
                <w:rFonts w:eastAsia="Times New Roman"/>
                <w:sz w:val="16"/>
                <w:szCs w:val="16"/>
              </w:rPr>
            </w:pPr>
            <w:r w:rsidRPr="008C292A">
              <w:rPr>
                <w:rFonts w:eastAsia="Times New Roman"/>
                <w:sz w:val="16"/>
                <w:szCs w:val="16"/>
              </w:rPr>
              <w:t>Limited legal/ethical analysis</w:t>
            </w:r>
          </w:p>
        </w:tc>
      </w:tr>
      <w:tr w:rsidR="000D1804" w:rsidRPr="008C292A" w14:paraId="6AD62989" w14:textId="77777777" w:rsidTr="000D1804">
        <w:tc>
          <w:tcPr>
            <w:tcW w:w="993" w:type="dxa"/>
            <w:tcMar>
              <w:top w:w="150" w:type="dxa"/>
              <w:left w:w="0" w:type="dxa"/>
              <w:bottom w:w="150" w:type="dxa"/>
              <w:right w:w="240" w:type="dxa"/>
            </w:tcMar>
            <w:vAlign w:val="center"/>
            <w:hideMark/>
          </w:tcPr>
          <w:p w14:paraId="2527B4FB" w14:textId="77777777" w:rsidR="000D1804" w:rsidRPr="008C292A" w:rsidRDefault="000D1804" w:rsidP="00EA3B01">
            <w:pPr>
              <w:spacing w:line="375" w:lineRule="atLeast"/>
              <w:rPr>
                <w:rFonts w:eastAsia="Times New Roman"/>
                <w:sz w:val="16"/>
                <w:szCs w:val="16"/>
              </w:rPr>
            </w:pPr>
            <w:r w:rsidRPr="008C292A">
              <w:rPr>
                <w:rFonts w:eastAsia="Times New Roman"/>
                <w:sz w:val="16"/>
                <w:szCs w:val="16"/>
              </w:rPr>
              <w:t>[8] Chen et al. (2022)</w:t>
            </w:r>
          </w:p>
        </w:tc>
        <w:tc>
          <w:tcPr>
            <w:tcW w:w="1141" w:type="dxa"/>
            <w:tcMar>
              <w:top w:w="150" w:type="dxa"/>
              <w:left w:w="240" w:type="dxa"/>
              <w:bottom w:w="150" w:type="dxa"/>
              <w:right w:w="240" w:type="dxa"/>
            </w:tcMar>
            <w:vAlign w:val="center"/>
            <w:hideMark/>
          </w:tcPr>
          <w:p w14:paraId="7F56D7B9" w14:textId="77777777" w:rsidR="000D1804" w:rsidRPr="008C292A" w:rsidRDefault="000D1804" w:rsidP="00EA3B01">
            <w:pPr>
              <w:spacing w:line="375" w:lineRule="atLeast"/>
              <w:rPr>
                <w:rFonts w:eastAsia="Times New Roman"/>
                <w:sz w:val="16"/>
                <w:szCs w:val="16"/>
              </w:rPr>
            </w:pPr>
            <w:r w:rsidRPr="008C292A">
              <w:rPr>
                <w:rFonts w:eastAsia="Times New Roman"/>
                <w:sz w:val="16"/>
                <w:szCs w:val="16"/>
              </w:rPr>
              <w:t>Algorithm Performance</w:t>
            </w:r>
          </w:p>
        </w:tc>
        <w:tc>
          <w:tcPr>
            <w:tcW w:w="1421" w:type="dxa"/>
            <w:tcMar>
              <w:top w:w="150" w:type="dxa"/>
              <w:left w:w="240" w:type="dxa"/>
              <w:bottom w:w="150" w:type="dxa"/>
              <w:right w:w="240" w:type="dxa"/>
            </w:tcMar>
            <w:vAlign w:val="center"/>
            <w:hideMark/>
          </w:tcPr>
          <w:p w14:paraId="419ECC8B" w14:textId="77777777" w:rsidR="000D1804" w:rsidRPr="008C292A" w:rsidRDefault="000D1804" w:rsidP="00EA3B01">
            <w:pPr>
              <w:spacing w:line="375" w:lineRule="atLeast"/>
              <w:rPr>
                <w:rFonts w:eastAsia="Times New Roman"/>
                <w:sz w:val="16"/>
                <w:szCs w:val="16"/>
              </w:rPr>
            </w:pPr>
            <w:r w:rsidRPr="008C292A">
              <w:rPr>
                <w:rFonts w:eastAsia="Times New Roman"/>
                <w:sz w:val="16"/>
                <w:szCs w:val="16"/>
              </w:rPr>
              <w:t>Comprehensive benchmarking of NIST finalists</w:t>
            </w:r>
          </w:p>
        </w:tc>
        <w:tc>
          <w:tcPr>
            <w:tcW w:w="1311" w:type="dxa"/>
            <w:tcMar>
              <w:top w:w="150" w:type="dxa"/>
              <w:left w:w="240" w:type="dxa"/>
              <w:bottom w:w="150" w:type="dxa"/>
              <w:right w:w="240" w:type="dxa"/>
            </w:tcMar>
            <w:vAlign w:val="center"/>
            <w:hideMark/>
          </w:tcPr>
          <w:p w14:paraId="0419BF8D" w14:textId="77777777" w:rsidR="000D1804" w:rsidRPr="008C292A" w:rsidRDefault="000D1804" w:rsidP="00EA3B01">
            <w:pPr>
              <w:spacing w:line="375" w:lineRule="atLeast"/>
              <w:rPr>
                <w:rFonts w:eastAsia="Times New Roman"/>
                <w:sz w:val="16"/>
                <w:szCs w:val="16"/>
              </w:rPr>
            </w:pPr>
            <w:r w:rsidRPr="008C292A">
              <w:rPr>
                <w:rFonts w:eastAsia="Times New Roman"/>
                <w:sz w:val="16"/>
                <w:szCs w:val="16"/>
              </w:rPr>
              <w:t>Focus on technical metrics only</w:t>
            </w:r>
          </w:p>
        </w:tc>
      </w:tr>
      <w:tr w:rsidR="000D1804" w:rsidRPr="008C292A" w14:paraId="750BFB9B" w14:textId="77777777" w:rsidTr="000D1804">
        <w:tc>
          <w:tcPr>
            <w:tcW w:w="993" w:type="dxa"/>
            <w:tcMar>
              <w:top w:w="150" w:type="dxa"/>
              <w:left w:w="0" w:type="dxa"/>
              <w:bottom w:w="150" w:type="dxa"/>
              <w:right w:w="240" w:type="dxa"/>
            </w:tcMar>
            <w:vAlign w:val="center"/>
            <w:hideMark/>
          </w:tcPr>
          <w:p w14:paraId="35045825" w14:textId="77777777" w:rsidR="000D1804" w:rsidRPr="008C292A" w:rsidRDefault="000D1804" w:rsidP="00EA3B01">
            <w:pPr>
              <w:spacing w:line="375" w:lineRule="atLeast"/>
              <w:rPr>
                <w:rFonts w:eastAsia="Times New Roman"/>
                <w:sz w:val="16"/>
                <w:szCs w:val="16"/>
              </w:rPr>
            </w:pPr>
            <w:r w:rsidRPr="008C292A">
              <w:rPr>
                <w:rFonts w:eastAsia="Times New Roman"/>
                <w:sz w:val="16"/>
                <w:szCs w:val="16"/>
              </w:rPr>
              <w:t>[9] Bernstein et al. (2020)</w:t>
            </w:r>
          </w:p>
        </w:tc>
        <w:tc>
          <w:tcPr>
            <w:tcW w:w="1141" w:type="dxa"/>
            <w:tcMar>
              <w:top w:w="150" w:type="dxa"/>
              <w:left w:w="240" w:type="dxa"/>
              <w:bottom w:w="150" w:type="dxa"/>
              <w:right w:w="240" w:type="dxa"/>
            </w:tcMar>
            <w:vAlign w:val="center"/>
            <w:hideMark/>
          </w:tcPr>
          <w:p w14:paraId="02B64229" w14:textId="77777777" w:rsidR="000D1804" w:rsidRPr="008C292A" w:rsidRDefault="000D1804" w:rsidP="00EA3B01">
            <w:pPr>
              <w:spacing w:line="375" w:lineRule="atLeast"/>
              <w:rPr>
                <w:rFonts w:eastAsia="Times New Roman"/>
                <w:sz w:val="16"/>
                <w:szCs w:val="16"/>
              </w:rPr>
            </w:pPr>
            <w:r w:rsidRPr="008C292A">
              <w:rPr>
                <w:rFonts w:eastAsia="Times New Roman"/>
                <w:sz w:val="16"/>
                <w:szCs w:val="16"/>
              </w:rPr>
              <w:t>Implementation Security</w:t>
            </w:r>
          </w:p>
        </w:tc>
        <w:tc>
          <w:tcPr>
            <w:tcW w:w="1421" w:type="dxa"/>
            <w:tcMar>
              <w:top w:w="150" w:type="dxa"/>
              <w:left w:w="240" w:type="dxa"/>
              <w:bottom w:w="150" w:type="dxa"/>
              <w:right w:w="240" w:type="dxa"/>
            </w:tcMar>
            <w:vAlign w:val="center"/>
            <w:hideMark/>
          </w:tcPr>
          <w:p w14:paraId="2514D3A5" w14:textId="77777777" w:rsidR="000D1804" w:rsidRPr="008C292A" w:rsidRDefault="000D1804" w:rsidP="00EA3B01">
            <w:pPr>
              <w:spacing w:line="375" w:lineRule="atLeast"/>
              <w:rPr>
                <w:rFonts w:eastAsia="Times New Roman"/>
                <w:sz w:val="16"/>
                <w:szCs w:val="16"/>
              </w:rPr>
            </w:pPr>
            <w:r w:rsidRPr="008C292A">
              <w:rPr>
                <w:rFonts w:eastAsia="Times New Roman"/>
                <w:sz w:val="16"/>
                <w:szCs w:val="16"/>
              </w:rPr>
              <w:t>Side-channel analysis of PQC candidates</w:t>
            </w:r>
          </w:p>
        </w:tc>
        <w:tc>
          <w:tcPr>
            <w:tcW w:w="1311" w:type="dxa"/>
            <w:tcMar>
              <w:top w:w="150" w:type="dxa"/>
              <w:left w:w="240" w:type="dxa"/>
              <w:bottom w:w="150" w:type="dxa"/>
              <w:right w:w="240" w:type="dxa"/>
            </w:tcMar>
            <w:vAlign w:val="center"/>
            <w:hideMark/>
          </w:tcPr>
          <w:p w14:paraId="2B0835FD" w14:textId="77777777" w:rsidR="000D1804" w:rsidRPr="008C292A" w:rsidRDefault="000D1804" w:rsidP="00EA3B01">
            <w:pPr>
              <w:spacing w:line="375" w:lineRule="atLeast"/>
              <w:rPr>
                <w:rFonts w:eastAsia="Times New Roman"/>
                <w:sz w:val="16"/>
                <w:szCs w:val="16"/>
              </w:rPr>
            </w:pPr>
            <w:r w:rsidRPr="008C292A">
              <w:rPr>
                <w:rFonts w:eastAsia="Times New Roman"/>
                <w:sz w:val="16"/>
                <w:szCs w:val="16"/>
              </w:rPr>
              <w:t>No compliance considerations</w:t>
            </w:r>
          </w:p>
        </w:tc>
      </w:tr>
      <w:tr w:rsidR="000D1804" w:rsidRPr="008C292A" w14:paraId="06BD782C" w14:textId="77777777" w:rsidTr="000D1804">
        <w:tc>
          <w:tcPr>
            <w:tcW w:w="993" w:type="dxa"/>
            <w:tcMar>
              <w:top w:w="150" w:type="dxa"/>
              <w:left w:w="0" w:type="dxa"/>
              <w:bottom w:w="150" w:type="dxa"/>
              <w:right w:w="240" w:type="dxa"/>
            </w:tcMar>
            <w:vAlign w:val="center"/>
            <w:hideMark/>
          </w:tcPr>
          <w:p w14:paraId="67C05B33" w14:textId="77777777" w:rsidR="000D1804" w:rsidRPr="008C292A" w:rsidRDefault="000D1804" w:rsidP="00EA3B01">
            <w:pPr>
              <w:spacing w:line="375" w:lineRule="atLeast"/>
              <w:rPr>
                <w:rFonts w:eastAsia="Times New Roman"/>
                <w:sz w:val="16"/>
                <w:szCs w:val="16"/>
              </w:rPr>
            </w:pPr>
            <w:r w:rsidRPr="008C292A">
              <w:rPr>
                <w:rFonts w:eastAsia="Times New Roman"/>
                <w:sz w:val="16"/>
                <w:szCs w:val="16"/>
              </w:rPr>
              <w:t>[10] Alagic et al. (2020)</w:t>
            </w:r>
          </w:p>
        </w:tc>
        <w:tc>
          <w:tcPr>
            <w:tcW w:w="1141" w:type="dxa"/>
            <w:tcMar>
              <w:top w:w="150" w:type="dxa"/>
              <w:left w:w="240" w:type="dxa"/>
              <w:bottom w:w="150" w:type="dxa"/>
              <w:right w:w="240" w:type="dxa"/>
            </w:tcMar>
            <w:vAlign w:val="center"/>
            <w:hideMark/>
          </w:tcPr>
          <w:p w14:paraId="597790F6" w14:textId="77777777" w:rsidR="000D1804" w:rsidRPr="008C292A" w:rsidRDefault="000D1804" w:rsidP="00EA3B01">
            <w:pPr>
              <w:spacing w:line="375" w:lineRule="atLeast"/>
              <w:rPr>
                <w:rFonts w:eastAsia="Times New Roman"/>
                <w:sz w:val="16"/>
                <w:szCs w:val="16"/>
              </w:rPr>
            </w:pPr>
            <w:r w:rsidRPr="008C292A">
              <w:rPr>
                <w:rFonts w:eastAsia="Times New Roman"/>
                <w:sz w:val="16"/>
                <w:szCs w:val="16"/>
              </w:rPr>
              <w:t>Theoretical Foundations</w:t>
            </w:r>
          </w:p>
        </w:tc>
        <w:tc>
          <w:tcPr>
            <w:tcW w:w="1421" w:type="dxa"/>
            <w:tcMar>
              <w:top w:w="150" w:type="dxa"/>
              <w:left w:w="240" w:type="dxa"/>
              <w:bottom w:w="150" w:type="dxa"/>
              <w:right w:w="240" w:type="dxa"/>
            </w:tcMar>
            <w:vAlign w:val="center"/>
            <w:hideMark/>
          </w:tcPr>
          <w:p w14:paraId="5B011A9C" w14:textId="77777777" w:rsidR="000D1804" w:rsidRPr="008C292A" w:rsidRDefault="000D1804" w:rsidP="00EA3B01">
            <w:pPr>
              <w:spacing w:line="375" w:lineRule="atLeast"/>
              <w:rPr>
                <w:rFonts w:eastAsia="Times New Roman"/>
                <w:sz w:val="16"/>
                <w:szCs w:val="16"/>
              </w:rPr>
            </w:pPr>
            <w:r w:rsidRPr="008C292A">
              <w:rPr>
                <w:rFonts w:eastAsia="Times New Roman"/>
                <w:sz w:val="16"/>
                <w:szCs w:val="16"/>
              </w:rPr>
              <w:t>Security proofs for lattice-based cryptography</w:t>
            </w:r>
          </w:p>
        </w:tc>
        <w:tc>
          <w:tcPr>
            <w:tcW w:w="1311" w:type="dxa"/>
            <w:tcMar>
              <w:top w:w="150" w:type="dxa"/>
              <w:left w:w="240" w:type="dxa"/>
              <w:bottom w:w="150" w:type="dxa"/>
              <w:right w:w="240" w:type="dxa"/>
            </w:tcMar>
            <w:vAlign w:val="center"/>
            <w:hideMark/>
          </w:tcPr>
          <w:p w14:paraId="5466CC6E" w14:textId="77777777" w:rsidR="000D1804" w:rsidRPr="008C292A" w:rsidRDefault="000D1804" w:rsidP="00EA3B01">
            <w:pPr>
              <w:spacing w:line="375" w:lineRule="atLeast"/>
              <w:rPr>
                <w:rFonts w:eastAsia="Times New Roman"/>
                <w:sz w:val="16"/>
                <w:szCs w:val="16"/>
              </w:rPr>
            </w:pPr>
            <w:r w:rsidRPr="008C292A">
              <w:rPr>
                <w:rFonts w:eastAsia="Times New Roman"/>
                <w:sz w:val="16"/>
                <w:szCs w:val="16"/>
              </w:rPr>
              <w:t>Mathematical focus, no policy analysis</w:t>
            </w:r>
          </w:p>
        </w:tc>
      </w:tr>
      <w:tr w:rsidR="000D1804" w:rsidRPr="008C292A" w14:paraId="2A9B12D7" w14:textId="77777777" w:rsidTr="000D1804">
        <w:tc>
          <w:tcPr>
            <w:tcW w:w="993" w:type="dxa"/>
            <w:tcMar>
              <w:top w:w="150" w:type="dxa"/>
              <w:left w:w="0" w:type="dxa"/>
              <w:bottom w:w="150" w:type="dxa"/>
              <w:right w:w="240" w:type="dxa"/>
            </w:tcMar>
            <w:vAlign w:val="center"/>
            <w:hideMark/>
          </w:tcPr>
          <w:p w14:paraId="2DB7EC27" w14:textId="77777777" w:rsidR="000D1804" w:rsidRPr="008C292A" w:rsidRDefault="000D1804" w:rsidP="00EA3B01">
            <w:pPr>
              <w:spacing w:line="375" w:lineRule="atLeast"/>
              <w:rPr>
                <w:rFonts w:eastAsia="Times New Roman"/>
                <w:sz w:val="16"/>
                <w:szCs w:val="16"/>
              </w:rPr>
            </w:pPr>
            <w:r w:rsidRPr="008C292A">
              <w:rPr>
                <w:rFonts w:eastAsia="Times New Roman"/>
                <w:sz w:val="16"/>
                <w:szCs w:val="16"/>
              </w:rPr>
              <w:lastRenderedPageBreak/>
              <w:t xml:space="preserve">[11] Voigt &amp; </w:t>
            </w:r>
            <w:proofErr w:type="spellStart"/>
            <w:r w:rsidRPr="008C292A">
              <w:rPr>
                <w:rFonts w:eastAsia="Times New Roman"/>
                <w:sz w:val="16"/>
                <w:szCs w:val="16"/>
              </w:rPr>
              <w:t>Bussche</w:t>
            </w:r>
            <w:proofErr w:type="spellEnd"/>
            <w:r w:rsidRPr="008C292A">
              <w:rPr>
                <w:rFonts w:eastAsia="Times New Roman"/>
                <w:sz w:val="16"/>
                <w:szCs w:val="16"/>
              </w:rPr>
              <w:t xml:space="preserve"> (2022)</w:t>
            </w:r>
          </w:p>
        </w:tc>
        <w:tc>
          <w:tcPr>
            <w:tcW w:w="1141" w:type="dxa"/>
            <w:tcMar>
              <w:top w:w="150" w:type="dxa"/>
              <w:left w:w="240" w:type="dxa"/>
              <w:bottom w:w="150" w:type="dxa"/>
              <w:right w:w="240" w:type="dxa"/>
            </w:tcMar>
            <w:vAlign w:val="center"/>
            <w:hideMark/>
          </w:tcPr>
          <w:p w14:paraId="03EB688B" w14:textId="77777777" w:rsidR="000D1804" w:rsidRPr="008C292A" w:rsidRDefault="000D1804" w:rsidP="00EA3B01">
            <w:pPr>
              <w:spacing w:line="375" w:lineRule="atLeast"/>
              <w:rPr>
                <w:rFonts w:eastAsia="Times New Roman"/>
                <w:sz w:val="16"/>
                <w:szCs w:val="16"/>
              </w:rPr>
            </w:pPr>
            <w:r w:rsidRPr="008C292A">
              <w:rPr>
                <w:rFonts w:eastAsia="Times New Roman"/>
                <w:sz w:val="16"/>
                <w:szCs w:val="16"/>
              </w:rPr>
              <w:t>GDPR Compliance</w:t>
            </w:r>
          </w:p>
        </w:tc>
        <w:tc>
          <w:tcPr>
            <w:tcW w:w="1421" w:type="dxa"/>
            <w:tcMar>
              <w:top w:w="150" w:type="dxa"/>
              <w:left w:w="240" w:type="dxa"/>
              <w:bottom w:w="150" w:type="dxa"/>
              <w:right w:w="240" w:type="dxa"/>
            </w:tcMar>
            <w:vAlign w:val="center"/>
            <w:hideMark/>
          </w:tcPr>
          <w:p w14:paraId="79163DD6" w14:textId="77777777" w:rsidR="000D1804" w:rsidRPr="008C292A" w:rsidRDefault="000D1804" w:rsidP="00EA3B01">
            <w:pPr>
              <w:spacing w:line="375" w:lineRule="atLeast"/>
              <w:rPr>
                <w:rFonts w:eastAsia="Times New Roman"/>
                <w:sz w:val="16"/>
                <w:szCs w:val="16"/>
              </w:rPr>
            </w:pPr>
            <w:r w:rsidRPr="008C292A">
              <w:rPr>
                <w:rFonts w:eastAsia="Times New Roman"/>
                <w:sz w:val="16"/>
                <w:szCs w:val="16"/>
              </w:rPr>
              <w:t>Updated analysis of regulatory requirements</w:t>
            </w:r>
          </w:p>
        </w:tc>
        <w:tc>
          <w:tcPr>
            <w:tcW w:w="1311" w:type="dxa"/>
            <w:tcMar>
              <w:top w:w="150" w:type="dxa"/>
              <w:left w:w="240" w:type="dxa"/>
              <w:bottom w:w="150" w:type="dxa"/>
              <w:right w:w="240" w:type="dxa"/>
            </w:tcMar>
            <w:vAlign w:val="center"/>
            <w:hideMark/>
          </w:tcPr>
          <w:p w14:paraId="654F346C" w14:textId="77777777" w:rsidR="000D1804" w:rsidRPr="008C292A" w:rsidRDefault="000D1804" w:rsidP="00EA3B01">
            <w:pPr>
              <w:spacing w:line="375" w:lineRule="atLeast"/>
              <w:rPr>
                <w:rFonts w:eastAsia="Times New Roman"/>
                <w:sz w:val="16"/>
                <w:szCs w:val="16"/>
              </w:rPr>
            </w:pPr>
            <w:r w:rsidRPr="008C292A">
              <w:rPr>
                <w:rFonts w:eastAsia="Times New Roman"/>
                <w:sz w:val="16"/>
                <w:szCs w:val="16"/>
              </w:rPr>
              <w:t>Minimal quantum considerations</w:t>
            </w:r>
          </w:p>
        </w:tc>
      </w:tr>
      <w:tr w:rsidR="000D1804" w:rsidRPr="008C292A" w14:paraId="14211C85" w14:textId="77777777" w:rsidTr="000D1804">
        <w:tc>
          <w:tcPr>
            <w:tcW w:w="993" w:type="dxa"/>
            <w:tcMar>
              <w:top w:w="150" w:type="dxa"/>
              <w:left w:w="0" w:type="dxa"/>
              <w:bottom w:w="150" w:type="dxa"/>
              <w:right w:w="240" w:type="dxa"/>
            </w:tcMar>
            <w:vAlign w:val="center"/>
            <w:hideMark/>
          </w:tcPr>
          <w:p w14:paraId="1A2E8266" w14:textId="77777777" w:rsidR="000D1804" w:rsidRPr="008C292A" w:rsidRDefault="000D1804" w:rsidP="00EA3B01">
            <w:pPr>
              <w:spacing w:line="375" w:lineRule="atLeast"/>
              <w:rPr>
                <w:rFonts w:eastAsia="Times New Roman"/>
                <w:sz w:val="16"/>
                <w:szCs w:val="16"/>
              </w:rPr>
            </w:pPr>
            <w:r w:rsidRPr="008C292A">
              <w:rPr>
                <w:rFonts w:eastAsia="Times New Roman"/>
                <w:sz w:val="16"/>
                <w:szCs w:val="16"/>
              </w:rPr>
              <w:t>[12] Finck &amp; Pallas (2023)</w:t>
            </w:r>
          </w:p>
        </w:tc>
        <w:tc>
          <w:tcPr>
            <w:tcW w:w="1141" w:type="dxa"/>
            <w:tcMar>
              <w:top w:w="150" w:type="dxa"/>
              <w:left w:w="240" w:type="dxa"/>
              <w:bottom w:w="150" w:type="dxa"/>
              <w:right w:w="240" w:type="dxa"/>
            </w:tcMar>
            <w:vAlign w:val="center"/>
            <w:hideMark/>
          </w:tcPr>
          <w:p w14:paraId="054D30B1" w14:textId="77777777" w:rsidR="000D1804" w:rsidRPr="008C292A" w:rsidRDefault="000D1804" w:rsidP="00EA3B01">
            <w:pPr>
              <w:spacing w:line="375" w:lineRule="atLeast"/>
              <w:rPr>
                <w:rFonts w:eastAsia="Times New Roman"/>
                <w:sz w:val="16"/>
                <w:szCs w:val="16"/>
              </w:rPr>
            </w:pPr>
            <w:r w:rsidRPr="008C292A">
              <w:rPr>
                <w:rFonts w:eastAsia="Times New Roman"/>
                <w:sz w:val="16"/>
                <w:szCs w:val="16"/>
              </w:rPr>
              <w:t>Technological Neutrality</w:t>
            </w:r>
          </w:p>
        </w:tc>
        <w:tc>
          <w:tcPr>
            <w:tcW w:w="1421" w:type="dxa"/>
            <w:tcMar>
              <w:top w:w="150" w:type="dxa"/>
              <w:left w:w="240" w:type="dxa"/>
              <w:bottom w:w="150" w:type="dxa"/>
              <w:right w:w="240" w:type="dxa"/>
            </w:tcMar>
            <w:vAlign w:val="center"/>
            <w:hideMark/>
          </w:tcPr>
          <w:p w14:paraId="7D519B29" w14:textId="77777777" w:rsidR="000D1804" w:rsidRPr="008C292A" w:rsidRDefault="000D1804" w:rsidP="00EA3B01">
            <w:pPr>
              <w:spacing w:line="375" w:lineRule="atLeast"/>
              <w:rPr>
                <w:rFonts w:eastAsia="Times New Roman"/>
                <w:sz w:val="16"/>
                <w:szCs w:val="16"/>
              </w:rPr>
            </w:pPr>
            <w:r w:rsidRPr="008C292A">
              <w:rPr>
                <w:rFonts w:eastAsia="Times New Roman"/>
                <w:sz w:val="16"/>
                <w:szCs w:val="16"/>
              </w:rPr>
              <w:t>Examination of GDPR's approach to emerging tech</w:t>
            </w:r>
          </w:p>
        </w:tc>
        <w:tc>
          <w:tcPr>
            <w:tcW w:w="1311" w:type="dxa"/>
            <w:tcMar>
              <w:top w:w="150" w:type="dxa"/>
              <w:left w:w="240" w:type="dxa"/>
              <w:bottom w:w="150" w:type="dxa"/>
              <w:right w:w="240" w:type="dxa"/>
            </w:tcMar>
            <w:vAlign w:val="center"/>
            <w:hideMark/>
          </w:tcPr>
          <w:p w14:paraId="3EBA822F" w14:textId="77777777" w:rsidR="000D1804" w:rsidRPr="008C292A" w:rsidRDefault="000D1804" w:rsidP="00EA3B01">
            <w:pPr>
              <w:spacing w:line="375" w:lineRule="atLeast"/>
              <w:rPr>
                <w:rFonts w:eastAsia="Times New Roman"/>
                <w:sz w:val="16"/>
                <w:szCs w:val="16"/>
              </w:rPr>
            </w:pPr>
            <w:r w:rsidRPr="008C292A">
              <w:rPr>
                <w:rFonts w:eastAsia="Times New Roman"/>
                <w:sz w:val="16"/>
                <w:szCs w:val="16"/>
              </w:rPr>
              <w:t>Limited cryptographic specificity</w:t>
            </w:r>
          </w:p>
        </w:tc>
      </w:tr>
      <w:tr w:rsidR="000D1804" w:rsidRPr="008C292A" w14:paraId="32FD0EA2" w14:textId="77777777" w:rsidTr="000D1804">
        <w:tc>
          <w:tcPr>
            <w:tcW w:w="993" w:type="dxa"/>
            <w:tcMar>
              <w:top w:w="150" w:type="dxa"/>
              <w:left w:w="0" w:type="dxa"/>
              <w:bottom w:w="150" w:type="dxa"/>
              <w:right w:w="240" w:type="dxa"/>
            </w:tcMar>
            <w:vAlign w:val="center"/>
            <w:hideMark/>
          </w:tcPr>
          <w:p w14:paraId="554FCCD1" w14:textId="77777777" w:rsidR="000D1804" w:rsidRPr="008C292A" w:rsidRDefault="000D1804" w:rsidP="00EA3B01">
            <w:pPr>
              <w:spacing w:line="375" w:lineRule="atLeast"/>
              <w:rPr>
                <w:rFonts w:eastAsia="Times New Roman"/>
                <w:sz w:val="16"/>
                <w:szCs w:val="16"/>
              </w:rPr>
            </w:pPr>
            <w:r w:rsidRPr="008C292A">
              <w:rPr>
                <w:rFonts w:eastAsia="Times New Roman"/>
                <w:sz w:val="16"/>
                <w:szCs w:val="16"/>
              </w:rPr>
              <w:t>[13] Quantum Law Journal (2023)</w:t>
            </w:r>
          </w:p>
        </w:tc>
        <w:tc>
          <w:tcPr>
            <w:tcW w:w="1141" w:type="dxa"/>
            <w:tcMar>
              <w:top w:w="150" w:type="dxa"/>
              <w:left w:w="240" w:type="dxa"/>
              <w:bottom w:w="150" w:type="dxa"/>
              <w:right w:w="240" w:type="dxa"/>
            </w:tcMar>
            <w:vAlign w:val="center"/>
            <w:hideMark/>
          </w:tcPr>
          <w:p w14:paraId="71715819" w14:textId="77777777" w:rsidR="000D1804" w:rsidRPr="008C292A" w:rsidRDefault="000D1804" w:rsidP="00EA3B01">
            <w:pPr>
              <w:spacing w:line="375" w:lineRule="atLeast"/>
              <w:rPr>
                <w:rFonts w:eastAsia="Times New Roman"/>
                <w:sz w:val="16"/>
                <w:szCs w:val="16"/>
              </w:rPr>
            </w:pPr>
            <w:r w:rsidRPr="008C292A">
              <w:rPr>
                <w:rFonts w:eastAsia="Times New Roman"/>
                <w:sz w:val="16"/>
                <w:szCs w:val="16"/>
              </w:rPr>
              <w:t>Quantum Legal Studies</w:t>
            </w:r>
          </w:p>
        </w:tc>
        <w:tc>
          <w:tcPr>
            <w:tcW w:w="1421" w:type="dxa"/>
            <w:tcMar>
              <w:top w:w="150" w:type="dxa"/>
              <w:left w:w="240" w:type="dxa"/>
              <w:bottom w:w="150" w:type="dxa"/>
              <w:right w:w="240" w:type="dxa"/>
            </w:tcMar>
            <w:vAlign w:val="center"/>
            <w:hideMark/>
          </w:tcPr>
          <w:p w14:paraId="244D9FAF" w14:textId="77777777" w:rsidR="000D1804" w:rsidRPr="008C292A" w:rsidRDefault="000D1804" w:rsidP="00EA3B01">
            <w:pPr>
              <w:spacing w:line="375" w:lineRule="atLeast"/>
              <w:rPr>
                <w:rFonts w:eastAsia="Times New Roman"/>
                <w:sz w:val="16"/>
                <w:szCs w:val="16"/>
              </w:rPr>
            </w:pPr>
            <w:r w:rsidRPr="008C292A">
              <w:rPr>
                <w:rFonts w:eastAsia="Times New Roman"/>
                <w:sz w:val="16"/>
                <w:szCs w:val="16"/>
              </w:rPr>
              <w:t>Emerging framework for quantum technologies</w:t>
            </w:r>
          </w:p>
        </w:tc>
        <w:tc>
          <w:tcPr>
            <w:tcW w:w="1311" w:type="dxa"/>
            <w:tcMar>
              <w:top w:w="150" w:type="dxa"/>
              <w:left w:w="240" w:type="dxa"/>
              <w:bottom w:w="150" w:type="dxa"/>
              <w:right w:w="240" w:type="dxa"/>
            </w:tcMar>
            <w:vAlign w:val="center"/>
            <w:hideMark/>
          </w:tcPr>
          <w:p w14:paraId="50F3C5EE" w14:textId="77777777" w:rsidR="000D1804" w:rsidRPr="008C292A" w:rsidRDefault="000D1804" w:rsidP="00EA3B01">
            <w:pPr>
              <w:spacing w:line="375" w:lineRule="atLeast"/>
              <w:rPr>
                <w:rFonts w:eastAsia="Times New Roman"/>
                <w:sz w:val="16"/>
                <w:szCs w:val="16"/>
              </w:rPr>
            </w:pPr>
            <w:r w:rsidRPr="008C292A">
              <w:rPr>
                <w:rFonts w:eastAsia="Times New Roman"/>
                <w:sz w:val="16"/>
                <w:szCs w:val="16"/>
              </w:rPr>
              <w:t>Early stage, limited precedent</w:t>
            </w:r>
          </w:p>
        </w:tc>
      </w:tr>
      <w:tr w:rsidR="000D1804" w:rsidRPr="008C292A" w14:paraId="4915F69E" w14:textId="77777777" w:rsidTr="000D1804">
        <w:tc>
          <w:tcPr>
            <w:tcW w:w="993" w:type="dxa"/>
            <w:tcMar>
              <w:top w:w="150" w:type="dxa"/>
              <w:left w:w="0" w:type="dxa"/>
              <w:bottom w:w="150" w:type="dxa"/>
              <w:right w:w="240" w:type="dxa"/>
            </w:tcMar>
            <w:vAlign w:val="center"/>
            <w:hideMark/>
          </w:tcPr>
          <w:p w14:paraId="31272828" w14:textId="77777777" w:rsidR="000D1804" w:rsidRPr="008C292A" w:rsidRDefault="000D1804" w:rsidP="00EA3B01">
            <w:pPr>
              <w:spacing w:line="375" w:lineRule="atLeast"/>
              <w:rPr>
                <w:rFonts w:eastAsia="Times New Roman"/>
                <w:sz w:val="16"/>
                <w:szCs w:val="16"/>
              </w:rPr>
            </w:pPr>
            <w:r w:rsidRPr="008C292A">
              <w:rPr>
                <w:rFonts w:eastAsia="Times New Roman"/>
                <w:sz w:val="16"/>
                <w:szCs w:val="16"/>
              </w:rPr>
              <w:t xml:space="preserve">[14] Mosca &amp; </w:t>
            </w:r>
            <w:proofErr w:type="spellStart"/>
            <w:r w:rsidRPr="008C292A">
              <w:rPr>
                <w:rFonts w:eastAsia="Times New Roman"/>
                <w:sz w:val="16"/>
                <w:szCs w:val="16"/>
              </w:rPr>
              <w:t>Piani</w:t>
            </w:r>
            <w:proofErr w:type="spellEnd"/>
            <w:r w:rsidRPr="008C292A">
              <w:rPr>
                <w:rFonts w:eastAsia="Times New Roman"/>
                <w:sz w:val="16"/>
                <w:szCs w:val="16"/>
              </w:rPr>
              <w:t xml:space="preserve"> (2023)</w:t>
            </w:r>
          </w:p>
        </w:tc>
        <w:tc>
          <w:tcPr>
            <w:tcW w:w="1141" w:type="dxa"/>
            <w:tcMar>
              <w:top w:w="150" w:type="dxa"/>
              <w:left w:w="240" w:type="dxa"/>
              <w:bottom w:w="150" w:type="dxa"/>
              <w:right w:w="240" w:type="dxa"/>
            </w:tcMar>
            <w:vAlign w:val="center"/>
            <w:hideMark/>
          </w:tcPr>
          <w:p w14:paraId="463C4F10" w14:textId="77777777" w:rsidR="000D1804" w:rsidRPr="008C292A" w:rsidRDefault="000D1804" w:rsidP="00EA3B01">
            <w:pPr>
              <w:spacing w:line="375" w:lineRule="atLeast"/>
              <w:rPr>
                <w:rFonts w:eastAsia="Times New Roman"/>
                <w:sz w:val="16"/>
                <w:szCs w:val="16"/>
              </w:rPr>
            </w:pPr>
            <w:r w:rsidRPr="008C292A">
              <w:rPr>
                <w:rFonts w:eastAsia="Times New Roman"/>
                <w:sz w:val="16"/>
                <w:szCs w:val="16"/>
              </w:rPr>
              <w:t>Risk Assessment</w:t>
            </w:r>
          </w:p>
        </w:tc>
        <w:tc>
          <w:tcPr>
            <w:tcW w:w="1421" w:type="dxa"/>
            <w:tcMar>
              <w:top w:w="150" w:type="dxa"/>
              <w:left w:w="240" w:type="dxa"/>
              <w:bottom w:w="150" w:type="dxa"/>
              <w:right w:w="240" w:type="dxa"/>
            </w:tcMar>
            <w:vAlign w:val="center"/>
            <w:hideMark/>
          </w:tcPr>
          <w:p w14:paraId="12B1EC10" w14:textId="77777777" w:rsidR="000D1804" w:rsidRPr="008C292A" w:rsidRDefault="000D1804" w:rsidP="00EA3B01">
            <w:pPr>
              <w:spacing w:line="375" w:lineRule="atLeast"/>
              <w:rPr>
                <w:rFonts w:eastAsia="Times New Roman"/>
                <w:sz w:val="16"/>
                <w:szCs w:val="16"/>
              </w:rPr>
            </w:pPr>
            <w:r w:rsidRPr="008C292A">
              <w:rPr>
                <w:rFonts w:eastAsia="Times New Roman"/>
                <w:sz w:val="16"/>
                <w:szCs w:val="16"/>
              </w:rPr>
              <w:t>Quantum migration timeline models</w:t>
            </w:r>
          </w:p>
        </w:tc>
        <w:tc>
          <w:tcPr>
            <w:tcW w:w="1311" w:type="dxa"/>
            <w:tcMar>
              <w:top w:w="150" w:type="dxa"/>
              <w:left w:w="240" w:type="dxa"/>
              <w:bottom w:w="150" w:type="dxa"/>
              <w:right w:w="240" w:type="dxa"/>
            </w:tcMar>
            <w:vAlign w:val="center"/>
            <w:hideMark/>
          </w:tcPr>
          <w:p w14:paraId="4EB9CDB8" w14:textId="77777777" w:rsidR="000D1804" w:rsidRPr="008C292A" w:rsidRDefault="000D1804" w:rsidP="00EA3B01">
            <w:pPr>
              <w:spacing w:line="375" w:lineRule="atLeast"/>
              <w:rPr>
                <w:rFonts w:eastAsia="Times New Roman"/>
                <w:sz w:val="16"/>
                <w:szCs w:val="16"/>
              </w:rPr>
            </w:pPr>
            <w:r w:rsidRPr="008C292A">
              <w:rPr>
                <w:rFonts w:eastAsia="Times New Roman"/>
                <w:sz w:val="16"/>
                <w:szCs w:val="16"/>
              </w:rPr>
              <w:t>Focus on timing, not implementation</w:t>
            </w:r>
          </w:p>
        </w:tc>
      </w:tr>
      <w:tr w:rsidR="000D1804" w:rsidRPr="008C292A" w14:paraId="11872CE0" w14:textId="77777777" w:rsidTr="000D1804">
        <w:tc>
          <w:tcPr>
            <w:tcW w:w="993" w:type="dxa"/>
            <w:tcMar>
              <w:top w:w="150" w:type="dxa"/>
              <w:left w:w="0" w:type="dxa"/>
              <w:bottom w:w="150" w:type="dxa"/>
              <w:right w:w="240" w:type="dxa"/>
            </w:tcMar>
            <w:vAlign w:val="center"/>
            <w:hideMark/>
          </w:tcPr>
          <w:p w14:paraId="6AA2DF04" w14:textId="77777777" w:rsidR="000D1804" w:rsidRPr="008C292A" w:rsidRDefault="000D1804" w:rsidP="00EA3B01">
            <w:pPr>
              <w:spacing w:line="375" w:lineRule="atLeast"/>
              <w:rPr>
                <w:rFonts w:eastAsia="Times New Roman"/>
                <w:sz w:val="16"/>
                <w:szCs w:val="16"/>
              </w:rPr>
            </w:pPr>
            <w:r w:rsidRPr="008C292A">
              <w:rPr>
                <w:rFonts w:eastAsia="Times New Roman"/>
                <w:sz w:val="16"/>
                <w:szCs w:val="16"/>
              </w:rPr>
              <w:t>[15] Buchmann et al. (2022)</w:t>
            </w:r>
          </w:p>
        </w:tc>
        <w:tc>
          <w:tcPr>
            <w:tcW w:w="1141" w:type="dxa"/>
            <w:tcMar>
              <w:top w:w="150" w:type="dxa"/>
              <w:left w:w="240" w:type="dxa"/>
              <w:bottom w:w="150" w:type="dxa"/>
              <w:right w:w="240" w:type="dxa"/>
            </w:tcMar>
            <w:vAlign w:val="center"/>
            <w:hideMark/>
          </w:tcPr>
          <w:p w14:paraId="05529192" w14:textId="77777777" w:rsidR="000D1804" w:rsidRPr="008C292A" w:rsidRDefault="000D1804" w:rsidP="00EA3B01">
            <w:pPr>
              <w:spacing w:line="375" w:lineRule="atLeast"/>
              <w:rPr>
                <w:rFonts w:eastAsia="Times New Roman"/>
                <w:sz w:val="16"/>
                <w:szCs w:val="16"/>
              </w:rPr>
            </w:pPr>
            <w:r w:rsidRPr="008C292A">
              <w:rPr>
                <w:rFonts w:eastAsia="Times New Roman"/>
                <w:sz w:val="16"/>
                <w:szCs w:val="16"/>
              </w:rPr>
              <w:t>Migration Challenges</w:t>
            </w:r>
          </w:p>
        </w:tc>
        <w:tc>
          <w:tcPr>
            <w:tcW w:w="1421" w:type="dxa"/>
            <w:tcMar>
              <w:top w:w="150" w:type="dxa"/>
              <w:left w:w="240" w:type="dxa"/>
              <w:bottom w:w="150" w:type="dxa"/>
              <w:right w:w="240" w:type="dxa"/>
            </w:tcMar>
            <w:vAlign w:val="center"/>
            <w:hideMark/>
          </w:tcPr>
          <w:p w14:paraId="4BA73DD8" w14:textId="77777777" w:rsidR="000D1804" w:rsidRPr="008C292A" w:rsidRDefault="000D1804" w:rsidP="00EA3B01">
            <w:pPr>
              <w:spacing w:line="375" w:lineRule="atLeast"/>
              <w:rPr>
                <w:rFonts w:eastAsia="Times New Roman"/>
                <w:sz w:val="16"/>
                <w:szCs w:val="16"/>
              </w:rPr>
            </w:pPr>
            <w:r w:rsidRPr="008C292A">
              <w:rPr>
                <w:rFonts w:eastAsia="Times New Roman"/>
                <w:sz w:val="16"/>
                <w:szCs w:val="16"/>
              </w:rPr>
              <w:t>Practical deployment considerations</w:t>
            </w:r>
          </w:p>
        </w:tc>
        <w:tc>
          <w:tcPr>
            <w:tcW w:w="1311" w:type="dxa"/>
            <w:tcMar>
              <w:top w:w="150" w:type="dxa"/>
              <w:left w:w="240" w:type="dxa"/>
              <w:bottom w:w="150" w:type="dxa"/>
              <w:right w:w="240" w:type="dxa"/>
            </w:tcMar>
            <w:vAlign w:val="center"/>
            <w:hideMark/>
          </w:tcPr>
          <w:p w14:paraId="69FC5CF6" w14:textId="77777777" w:rsidR="000D1804" w:rsidRPr="008C292A" w:rsidRDefault="000D1804" w:rsidP="00EA3B01">
            <w:pPr>
              <w:spacing w:line="375" w:lineRule="atLeast"/>
              <w:rPr>
                <w:rFonts w:eastAsia="Times New Roman"/>
                <w:sz w:val="16"/>
                <w:szCs w:val="16"/>
              </w:rPr>
            </w:pPr>
            <w:r w:rsidRPr="008C292A">
              <w:rPr>
                <w:rFonts w:eastAsia="Times New Roman"/>
                <w:sz w:val="16"/>
                <w:szCs w:val="16"/>
              </w:rPr>
              <w:t>Technical focus, limited legal analysis</w:t>
            </w:r>
          </w:p>
        </w:tc>
      </w:tr>
      <w:tr w:rsidR="000D1804" w:rsidRPr="008C292A" w14:paraId="33E03001" w14:textId="77777777" w:rsidTr="000D1804">
        <w:tc>
          <w:tcPr>
            <w:tcW w:w="993" w:type="dxa"/>
            <w:tcMar>
              <w:top w:w="150" w:type="dxa"/>
              <w:left w:w="0" w:type="dxa"/>
              <w:bottom w:w="150" w:type="dxa"/>
              <w:right w:w="240" w:type="dxa"/>
            </w:tcMar>
            <w:vAlign w:val="center"/>
            <w:hideMark/>
          </w:tcPr>
          <w:p w14:paraId="09D1493F" w14:textId="77777777" w:rsidR="000D1804" w:rsidRPr="008C292A" w:rsidRDefault="000D1804" w:rsidP="00EA3B01">
            <w:pPr>
              <w:spacing w:line="375" w:lineRule="atLeast"/>
              <w:rPr>
                <w:rFonts w:eastAsia="Times New Roman"/>
                <w:sz w:val="16"/>
                <w:szCs w:val="16"/>
              </w:rPr>
            </w:pPr>
            <w:r w:rsidRPr="008C292A">
              <w:rPr>
                <w:rFonts w:eastAsia="Times New Roman"/>
                <w:sz w:val="16"/>
                <w:szCs w:val="16"/>
              </w:rPr>
              <w:t>[16] Abelson et al. (2023)</w:t>
            </w:r>
          </w:p>
        </w:tc>
        <w:tc>
          <w:tcPr>
            <w:tcW w:w="1141" w:type="dxa"/>
            <w:tcMar>
              <w:top w:w="150" w:type="dxa"/>
              <w:left w:w="240" w:type="dxa"/>
              <w:bottom w:w="150" w:type="dxa"/>
              <w:right w:w="240" w:type="dxa"/>
            </w:tcMar>
            <w:vAlign w:val="center"/>
            <w:hideMark/>
          </w:tcPr>
          <w:p w14:paraId="3CF3AE62" w14:textId="77777777" w:rsidR="000D1804" w:rsidRPr="008C292A" w:rsidRDefault="000D1804" w:rsidP="00EA3B01">
            <w:pPr>
              <w:spacing w:line="375" w:lineRule="atLeast"/>
              <w:rPr>
                <w:rFonts w:eastAsia="Times New Roman"/>
                <w:sz w:val="16"/>
                <w:szCs w:val="16"/>
              </w:rPr>
            </w:pPr>
            <w:r w:rsidRPr="008C292A">
              <w:rPr>
                <w:rFonts w:eastAsia="Times New Roman"/>
                <w:sz w:val="16"/>
                <w:szCs w:val="16"/>
              </w:rPr>
              <w:t>Crypto Ethics</w:t>
            </w:r>
          </w:p>
        </w:tc>
        <w:tc>
          <w:tcPr>
            <w:tcW w:w="1421" w:type="dxa"/>
            <w:tcMar>
              <w:top w:w="150" w:type="dxa"/>
              <w:left w:w="240" w:type="dxa"/>
              <w:bottom w:w="150" w:type="dxa"/>
              <w:right w:w="240" w:type="dxa"/>
            </w:tcMar>
            <w:vAlign w:val="center"/>
            <w:hideMark/>
          </w:tcPr>
          <w:p w14:paraId="6B75BDCA" w14:textId="77777777" w:rsidR="000D1804" w:rsidRPr="008C292A" w:rsidRDefault="000D1804" w:rsidP="00EA3B01">
            <w:pPr>
              <w:spacing w:line="375" w:lineRule="atLeast"/>
              <w:rPr>
                <w:rFonts w:eastAsia="Times New Roman"/>
                <w:sz w:val="16"/>
                <w:szCs w:val="16"/>
              </w:rPr>
            </w:pPr>
            <w:r w:rsidRPr="008C292A">
              <w:rPr>
                <w:rFonts w:eastAsia="Times New Roman"/>
                <w:sz w:val="16"/>
                <w:szCs w:val="16"/>
              </w:rPr>
              <w:t>Framework for ethical cryptographic development</w:t>
            </w:r>
          </w:p>
        </w:tc>
        <w:tc>
          <w:tcPr>
            <w:tcW w:w="1311" w:type="dxa"/>
            <w:tcMar>
              <w:top w:w="150" w:type="dxa"/>
              <w:left w:w="240" w:type="dxa"/>
              <w:bottom w:w="150" w:type="dxa"/>
              <w:right w:w="240" w:type="dxa"/>
            </w:tcMar>
            <w:vAlign w:val="center"/>
            <w:hideMark/>
          </w:tcPr>
          <w:p w14:paraId="1EFEE692" w14:textId="77777777" w:rsidR="000D1804" w:rsidRPr="008C292A" w:rsidRDefault="000D1804" w:rsidP="00EA3B01">
            <w:pPr>
              <w:spacing w:line="375" w:lineRule="atLeast"/>
              <w:rPr>
                <w:rFonts w:eastAsia="Times New Roman"/>
                <w:sz w:val="16"/>
                <w:szCs w:val="16"/>
              </w:rPr>
            </w:pPr>
            <w:r w:rsidRPr="008C292A">
              <w:rPr>
                <w:rFonts w:eastAsia="Times New Roman"/>
                <w:sz w:val="16"/>
                <w:szCs w:val="16"/>
              </w:rPr>
              <w:t>General principles, not PQC-specific</w:t>
            </w:r>
          </w:p>
        </w:tc>
      </w:tr>
      <w:tr w:rsidR="000D1804" w:rsidRPr="008C292A" w14:paraId="5ED3E45E" w14:textId="77777777" w:rsidTr="000D1804">
        <w:tc>
          <w:tcPr>
            <w:tcW w:w="993" w:type="dxa"/>
            <w:tcMar>
              <w:top w:w="150" w:type="dxa"/>
              <w:left w:w="0" w:type="dxa"/>
              <w:bottom w:w="150" w:type="dxa"/>
              <w:right w:w="240" w:type="dxa"/>
            </w:tcMar>
            <w:vAlign w:val="center"/>
            <w:hideMark/>
          </w:tcPr>
          <w:p w14:paraId="3A9E5C59" w14:textId="77777777" w:rsidR="000D1804" w:rsidRPr="008C292A" w:rsidRDefault="000D1804" w:rsidP="00EA3B01">
            <w:pPr>
              <w:spacing w:line="375" w:lineRule="atLeast"/>
              <w:rPr>
                <w:rFonts w:eastAsia="Times New Roman"/>
                <w:sz w:val="16"/>
                <w:szCs w:val="16"/>
              </w:rPr>
            </w:pPr>
            <w:r w:rsidRPr="008C292A">
              <w:rPr>
                <w:rFonts w:eastAsia="Times New Roman"/>
                <w:sz w:val="16"/>
                <w:szCs w:val="16"/>
              </w:rPr>
              <w:t>[17] Campagna &amp; Petcher (2023)</w:t>
            </w:r>
          </w:p>
        </w:tc>
        <w:tc>
          <w:tcPr>
            <w:tcW w:w="1141" w:type="dxa"/>
            <w:tcMar>
              <w:top w:w="150" w:type="dxa"/>
              <w:left w:w="240" w:type="dxa"/>
              <w:bottom w:w="150" w:type="dxa"/>
              <w:right w:w="240" w:type="dxa"/>
            </w:tcMar>
            <w:vAlign w:val="center"/>
            <w:hideMark/>
          </w:tcPr>
          <w:p w14:paraId="68498ED5" w14:textId="77777777" w:rsidR="000D1804" w:rsidRPr="008C292A" w:rsidRDefault="000D1804" w:rsidP="00EA3B01">
            <w:pPr>
              <w:spacing w:line="375" w:lineRule="atLeast"/>
              <w:rPr>
                <w:rFonts w:eastAsia="Times New Roman"/>
                <w:sz w:val="16"/>
                <w:szCs w:val="16"/>
              </w:rPr>
            </w:pPr>
            <w:r w:rsidRPr="008C292A">
              <w:rPr>
                <w:rFonts w:eastAsia="Times New Roman"/>
                <w:sz w:val="16"/>
                <w:szCs w:val="16"/>
              </w:rPr>
              <w:t>Long-term Security</w:t>
            </w:r>
          </w:p>
        </w:tc>
        <w:tc>
          <w:tcPr>
            <w:tcW w:w="1421" w:type="dxa"/>
            <w:tcMar>
              <w:top w:w="150" w:type="dxa"/>
              <w:left w:w="240" w:type="dxa"/>
              <w:bottom w:w="150" w:type="dxa"/>
              <w:right w:w="240" w:type="dxa"/>
            </w:tcMar>
            <w:vAlign w:val="center"/>
            <w:hideMark/>
          </w:tcPr>
          <w:p w14:paraId="68F96CAD" w14:textId="77777777" w:rsidR="000D1804" w:rsidRPr="008C292A" w:rsidRDefault="000D1804" w:rsidP="00EA3B01">
            <w:pPr>
              <w:spacing w:line="375" w:lineRule="atLeast"/>
              <w:rPr>
                <w:rFonts w:eastAsia="Times New Roman"/>
                <w:sz w:val="16"/>
                <w:szCs w:val="16"/>
              </w:rPr>
            </w:pPr>
            <w:r w:rsidRPr="008C292A">
              <w:rPr>
                <w:rFonts w:eastAsia="Times New Roman"/>
                <w:sz w:val="16"/>
                <w:szCs w:val="16"/>
              </w:rPr>
              <w:t>Forward-secure cryptographic protocols</w:t>
            </w:r>
          </w:p>
        </w:tc>
        <w:tc>
          <w:tcPr>
            <w:tcW w:w="1311" w:type="dxa"/>
            <w:tcMar>
              <w:top w:w="150" w:type="dxa"/>
              <w:left w:w="240" w:type="dxa"/>
              <w:bottom w:w="150" w:type="dxa"/>
              <w:right w:w="240" w:type="dxa"/>
            </w:tcMar>
            <w:vAlign w:val="center"/>
            <w:hideMark/>
          </w:tcPr>
          <w:p w14:paraId="43CB06E2" w14:textId="77777777" w:rsidR="000D1804" w:rsidRPr="008C292A" w:rsidRDefault="000D1804" w:rsidP="00EA3B01">
            <w:pPr>
              <w:spacing w:line="375" w:lineRule="atLeast"/>
              <w:rPr>
                <w:rFonts w:eastAsia="Times New Roman"/>
                <w:sz w:val="16"/>
                <w:szCs w:val="16"/>
              </w:rPr>
            </w:pPr>
            <w:r w:rsidRPr="008C292A">
              <w:rPr>
                <w:rFonts w:eastAsia="Times New Roman"/>
                <w:sz w:val="16"/>
                <w:szCs w:val="16"/>
              </w:rPr>
              <w:t>Narrow technical focus</w:t>
            </w:r>
          </w:p>
        </w:tc>
      </w:tr>
      <w:tr w:rsidR="000D1804" w:rsidRPr="008C292A" w14:paraId="5241CC61" w14:textId="77777777" w:rsidTr="000D1804">
        <w:tc>
          <w:tcPr>
            <w:tcW w:w="993" w:type="dxa"/>
            <w:tcMar>
              <w:top w:w="150" w:type="dxa"/>
              <w:left w:w="0" w:type="dxa"/>
              <w:bottom w:w="150" w:type="dxa"/>
              <w:right w:w="240" w:type="dxa"/>
            </w:tcMar>
            <w:vAlign w:val="center"/>
            <w:hideMark/>
          </w:tcPr>
          <w:p w14:paraId="01ECC2F1" w14:textId="77777777" w:rsidR="000D1804" w:rsidRPr="008C292A" w:rsidRDefault="000D1804" w:rsidP="00EA3B01">
            <w:pPr>
              <w:spacing w:line="375" w:lineRule="atLeast"/>
              <w:rPr>
                <w:rFonts w:eastAsia="Times New Roman"/>
                <w:sz w:val="16"/>
                <w:szCs w:val="16"/>
              </w:rPr>
            </w:pPr>
            <w:r w:rsidRPr="008C292A">
              <w:rPr>
                <w:rFonts w:eastAsia="Times New Roman"/>
                <w:sz w:val="16"/>
                <w:szCs w:val="16"/>
              </w:rPr>
              <w:t>[18] Green &amp; Smith (2023)</w:t>
            </w:r>
          </w:p>
        </w:tc>
        <w:tc>
          <w:tcPr>
            <w:tcW w:w="1141" w:type="dxa"/>
            <w:tcMar>
              <w:top w:w="150" w:type="dxa"/>
              <w:left w:w="240" w:type="dxa"/>
              <w:bottom w:w="150" w:type="dxa"/>
              <w:right w:w="240" w:type="dxa"/>
            </w:tcMar>
            <w:vAlign w:val="center"/>
            <w:hideMark/>
          </w:tcPr>
          <w:p w14:paraId="72FF5464" w14:textId="77777777" w:rsidR="000D1804" w:rsidRPr="008C292A" w:rsidRDefault="000D1804" w:rsidP="00EA3B01">
            <w:pPr>
              <w:spacing w:line="375" w:lineRule="atLeast"/>
              <w:rPr>
                <w:rFonts w:eastAsia="Times New Roman"/>
                <w:sz w:val="16"/>
                <w:szCs w:val="16"/>
              </w:rPr>
            </w:pPr>
            <w:r w:rsidRPr="008C292A">
              <w:rPr>
                <w:rFonts w:eastAsia="Times New Roman"/>
                <w:sz w:val="16"/>
                <w:szCs w:val="16"/>
              </w:rPr>
              <w:t>PQC in Blockchain</w:t>
            </w:r>
          </w:p>
        </w:tc>
        <w:tc>
          <w:tcPr>
            <w:tcW w:w="1421" w:type="dxa"/>
            <w:tcMar>
              <w:top w:w="150" w:type="dxa"/>
              <w:left w:w="240" w:type="dxa"/>
              <w:bottom w:w="150" w:type="dxa"/>
              <w:right w:w="240" w:type="dxa"/>
            </w:tcMar>
            <w:vAlign w:val="center"/>
            <w:hideMark/>
          </w:tcPr>
          <w:p w14:paraId="48556D0D" w14:textId="77777777" w:rsidR="000D1804" w:rsidRPr="008C292A" w:rsidRDefault="000D1804" w:rsidP="00EA3B01">
            <w:pPr>
              <w:spacing w:line="375" w:lineRule="atLeast"/>
              <w:rPr>
                <w:rFonts w:eastAsia="Times New Roman"/>
                <w:sz w:val="16"/>
                <w:szCs w:val="16"/>
              </w:rPr>
            </w:pPr>
            <w:r w:rsidRPr="008C292A">
              <w:rPr>
                <w:rFonts w:eastAsia="Times New Roman"/>
                <w:sz w:val="16"/>
                <w:szCs w:val="16"/>
              </w:rPr>
              <w:t>Quantum-resistant distributed ledger technologies</w:t>
            </w:r>
          </w:p>
        </w:tc>
        <w:tc>
          <w:tcPr>
            <w:tcW w:w="1311" w:type="dxa"/>
            <w:tcMar>
              <w:top w:w="150" w:type="dxa"/>
              <w:left w:w="240" w:type="dxa"/>
              <w:bottom w:w="150" w:type="dxa"/>
              <w:right w:w="240" w:type="dxa"/>
            </w:tcMar>
            <w:vAlign w:val="center"/>
            <w:hideMark/>
          </w:tcPr>
          <w:p w14:paraId="10456BB6" w14:textId="77777777" w:rsidR="000D1804" w:rsidRPr="008C292A" w:rsidRDefault="000D1804" w:rsidP="00EA3B01">
            <w:pPr>
              <w:spacing w:line="375" w:lineRule="atLeast"/>
              <w:rPr>
                <w:rFonts w:eastAsia="Times New Roman"/>
                <w:sz w:val="16"/>
                <w:szCs w:val="16"/>
              </w:rPr>
            </w:pPr>
            <w:r w:rsidRPr="008C292A">
              <w:rPr>
                <w:rFonts w:eastAsia="Times New Roman"/>
                <w:sz w:val="16"/>
                <w:szCs w:val="16"/>
              </w:rPr>
              <w:t>Niche application focus</w:t>
            </w:r>
          </w:p>
        </w:tc>
      </w:tr>
      <w:tr w:rsidR="000D1804" w:rsidRPr="008C292A" w14:paraId="15947FFA" w14:textId="77777777" w:rsidTr="000D1804">
        <w:tc>
          <w:tcPr>
            <w:tcW w:w="993" w:type="dxa"/>
            <w:tcMar>
              <w:top w:w="150" w:type="dxa"/>
              <w:left w:w="0" w:type="dxa"/>
              <w:bottom w:w="150" w:type="dxa"/>
              <w:right w:w="240" w:type="dxa"/>
            </w:tcMar>
            <w:vAlign w:val="center"/>
            <w:hideMark/>
          </w:tcPr>
          <w:p w14:paraId="414A85F9" w14:textId="77777777" w:rsidR="000D1804" w:rsidRPr="008C292A" w:rsidRDefault="000D1804" w:rsidP="00EA3B01">
            <w:pPr>
              <w:spacing w:line="375" w:lineRule="atLeast"/>
              <w:rPr>
                <w:rFonts w:eastAsia="Times New Roman"/>
                <w:sz w:val="16"/>
                <w:szCs w:val="16"/>
              </w:rPr>
            </w:pPr>
            <w:r w:rsidRPr="008C292A">
              <w:rPr>
                <w:rFonts w:eastAsia="Times New Roman"/>
                <w:sz w:val="16"/>
                <w:szCs w:val="16"/>
              </w:rPr>
              <w:t>[19] National Cyber Security Centre (2023)</w:t>
            </w:r>
          </w:p>
        </w:tc>
        <w:tc>
          <w:tcPr>
            <w:tcW w:w="1141" w:type="dxa"/>
            <w:tcMar>
              <w:top w:w="150" w:type="dxa"/>
              <w:left w:w="240" w:type="dxa"/>
              <w:bottom w:w="150" w:type="dxa"/>
              <w:right w:w="240" w:type="dxa"/>
            </w:tcMar>
            <w:vAlign w:val="center"/>
            <w:hideMark/>
          </w:tcPr>
          <w:p w14:paraId="6302680A" w14:textId="77777777" w:rsidR="000D1804" w:rsidRPr="008C292A" w:rsidRDefault="000D1804" w:rsidP="00EA3B01">
            <w:pPr>
              <w:spacing w:line="375" w:lineRule="atLeast"/>
              <w:rPr>
                <w:rFonts w:eastAsia="Times New Roman"/>
                <w:sz w:val="16"/>
                <w:szCs w:val="16"/>
              </w:rPr>
            </w:pPr>
            <w:r w:rsidRPr="008C292A">
              <w:rPr>
                <w:rFonts w:eastAsia="Times New Roman"/>
                <w:sz w:val="16"/>
                <w:szCs w:val="16"/>
              </w:rPr>
              <w:t>PQC Migration</w:t>
            </w:r>
          </w:p>
        </w:tc>
        <w:tc>
          <w:tcPr>
            <w:tcW w:w="1421" w:type="dxa"/>
            <w:tcMar>
              <w:top w:w="150" w:type="dxa"/>
              <w:left w:w="240" w:type="dxa"/>
              <w:bottom w:w="150" w:type="dxa"/>
              <w:right w:w="240" w:type="dxa"/>
            </w:tcMar>
            <w:vAlign w:val="center"/>
            <w:hideMark/>
          </w:tcPr>
          <w:p w14:paraId="6E5E2584" w14:textId="77777777" w:rsidR="000D1804" w:rsidRPr="008C292A" w:rsidRDefault="000D1804" w:rsidP="00EA3B01">
            <w:pPr>
              <w:spacing w:line="375" w:lineRule="atLeast"/>
              <w:rPr>
                <w:rFonts w:eastAsia="Times New Roman"/>
                <w:sz w:val="16"/>
                <w:szCs w:val="16"/>
              </w:rPr>
            </w:pPr>
            <w:r w:rsidRPr="008C292A">
              <w:rPr>
                <w:rFonts w:eastAsia="Times New Roman"/>
                <w:sz w:val="16"/>
                <w:szCs w:val="16"/>
              </w:rPr>
              <w:t>Government migration guidelines</w:t>
            </w:r>
          </w:p>
        </w:tc>
        <w:tc>
          <w:tcPr>
            <w:tcW w:w="1311" w:type="dxa"/>
            <w:tcMar>
              <w:top w:w="150" w:type="dxa"/>
              <w:left w:w="240" w:type="dxa"/>
              <w:bottom w:w="150" w:type="dxa"/>
              <w:right w:w="240" w:type="dxa"/>
            </w:tcMar>
            <w:vAlign w:val="center"/>
            <w:hideMark/>
          </w:tcPr>
          <w:p w14:paraId="2CD229A6" w14:textId="77777777" w:rsidR="000D1804" w:rsidRPr="008C292A" w:rsidRDefault="000D1804" w:rsidP="00EA3B01">
            <w:pPr>
              <w:spacing w:line="375" w:lineRule="atLeast"/>
              <w:rPr>
                <w:rFonts w:eastAsia="Times New Roman"/>
                <w:sz w:val="16"/>
                <w:szCs w:val="16"/>
              </w:rPr>
            </w:pPr>
            <w:r w:rsidRPr="008C292A">
              <w:rPr>
                <w:rFonts w:eastAsia="Times New Roman"/>
                <w:sz w:val="16"/>
                <w:szCs w:val="16"/>
              </w:rPr>
              <w:t>UK-centric, limited global view</w:t>
            </w:r>
          </w:p>
        </w:tc>
      </w:tr>
      <w:tr w:rsidR="000D1804" w:rsidRPr="008C292A" w14:paraId="55122712" w14:textId="77777777" w:rsidTr="000D1804">
        <w:tc>
          <w:tcPr>
            <w:tcW w:w="993" w:type="dxa"/>
            <w:tcMar>
              <w:top w:w="150" w:type="dxa"/>
              <w:left w:w="0" w:type="dxa"/>
              <w:bottom w:w="150" w:type="dxa"/>
              <w:right w:w="240" w:type="dxa"/>
            </w:tcMar>
            <w:vAlign w:val="center"/>
            <w:hideMark/>
          </w:tcPr>
          <w:p w14:paraId="7CFE55E9" w14:textId="77777777" w:rsidR="000D1804" w:rsidRPr="008C292A" w:rsidRDefault="000D1804" w:rsidP="00EA3B01">
            <w:pPr>
              <w:spacing w:line="375" w:lineRule="atLeast"/>
              <w:rPr>
                <w:rFonts w:eastAsia="Times New Roman"/>
                <w:sz w:val="16"/>
                <w:szCs w:val="16"/>
              </w:rPr>
            </w:pPr>
            <w:r w:rsidRPr="008C292A">
              <w:rPr>
                <w:rFonts w:eastAsia="Times New Roman"/>
                <w:sz w:val="16"/>
                <w:szCs w:val="16"/>
              </w:rPr>
              <w:t>[20] ENISA (2023)</w:t>
            </w:r>
          </w:p>
        </w:tc>
        <w:tc>
          <w:tcPr>
            <w:tcW w:w="1141" w:type="dxa"/>
            <w:tcMar>
              <w:top w:w="150" w:type="dxa"/>
              <w:left w:w="240" w:type="dxa"/>
              <w:bottom w:w="150" w:type="dxa"/>
              <w:right w:w="240" w:type="dxa"/>
            </w:tcMar>
            <w:vAlign w:val="center"/>
            <w:hideMark/>
          </w:tcPr>
          <w:p w14:paraId="4432BF69" w14:textId="77777777" w:rsidR="000D1804" w:rsidRPr="008C292A" w:rsidRDefault="000D1804" w:rsidP="00EA3B01">
            <w:pPr>
              <w:spacing w:line="375" w:lineRule="atLeast"/>
              <w:rPr>
                <w:rFonts w:eastAsia="Times New Roman"/>
                <w:sz w:val="16"/>
                <w:szCs w:val="16"/>
              </w:rPr>
            </w:pPr>
            <w:r w:rsidRPr="008C292A">
              <w:rPr>
                <w:rFonts w:eastAsia="Times New Roman"/>
                <w:sz w:val="16"/>
                <w:szCs w:val="16"/>
              </w:rPr>
              <w:t>Quantum Security</w:t>
            </w:r>
          </w:p>
        </w:tc>
        <w:tc>
          <w:tcPr>
            <w:tcW w:w="1421" w:type="dxa"/>
            <w:tcMar>
              <w:top w:w="150" w:type="dxa"/>
              <w:left w:w="240" w:type="dxa"/>
              <w:bottom w:w="150" w:type="dxa"/>
              <w:right w:w="240" w:type="dxa"/>
            </w:tcMar>
            <w:vAlign w:val="center"/>
            <w:hideMark/>
          </w:tcPr>
          <w:p w14:paraId="69E5EB0B" w14:textId="77777777" w:rsidR="000D1804" w:rsidRPr="008C292A" w:rsidRDefault="000D1804" w:rsidP="00EA3B01">
            <w:pPr>
              <w:spacing w:line="375" w:lineRule="atLeast"/>
              <w:rPr>
                <w:rFonts w:eastAsia="Times New Roman"/>
                <w:sz w:val="16"/>
                <w:szCs w:val="16"/>
              </w:rPr>
            </w:pPr>
            <w:r w:rsidRPr="008C292A">
              <w:rPr>
                <w:rFonts w:eastAsia="Times New Roman"/>
                <w:sz w:val="16"/>
                <w:szCs w:val="16"/>
              </w:rPr>
              <w:t>European quantum security recommendations</w:t>
            </w:r>
          </w:p>
        </w:tc>
        <w:tc>
          <w:tcPr>
            <w:tcW w:w="1311" w:type="dxa"/>
            <w:tcMar>
              <w:top w:w="150" w:type="dxa"/>
              <w:left w:w="240" w:type="dxa"/>
              <w:bottom w:w="150" w:type="dxa"/>
              <w:right w:w="240" w:type="dxa"/>
            </w:tcMar>
            <w:vAlign w:val="center"/>
            <w:hideMark/>
          </w:tcPr>
          <w:p w14:paraId="34770546" w14:textId="77777777" w:rsidR="000D1804" w:rsidRPr="008C292A" w:rsidRDefault="000D1804" w:rsidP="00EA3B01">
            <w:pPr>
              <w:spacing w:line="375" w:lineRule="atLeast"/>
              <w:rPr>
                <w:rFonts w:eastAsia="Times New Roman"/>
                <w:sz w:val="16"/>
                <w:szCs w:val="16"/>
              </w:rPr>
            </w:pPr>
            <w:r w:rsidRPr="008C292A">
              <w:rPr>
                <w:rFonts w:eastAsia="Times New Roman"/>
                <w:sz w:val="16"/>
                <w:szCs w:val="16"/>
              </w:rPr>
              <w:t>Regulatory focus, limited technical depth</w:t>
            </w:r>
          </w:p>
        </w:tc>
      </w:tr>
      <w:tr w:rsidR="000D1804" w:rsidRPr="008C292A" w14:paraId="523FBA61" w14:textId="77777777" w:rsidTr="000D1804">
        <w:tc>
          <w:tcPr>
            <w:tcW w:w="993" w:type="dxa"/>
            <w:tcMar>
              <w:top w:w="150" w:type="dxa"/>
              <w:left w:w="0" w:type="dxa"/>
              <w:bottom w:w="150" w:type="dxa"/>
              <w:right w:w="240" w:type="dxa"/>
            </w:tcMar>
            <w:vAlign w:val="center"/>
            <w:hideMark/>
          </w:tcPr>
          <w:p w14:paraId="3471B2CF" w14:textId="77777777" w:rsidR="000D1804" w:rsidRPr="008C292A" w:rsidRDefault="000D1804" w:rsidP="00EA3B01">
            <w:pPr>
              <w:spacing w:line="375" w:lineRule="atLeast"/>
              <w:rPr>
                <w:rFonts w:eastAsia="Times New Roman"/>
                <w:sz w:val="16"/>
                <w:szCs w:val="16"/>
              </w:rPr>
            </w:pPr>
            <w:r w:rsidRPr="008C292A">
              <w:rPr>
                <w:rFonts w:eastAsia="Times New Roman"/>
                <w:sz w:val="16"/>
                <w:szCs w:val="16"/>
              </w:rPr>
              <w:t>[21] IEEE P1363 (2023)</w:t>
            </w:r>
          </w:p>
        </w:tc>
        <w:tc>
          <w:tcPr>
            <w:tcW w:w="1141" w:type="dxa"/>
            <w:tcMar>
              <w:top w:w="150" w:type="dxa"/>
              <w:left w:w="240" w:type="dxa"/>
              <w:bottom w:w="150" w:type="dxa"/>
              <w:right w:w="240" w:type="dxa"/>
            </w:tcMar>
            <w:vAlign w:val="center"/>
            <w:hideMark/>
          </w:tcPr>
          <w:p w14:paraId="08E57DCD" w14:textId="77777777" w:rsidR="000D1804" w:rsidRPr="008C292A" w:rsidRDefault="000D1804" w:rsidP="00EA3B01">
            <w:pPr>
              <w:spacing w:line="375" w:lineRule="atLeast"/>
              <w:rPr>
                <w:rFonts w:eastAsia="Times New Roman"/>
                <w:sz w:val="16"/>
                <w:szCs w:val="16"/>
              </w:rPr>
            </w:pPr>
            <w:r w:rsidRPr="008C292A">
              <w:rPr>
                <w:rFonts w:eastAsia="Times New Roman"/>
                <w:sz w:val="16"/>
                <w:szCs w:val="16"/>
              </w:rPr>
              <w:t>Standards Development</w:t>
            </w:r>
          </w:p>
        </w:tc>
        <w:tc>
          <w:tcPr>
            <w:tcW w:w="1421" w:type="dxa"/>
            <w:tcMar>
              <w:top w:w="150" w:type="dxa"/>
              <w:left w:w="240" w:type="dxa"/>
              <w:bottom w:w="150" w:type="dxa"/>
              <w:right w:w="240" w:type="dxa"/>
            </w:tcMar>
            <w:vAlign w:val="center"/>
            <w:hideMark/>
          </w:tcPr>
          <w:p w14:paraId="6717E9B4" w14:textId="77777777" w:rsidR="000D1804" w:rsidRPr="008C292A" w:rsidRDefault="000D1804" w:rsidP="00EA3B01">
            <w:pPr>
              <w:spacing w:line="375" w:lineRule="atLeast"/>
              <w:rPr>
                <w:rFonts w:eastAsia="Times New Roman"/>
                <w:sz w:val="16"/>
                <w:szCs w:val="16"/>
              </w:rPr>
            </w:pPr>
            <w:r w:rsidRPr="008C292A">
              <w:rPr>
                <w:rFonts w:eastAsia="Times New Roman"/>
                <w:sz w:val="16"/>
                <w:szCs w:val="16"/>
              </w:rPr>
              <w:t>Additional PQC standardizations</w:t>
            </w:r>
          </w:p>
        </w:tc>
        <w:tc>
          <w:tcPr>
            <w:tcW w:w="1311" w:type="dxa"/>
            <w:tcMar>
              <w:top w:w="150" w:type="dxa"/>
              <w:left w:w="240" w:type="dxa"/>
              <w:bottom w:w="150" w:type="dxa"/>
              <w:right w:w="240" w:type="dxa"/>
            </w:tcMar>
            <w:vAlign w:val="center"/>
            <w:hideMark/>
          </w:tcPr>
          <w:p w14:paraId="1B6D7C21" w14:textId="77777777" w:rsidR="000D1804" w:rsidRPr="008C292A" w:rsidRDefault="000D1804" w:rsidP="00EA3B01">
            <w:pPr>
              <w:spacing w:line="375" w:lineRule="atLeast"/>
              <w:rPr>
                <w:rFonts w:eastAsia="Times New Roman"/>
                <w:sz w:val="16"/>
                <w:szCs w:val="16"/>
              </w:rPr>
            </w:pPr>
            <w:r w:rsidRPr="008C292A">
              <w:rPr>
                <w:rFonts w:eastAsia="Times New Roman"/>
                <w:sz w:val="16"/>
                <w:szCs w:val="16"/>
              </w:rPr>
              <w:t>Competing standards landscape</w:t>
            </w:r>
          </w:p>
        </w:tc>
      </w:tr>
      <w:tr w:rsidR="000D1804" w:rsidRPr="008C292A" w14:paraId="46149DE9" w14:textId="77777777" w:rsidTr="000D1804">
        <w:tc>
          <w:tcPr>
            <w:tcW w:w="993" w:type="dxa"/>
            <w:tcMar>
              <w:top w:w="150" w:type="dxa"/>
              <w:left w:w="0" w:type="dxa"/>
              <w:bottom w:w="150" w:type="dxa"/>
              <w:right w:w="240" w:type="dxa"/>
            </w:tcMar>
            <w:vAlign w:val="center"/>
            <w:hideMark/>
          </w:tcPr>
          <w:p w14:paraId="71DE0483" w14:textId="77777777" w:rsidR="000D1804" w:rsidRPr="008C292A" w:rsidRDefault="000D1804" w:rsidP="00EA3B01">
            <w:pPr>
              <w:spacing w:line="375" w:lineRule="atLeast"/>
              <w:rPr>
                <w:rFonts w:eastAsia="Times New Roman"/>
                <w:sz w:val="16"/>
                <w:szCs w:val="16"/>
              </w:rPr>
            </w:pPr>
            <w:r w:rsidRPr="008C292A">
              <w:rPr>
                <w:rFonts w:eastAsia="Times New Roman"/>
                <w:sz w:val="16"/>
                <w:szCs w:val="16"/>
              </w:rPr>
              <w:t xml:space="preserve">[22] </w:t>
            </w:r>
            <w:proofErr w:type="spellStart"/>
            <w:r w:rsidRPr="008C292A">
              <w:rPr>
                <w:rFonts w:eastAsia="Times New Roman"/>
                <w:sz w:val="16"/>
                <w:szCs w:val="16"/>
              </w:rPr>
              <w:t>Koswatta</w:t>
            </w:r>
            <w:proofErr w:type="spellEnd"/>
            <w:r w:rsidRPr="008C292A">
              <w:rPr>
                <w:rFonts w:eastAsia="Times New Roman"/>
                <w:sz w:val="16"/>
                <w:szCs w:val="16"/>
              </w:rPr>
              <w:t xml:space="preserve"> et al. (2023)</w:t>
            </w:r>
          </w:p>
        </w:tc>
        <w:tc>
          <w:tcPr>
            <w:tcW w:w="1141" w:type="dxa"/>
            <w:tcMar>
              <w:top w:w="150" w:type="dxa"/>
              <w:left w:w="240" w:type="dxa"/>
              <w:bottom w:w="150" w:type="dxa"/>
              <w:right w:w="240" w:type="dxa"/>
            </w:tcMar>
            <w:vAlign w:val="center"/>
            <w:hideMark/>
          </w:tcPr>
          <w:p w14:paraId="6D5FF74B" w14:textId="77777777" w:rsidR="000D1804" w:rsidRPr="008C292A" w:rsidRDefault="000D1804" w:rsidP="00EA3B01">
            <w:pPr>
              <w:spacing w:line="375" w:lineRule="atLeast"/>
              <w:rPr>
                <w:rFonts w:eastAsia="Times New Roman"/>
                <w:sz w:val="16"/>
                <w:szCs w:val="16"/>
              </w:rPr>
            </w:pPr>
            <w:r w:rsidRPr="008C292A">
              <w:rPr>
                <w:rFonts w:eastAsia="Times New Roman"/>
                <w:sz w:val="16"/>
                <w:szCs w:val="16"/>
              </w:rPr>
              <w:t>PQC in IoT</w:t>
            </w:r>
          </w:p>
        </w:tc>
        <w:tc>
          <w:tcPr>
            <w:tcW w:w="1421" w:type="dxa"/>
            <w:tcMar>
              <w:top w:w="150" w:type="dxa"/>
              <w:left w:w="240" w:type="dxa"/>
              <w:bottom w:w="150" w:type="dxa"/>
              <w:right w:w="240" w:type="dxa"/>
            </w:tcMar>
            <w:vAlign w:val="center"/>
            <w:hideMark/>
          </w:tcPr>
          <w:p w14:paraId="159EF30E" w14:textId="77777777" w:rsidR="000D1804" w:rsidRPr="008C292A" w:rsidRDefault="000D1804" w:rsidP="00EA3B01">
            <w:pPr>
              <w:spacing w:line="375" w:lineRule="atLeast"/>
              <w:rPr>
                <w:rFonts w:eastAsia="Times New Roman"/>
                <w:sz w:val="16"/>
                <w:szCs w:val="16"/>
              </w:rPr>
            </w:pPr>
            <w:r w:rsidRPr="008C292A">
              <w:rPr>
                <w:rFonts w:eastAsia="Times New Roman"/>
                <w:sz w:val="16"/>
                <w:szCs w:val="16"/>
              </w:rPr>
              <w:t>Resource-constrained implementations</w:t>
            </w:r>
          </w:p>
        </w:tc>
        <w:tc>
          <w:tcPr>
            <w:tcW w:w="1311" w:type="dxa"/>
            <w:tcMar>
              <w:top w:w="150" w:type="dxa"/>
              <w:left w:w="240" w:type="dxa"/>
              <w:bottom w:w="150" w:type="dxa"/>
              <w:right w:w="240" w:type="dxa"/>
            </w:tcMar>
            <w:vAlign w:val="center"/>
            <w:hideMark/>
          </w:tcPr>
          <w:p w14:paraId="0DDF2ED7" w14:textId="77777777" w:rsidR="000D1804" w:rsidRPr="008C292A" w:rsidRDefault="000D1804" w:rsidP="00EA3B01">
            <w:pPr>
              <w:spacing w:line="375" w:lineRule="atLeast"/>
              <w:rPr>
                <w:rFonts w:eastAsia="Times New Roman"/>
                <w:sz w:val="16"/>
                <w:szCs w:val="16"/>
              </w:rPr>
            </w:pPr>
            <w:r w:rsidRPr="008C292A">
              <w:rPr>
                <w:rFonts w:eastAsia="Times New Roman"/>
                <w:sz w:val="16"/>
                <w:szCs w:val="16"/>
              </w:rPr>
              <w:t>Narrow application scope</w:t>
            </w:r>
          </w:p>
        </w:tc>
      </w:tr>
      <w:tr w:rsidR="000D1804" w:rsidRPr="008C292A" w14:paraId="31D50967" w14:textId="77777777" w:rsidTr="000D1804">
        <w:tc>
          <w:tcPr>
            <w:tcW w:w="993" w:type="dxa"/>
            <w:tcMar>
              <w:top w:w="150" w:type="dxa"/>
              <w:left w:w="0" w:type="dxa"/>
              <w:bottom w:w="150" w:type="dxa"/>
              <w:right w:w="240" w:type="dxa"/>
            </w:tcMar>
            <w:vAlign w:val="center"/>
            <w:hideMark/>
          </w:tcPr>
          <w:p w14:paraId="1FFAC924" w14:textId="77777777" w:rsidR="000D1804" w:rsidRPr="008C292A" w:rsidRDefault="000D1804" w:rsidP="00EA3B01">
            <w:pPr>
              <w:spacing w:line="375" w:lineRule="atLeast"/>
              <w:rPr>
                <w:rFonts w:eastAsia="Times New Roman"/>
                <w:sz w:val="16"/>
                <w:szCs w:val="16"/>
              </w:rPr>
            </w:pPr>
            <w:r w:rsidRPr="008C292A">
              <w:rPr>
                <w:rFonts w:eastAsia="Times New Roman"/>
                <w:sz w:val="16"/>
                <w:szCs w:val="16"/>
              </w:rPr>
              <w:t>[23] Schwabe et al. (2023)</w:t>
            </w:r>
          </w:p>
        </w:tc>
        <w:tc>
          <w:tcPr>
            <w:tcW w:w="1141" w:type="dxa"/>
            <w:tcMar>
              <w:top w:w="150" w:type="dxa"/>
              <w:left w:w="240" w:type="dxa"/>
              <w:bottom w:w="150" w:type="dxa"/>
              <w:right w:w="240" w:type="dxa"/>
            </w:tcMar>
            <w:vAlign w:val="center"/>
            <w:hideMark/>
          </w:tcPr>
          <w:p w14:paraId="73032738" w14:textId="77777777" w:rsidR="000D1804" w:rsidRPr="008C292A" w:rsidRDefault="000D1804" w:rsidP="00EA3B01">
            <w:pPr>
              <w:spacing w:line="375" w:lineRule="atLeast"/>
              <w:rPr>
                <w:rFonts w:eastAsia="Times New Roman"/>
                <w:sz w:val="16"/>
                <w:szCs w:val="16"/>
              </w:rPr>
            </w:pPr>
            <w:r w:rsidRPr="008C292A">
              <w:rPr>
                <w:rFonts w:eastAsia="Times New Roman"/>
                <w:sz w:val="16"/>
                <w:szCs w:val="16"/>
              </w:rPr>
              <w:t>PQC Optimization</w:t>
            </w:r>
          </w:p>
        </w:tc>
        <w:tc>
          <w:tcPr>
            <w:tcW w:w="1421" w:type="dxa"/>
            <w:tcMar>
              <w:top w:w="150" w:type="dxa"/>
              <w:left w:w="240" w:type="dxa"/>
              <w:bottom w:w="150" w:type="dxa"/>
              <w:right w:w="240" w:type="dxa"/>
            </w:tcMar>
            <w:vAlign w:val="center"/>
            <w:hideMark/>
          </w:tcPr>
          <w:p w14:paraId="5B047193" w14:textId="77777777" w:rsidR="000D1804" w:rsidRPr="008C292A" w:rsidRDefault="000D1804" w:rsidP="00EA3B01">
            <w:pPr>
              <w:spacing w:line="375" w:lineRule="atLeast"/>
              <w:rPr>
                <w:rFonts w:eastAsia="Times New Roman"/>
                <w:sz w:val="16"/>
                <w:szCs w:val="16"/>
              </w:rPr>
            </w:pPr>
            <w:r w:rsidRPr="008C292A">
              <w:rPr>
                <w:rFonts w:eastAsia="Times New Roman"/>
                <w:sz w:val="16"/>
                <w:szCs w:val="16"/>
              </w:rPr>
              <w:t>Performance improvements for selected algorithms</w:t>
            </w:r>
          </w:p>
        </w:tc>
        <w:tc>
          <w:tcPr>
            <w:tcW w:w="1311" w:type="dxa"/>
            <w:tcMar>
              <w:top w:w="150" w:type="dxa"/>
              <w:left w:w="240" w:type="dxa"/>
              <w:bottom w:w="150" w:type="dxa"/>
              <w:right w:w="240" w:type="dxa"/>
            </w:tcMar>
            <w:vAlign w:val="center"/>
            <w:hideMark/>
          </w:tcPr>
          <w:p w14:paraId="5485F356" w14:textId="77777777" w:rsidR="000D1804" w:rsidRPr="008C292A" w:rsidRDefault="000D1804" w:rsidP="00EA3B01">
            <w:pPr>
              <w:spacing w:line="375" w:lineRule="atLeast"/>
              <w:rPr>
                <w:rFonts w:eastAsia="Times New Roman"/>
                <w:sz w:val="16"/>
                <w:szCs w:val="16"/>
              </w:rPr>
            </w:pPr>
            <w:r w:rsidRPr="008C292A">
              <w:rPr>
                <w:rFonts w:eastAsia="Times New Roman"/>
                <w:sz w:val="16"/>
                <w:szCs w:val="16"/>
              </w:rPr>
              <w:t>Pure technical optimization</w:t>
            </w:r>
          </w:p>
        </w:tc>
      </w:tr>
      <w:tr w:rsidR="000D1804" w:rsidRPr="008C292A" w14:paraId="1E32B6F5" w14:textId="77777777" w:rsidTr="009C464D">
        <w:trPr>
          <w:trHeight w:val="1775"/>
        </w:trPr>
        <w:tc>
          <w:tcPr>
            <w:tcW w:w="993" w:type="dxa"/>
            <w:tcMar>
              <w:top w:w="150" w:type="dxa"/>
              <w:left w:w="0" w:type="dxa"/>
              <w:bottom w:w="150" w:type="dxa"/>
              <w:right w:w="240" w:type="dxa"/>
            </w:tcMar>
            <w:vAlign w:val="center"/>
            <w:hideMark/>
          </w:tcPr>
          <w:p w14:paraId="54D6821E" w14:textId="77777777" w:rsidR="000D1804" w:rsidRPr="008C292A" w:rsidRDefault="000D1804" w:rsidP="00EA3B01">
            <w:pPr>
              <w:spacing w:line="375" w:lineRule="atLeast"/>
              <w:rPr>
                <w:rFonts w:eastAsia="Times New Roman"/>
                <w:sz w:val="16"/>
                <w:szCs w:val="16"/>
              </w:rPr>
            </w:pPr>
            <w:r w:rsidRPr="008C292A">
              <w:rPr>
                <w:rFonts w:eastAsia="Times New Roman"/>
                <w:sz w:val="16"/>
                <w:szCs w:val="16"/>
              </w:rPr>
              <w:lastRenderedPageBreak/>
              <w:t>[24] Apon et al. (2023)</w:t>
            </w:r>
          </w:p>
        </w:tc>
        <w:tc>
          <w:tcPr>
            <w:tcW w:w="1141" w:type="dxa"/>
            <w:tcMar>
              <w:top w:w="150" w:type="dxa"/>
              <w:left w:w="240" w:type="dxa"/>
              <w:bottom w:w="150" w:type="dxa"/>
              <w:right w:w="240" w:type="dxa"/>
            </w:tcMar>
            <w:vAlign w:val="center"/>
            <w:hideMark/>
          </w:tcPr>
          <w:p w14:paraId="444AA099" w14:textId="77777777" w:rsidR="000D1804" w:rsidRPr="008C292A" w:rsidRDefault="000D1804" w:rsidP="00EA3B01">
            <w:pPr>
              <w:spacing w:line="375" w:lineRule="atLeast"/>
              <w:rPr>
                <w:rFonts w:eastAsia="Times New Roman"/>
                <w:sz w:val="16"/>
                <w:szCs w:val="16"/>
              </w:rPr>
            </w:pPr>
            <w:r w:rsidRPr="008C292A">
              <w:rPr>
                <w:rFonts w:eastAsia="Times New Roman"/>
                <w:sz w:val="16"/>
                <w:szCs w:val="16"/>
              </w:rPr>
              <w:t>Security Proofs</w:t>
            </w:r>
          </w:p>
        </w:tc>
        <w:tc>
          <w:tcPr>
            <w:tcW w:w="1421" w:type="dxa"/>
            <w:tcMar>
              <w:top w:w="150" w:type="dxa"/>
              <w:left w:w="240" w:type="dxa"/>
              <w:bottom w:w="150" w:type="dxa"/>
              <w:right w:w="240" w:type="dxa"/>
            </w:tcMar>
            <w:vAlign w:val="center"/>
            <w:hideMark/>
          </w:tcPr>
          <w:p w14:paraId="7DFFF667" w14:textId="77777777" w:rsidR="000D1804" w:rsidRPr="008C292A" w:rsidRDefault="000D1804" w:rsidP="00EA3B01">
            <w:pPr>
              <w:spacing w:line="375" w:lineRule="atLeast"/>
              <w:rPr>
                <w:rFonts w:eastAsia="Times New Roman"/>
                <w:sz w:val="16"/>
                <w:szCs w:val="16"/>
              </w:rPr>
            </w:pPr>
            <w:r w:rsidRPr="008C292A">
              <w:rPr>
                <w:rFonts w:eastAsia="Times New Roman"/>
                <w:sz w:val="16"/>
                <w:szCs w:val="16"/>
              </w:rPr>
              <w:t>Formal verification of PQC algorithms</w:t>
            </w:r>
          </w:p>
        </w:tc>
        <w:tc>
          <w:tcPr>
            <w:tcW w:w="1311" w:type="dxa"/>
            <w:tcMar>
              <w:top w:w="150" w:type="dxa"/>
              <w:left w:w="240" w:type="dxa"/>
              <w:bottom w:w="150" w:type="dxa"/>
              <w:right w:w="240" w:type="dxa"/>
            </w:tcMar>
            <w:vAlign w:val="center"/>
            <w:hideMark/>
          </w:tcPr>
          <w:p w14:paraId="5F9CD20A" w14:textId="77777777" w:rsidR="000D1804" w:rsidRPr="008C292A" w:rsidRDefault="000D1804" w:rsidP="00EA3B01">
            <w:pPr>
              <w:spacing w:line="375" w:lineRule="atLeast"/>
              <w:rPr>
                <w:rFonts w:eastAsia="Times New Roman"/>
                <w:sz w:val="16"/>
                <w:szCs w:val="16"/>
              </w:rPr>
            </w:pPr>
            <w:r w:rsidRPr="008C292A">
              <w:rPr>
                <w:rFonts w:eastAsia="Times New Roman"/>
                <w:sz w:val="16"/>
                <w:szCs w:val="16"/>
              </w:rPr>
              <w:t>Theoretical computer science focus</w:t>
            </w:r>
          </w:p>
        </w:tc>
      </w:tr>
      <w:tr w:rsidR="000D1804" w:rsidRPr="008C292A" w14:paraId="5F641BB2" w14:textId="77777777" w:rsidTr="000D1804">
        <w:tc>
          <w:tcPr>
            <w:tcW w:w="993" w:type="dxa"/>
            <w:tcMar>
              <w:top w:w="150" w:type="dxa"/>
              <w:left w:w="0" w:type="dxa"/>
              <w:bottom w:w="150" w:type="dxa"/>
              <w:right w:w="240" w:type="dxa"/>
            </w:tcMar>
            <w:vAlign w:val="center"/>
            <w:hideMark/>
          </w:tcPr>
          <w:p w14:paraId="1AA18902" w14:textId="77777777" w:rsidR="000D1804" w:rsidRPr="008C292A" w:rsidRDefault="000D1804" w:rsidP="00EA3B01">
            <w:pPr>
              <w:spacing w:line="375" w:lineRule="atLeast"/>
              <w:rPr>
                <w:rFonts w:eastAsia="Times New Roman"/>
                <w:sz w:val="16"/>
                <w:szCs w:val="16"/>
              </w:rPr>
            </w:pPr>
            <w:r w:rsidRPr="008C292A">
              <w:rPr>
                <w:rFonts w:eastAsia="Times New Roman"/>
                <w:sz w:val="16"/>
                <w:szCs w:val="16"/>
              </w:rPr>
              <w:t xml:space="preserve">[25] </w:t>
            </w:r>
            <w:proofErr w:type="spellStart"/>
            <w:r w:rsidRPr="008C292A">
              <w:rPr>
                <w:rFonts w:eastAsia="Times New Roman"/>
                <w:sz w:val="16"/>
                <w:szCs w:val="16"/>
              </w:rPr>
              <w:t>Gorjan</w:t>
            </w:r>
            <w:proofErr w:type="spellEnd"/>
            <w:r w:rsidRPr="008C292A">
              <w:rPr>
                <w:rFonts w:eastAsia="Times New Roman"/>
                <w:sz w:val="16"/>
                <w:szCs w:val="16"/>
              </w:rPr>
              <w:t xml:space="preserve"> et al. (2023)</w:t>
            </w:r>
          </w:p>
        </w:tc>
        <w:tc>
          <w:tcPr>
            <w:tcW w:w="1141" w:type="dxa"/>
            <w:tcMar>
              <w:top w:w="150" w:type="dxa"/>
              <w:left w:w="240" w:type="dxa"/>
              <w:bottom w:w="150" w:type="dxa"/>
              <w:right w:w="240" w:type="dxa"/>
            </w:tcMar>
            <w:vAlign w:val="center"/>
            <w:hideMark/>
          </w:tcPr>
          <w:p w14:paraId="4211C773" w14:textId="77777777" w:rsidR="000D1804" w:rsidRPr="008C292A" w:rsidRDefault="000D1804" w:rsidP="00EA3B01">
            <w:pPr>
              <w:spacing w:line="375" w:lineRule="atLeast"/>
              <w:rPr>
                <w:rFonts w:eastAsia="Times New Roman"/>
                <w:sz w:val="16"/>
                <w:szCs w:val="16"/>
              </w:rPr>
            </w:pPr>
            <w:r w:rsidRPr="008C292A">
              <w:rPr>
                <w:rFonts w:eastAsia="Times New Roman"/>
                <w:sz w:val="16"/>
                <w:szCs w:val="16"/>
              </w:rPr>
              <w:t>Hardware Implementation</w:t>
            </w:r>
          </w:p>
        </w:tc>
        <w:tc>
          <w:tcPr>
            <w:tcW w:w="1421" w:type="dxa"/>
            <w:tcMar>
              <w:top w:w="150" w:type="dxa"/>
              <w:left w:w="240" w:type="dxa"/>
              <w:bottom w:w="150" w:type="dxa"/>
              <w:right w:w="240" w:type="dxa"/>
            </w:tcMar>
            <w:vAlign w:val="center"/>
            <w:hideMark/>
          </w:tcPr>
          <w:p w14:paraId="3F1D69AF" w14:textId="77777777" w:rsidR="000D1804" w:rsidRPr="008C292A" w:rsidRDefault="000D1804" w:rsidP="00EA3B01">
            <w:pPr>
              <w:spacing w:line="375" w:lineRule="atLeast"/>
              <w:rPr>
                <w:rFonts w:eastAsia="Times New Roman"/>
                <w:sz w:val="16"/>
                <w:szCs w:val="16"/>
              </w:rPr>
            </w:pPr>
            <w:r w:rsidRPr="008C292A">
              <w:rPr>
                <w:rFonts w:eastAsia="Times New Roman"/>
                <w:sz w:val="16"/>
                <w:szCs w:val="16"/>
              </w:rPr>
              <w:t>PQC in hardware security modules</w:t>
            </w:r>
          </w:p>
        </w:tc>
        <w:tc>
          <w:tcPr>
            <w:tcW w:w="1311" w:type="dxa"/>
            <w:tcMar>
              <w:top w:w="150" w:type="dxa"/>
              <w:left w:w="240" w:type="dxa"/>
              <w:bottom w:w="150" w:type="dxa"/>
              <w:right w:w="240" w:type="dxa"/>
            </w:tcMar>
            <w:vAlign w:val="center"/>
            <w:hideMark/>
          </w:tcPr>
          <w:p w14:paraId="666C2F6B" w14:textId="77777777" w:rsidR="000D1804" w:rsidRPr="008C292A" w:rsidRDefault="000D1804" w:rsidP="00EA3B01">
            <w:pPr>
              <w:spacing w:line="375" w:lineRule="atLeast"/>
              <w:rPr>
                <w:rFonts w:eastAsia="Times New Roman"/>
                <w:sz w:val="16"/>
                <w:szCs w:val="16"/>
              </w:rPr>
            </w:pPr>
            <w:r w:rsidRPr="008C292A">
              <w:rPr>
                <w:rFonts w:eastAsia="Times New Roman"/>
                <w:sz w:val="16"/>
                <w:szCs w:val="16"/>
              </w:rPr>
              <w:t>Physical layer focus only</w:t>
            </w:r>
          </w:p>
        </w:tc>
      </w:tr>
      <w:tr w:rsidR="000D1804" w:rsidRPr="008C292A" w14:paraId="2F929810" w14:textId="77777777" w:rsidTr="000D1804">
        <w:tc>
          <w:tcPr>
            <w:tcW w:w="993" w:type="dxa"/>
            <w:tcMar>
              <w:top w:w="150" w:type="dxa"/>
              <w:left w:w="0" w:type="dxa"/>
              <w:bottom w:w="150" w:type="dxa"/>
              <w:right w:w="240" w:type="dxa"/>
            </w:tcMar>
            <w:vAlign w:val="center"/>
            <w:hideMark/>
          </w:tcPr>
          <w:p w14:paraId="1E877739" w14:textId="77777777" w:rsidR="000D1804" w:rsidRPr="008C292A" w:rsidRDefault="000D1804" w:rsidP="00EA3B01">
            <w:pPr>
              <w:spacing w:line="375" w:lineRule="atLeast"/>
              <w:rPr>
                <w:rFonts w:eastAsia="Times New Roman"/>
                <w:sz w:val="16"/>
                <w:szCs w:val="16"/>
              </w:rPr>
            </w:pPr>
            <w:r w:rsidRPr="008C292A">
              <w:rPr>
                <w:rFonts w:eastAsia="Times New Roman"/>
                <w:sz w:val="16"/>
                <w:szCs w:val="16"/>
              </w:rPr>
              <w:t>[26] NIST IR 8413 (2023)</w:t>
            </w:r>
          </w:p>
        </w:tc>
        <w:tc>
          <w:tcPr>
            <w:tcW w:w="1141" w:type="dxa"/>
            <w:tcMar>
              <w:top w:w="150" w:type="dxa"/>
              <w:left w:w="240" w:type="dxa"/>
              <w:bottom w:w="150" w:type="dxa"/>
              <w:right w:w="240" w:type="dxa"/>
            </w:tcMar>
            <w:vAlign w:val="center"/>
            <w:hideMark/>
          </w:tcPr>
          <w:p w14:paraId="4DF58D57" w14:textId="77777777" w:rsidR="000D1804" w:rsidRPr="008C292A" w:rsidRDefault="000D1804" w:rsidP="009C464D">
            <w:pPr>
              <w:spacing w:line="375" w:lineRule="atLeast"/>
              <w:jc w:val="both"/>
              <w:rPr>
                <w:rFonts w:eastAsia="Times New Roman"/>
                <w:sz w:val="16"/>
                <w:szCs w:val="16"/>
              </w:rPr>
            </w:pPr>
            <w:r w:rsidRPr="008C292A">
              <w:rPr>
                <w:rFonts w:eastAsia="Times New Roman"/>
                <w:sz w:val="16"/>
                <w:szCs w:val="16"/>
              </w:rPr>
              <w:t>Migration Planning</w:t>
            </w:r>
          </w:p>
        </w:tc>
        <w:tc>
          <w:tcPr>
            <w:tcW w:w="1421" w:type="dxa"/>
            <w:tcMar>
              <w:top w:w="150" w:type="dxa"/>
              <w:left w:w="240" w:type="dxa"/>
              <w:bottom w:w="150" w:type="dxa"/>
              <w:right w:w="240" w:type="dxa"/>
            </w:tcMar>
            <w:vAlign w:val="center"/>
            <w:hideMark/>
          </w:tcPr>
          <w:p w14:paraId="603C0EF5" w14:textId="77777777" w:rsidR="000D1804" w:rsidRPr="008C292A" w:rsidRDefault="000D1804" w:rsidP="00EA3B01">
            <w:pPr>
              <w:spacing w:line="375" w:lineRule="atLeast"/>
              <w:rPr>
                <w:rFonts w:eastAsia="Times New Roman"/>
                <w:sz w:val="16"/>
                <w:szCs w:val="16"/>
              </w:rPr>
            </w:pPr>
            <w:r w:rsidRPr="008C292A">
              <w:rPr>
                <w:rFonts w:eastAsia="Times New Roman"/>
                <w:sz w:val="16"/>
                <w:szCs w:val="16"/>
              </w:rPr>
              <w:t>Status report on PQC standardization</w:t>
            </w:r>
          </w:p>
        </w:tc>
        <w:tc>
          <w:tcPr>
            <w:tcW w:w="1311" w:type="dxa"/>
            <w:tcMar>
              <w:top w:w="150" w:type="dxa"/>
              <w:left w:w="240" w:type="dxa"/>
              <w:bottom w:w="150" w:type="dxa"/>
              <w:right w:w="240" w:type="dxa"/>
            </w:tcMar>
            <w:vAlign w:val="center"/>
            <w:hideMark/>
          </w:tcPr>
          <w:p w14:paraId="7B16AA5C" w14:textId="77777777" w:rsidR="000D1804" w:rsidRPr="008C292A" w:rsidRDefault="000D1804" w:rsidP="00EA3B01">
            <w:pPr>
              <w:spacing w:line="375" w:lineRule="atLeast"/>
              <w:rPr>
                <w:rFonts w:eastAsia="Times New Roman"/>
                <w:sz w:val="16"/>
                <w:szCs w:val="16"/>
              </w:rPr>
            </w:pPr>
            <w:r w:rsidRPr="008C292A">
              <w:rPr>
                <w:rFonts w:eastAsia="Times New Roman"/>
                <w:sz w:val="16"/>
                <w:szCs w:val="16"/>
              </w:rPr>
              <w:t>US government perspective</w:t>
            </w:r>
          </w:p>
        </w:tc>
      </w:tr>
    </w:tbl>
    <w:p w14:paraId="02FFDE7E" w14:textId="77777777" w:rsidR="00F46935" w:rsidRPr="008C292A" w:rsidRDefault="00F46935" w:rsidP="008F59CA">
      <w:pPr>
        <w:pStyle w:val="Heading1"/>
        <w:ind w:firstLine="0"/>
        <w:rPr>
          <w:color w:val="000000" w:themeColor="text1"/>
        </w:rPr>
      </w:pPr>
      <w:r w:rsidRPr="008C292A">
        <w:rPr>
          <w:color w:val="000000" w:themeColor="text1"/>
        </w:rPr>
        <w:t>Methodology and Validation Framework</w:t>
      </w:r>
    </w:p>
    <w:p w14:paraId="42D8F455" w14:textId="77777777" w:rsidR="009C464D" w:rsidRPr="008C292A" w:rsidRDefault="009C464D" w:rsidP="009C464D">
      <w:pPr>
        <w:pStyle w:val="BodyText"/>
        <w:ind w:left="720" w:firstLine="0"/>
        <w:rPr>
          <w:i/>
          <w:iCs/>
          <w:color w:val="000000" w:themeColor="text1"/>
          <w:lang w:val="en-US"/>
        </w:rPr>
      </w:pPr>
      <w:r w:rsidRPr="008C292A">
        <w:rPr>
          <w:i/>
          <w:iCs/>
          <w:color w:val="000000" w:themeColor="text1"/>
          <w:lang w:val="en-US"/>
        </w:rPr>
        <w:t>A. Research Design</w:t>
      </w:r>
    </w:p>
    <w:p w14:paraId="4368E324" w14:textId="77777777" w:rsidR="00DB7511" w:rsidRPr="008C292A" w:rsidRDefault="00DB7511" w:rsidP="00DB7511">
      <w:pPr>
        <w:pStyle w:val="BodyText"/>
        <w:ind w:firstLine="0"/>
        <w:rPr>
          <w:color w:val="000000" w:themeColor="text1"/>
        </w:rPr>
      </w:pPr>
      <w:r w:rsidRPr="008C292A">
        <w:rPr>
          <w:color w:val="000000" w:themeColor="text1"/>
        </w:rPr>
        <w:t>This study employs a mixed-methods approach combining qualitative legal analysis with technical assessment. Our framework evaluates PQC algorithms against multidimensional criteria encompassing technical security, legal compliance, and ethical considerations as shown in figure 1.</w:t>
      </w:r>
    </w:p>
    <w:p w14:paraId="0C7A595C" w14:textId="77777777" w:rsidR="00DB7511" w:rsidRPr="008C292A" w:rsidRDefault="00DB7511" w:rsidP="00DB7511">
      <w:pPr>
        <w:pStyle w:val="BodyText"/>
        <w:keepNext/>
        <w:ind w:firstLine="0"/>
      </w:pPr>
      <w:r w:rsidRPr="008C292A">
        <w:rPr>
          <w:noProof/>
          <w:color w:val="000000" w:themeColor="text1"/>
          <w:lang w:val="en-US" w:eastAsia="en-US"/>
        </w:rPr>
        <w:drawing>
          <wp:inline distT="0" distB="0" distL="0" distR="0" wp14:anchorId="62686DD9" wp14:editId="5B4B0D8C">
            <wp:extent cx="2920130" cy="2045677"/>
            <wp:effectExtent l="0" t="0" r="0" b="0"/>
            <wp:docPr id="1901095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28435" cy="2051495"/>
                    </a:xfrm>
                    <a:prstGeom prst="rect">
                      <a:avLst/>
                    </a:prstGeom>
                    <a:noFill/>
                  </pic:spPr>
                </pic:pic>
              </a:graphicData>
            </a:graphic>
          </wp:inline>
        </w:drawing>
      </w:r>
    </w:p>
    <w:p w14:paraId="29DEC641" w14:textId="733D3A26" w:rsidR="00DB7511" w:rsidRPr="008C292A" w:rsidRDefault="00DB7511" w:rsidP="00DB7511">
      <w:pPr>
        <w:pStyle w:val="Caption"/>
        <w:jc w:val="both"/>
        <w:rPr>
          <w:i w:val="0"/>
          <w:iCs w:val="0"/>
          <w:color w:val="000000" w:themeColor="text1"/>
          <w:sz w:val="20"/>
          <w:szCs w:val="20"/>
        </w:rPr>
      </w:pPr>
      <w:r w:rsidRPr="008C292A">
        <w:t xml:space="preserve">Figure </w:t>
      </w:r>
      <w:r w:rsidRPr="008C292A">
        <w:fldChar w:fldCharType="begin"/>
      </w:r>
      <w:r w:rsidRPr="008C292A">
        <w:instrText xml:space="preserve"> SEQ Figure \* ARABIC </w:instrText>
      </w:r>
      <w:r w:rsidRPr="008C292A">
        <w:fldChar w:fldCharType="separate"/>
      </w:r>
      <w:r w:rsidR="00246A0C" w:rsidRPr="008C292A">
        <w:rPr>
          <w:noProof/>
        </w:rPr>
        <w:t>1</w:t>
      </w:r>
      <w:r w:rsidRPr="008C292A">
        <w:fldChar w:fldCharType="end"/>
      </w:r>
      <w:r w:rsidRPr="008C292A">
        <w:t>Proposed PQC validation framework</w:t>
      </w:r>
    </w:p>
    <w:p w14:paraId="182237A6" w14:textId="5ABC2B9A" w:rsidR="009C464D" w:rsidRPr="008C292A" w:rsidRDefault="00DB7511" w:rsidP="009C464D">
      <w:pPr>
        <w:pStyle w:val="BodyText"/>
        <w:rPr>
          <w:color w:val="000000" w:themeColor="text1"/>
          <w:lang w:val="en-US"/>
        </w:rPr>
      </w:pPr>
      <w:r w:rsidRPr="008C292A">
        <w:rPr>
          <w:color w:val="000000" w:themeColor="text1"/>
          <w:lang w:val="en-US"/>
        </w:rPr>
        <w:t xml:space="preserve">It </w:t>
      </w:r>
      <w:r w:rsidR="009C464D" w:rsidRPr="008C292A">
        <w:rPr>
          <w:color w:val="000000" w:themeColor="text1"/>
          <w:lang w:val="en-US"/>
        </w:rPr>
        <w:t>employs a mixed-methods approach, integrating:</w:t>
      </w:r>
    </w:p>
    <w:p w14:paraId="73BD9BD1" w14:textId="77777777" w:rsidR="009C464D" w:rsidRPr="008C292A" w:rsidRDefault="009C464D" w:rsidP="009C464D">
      <w:pPr>
        <w:pStyle w:val="BodyText"/>
        <w:numPr>
          <w:ilvl w:val="0"/>
          <w:numId w:val="24"/>
        </w:numPr>
        <w:rPr>
          <w:color w:val="000000" w:themeColor="text1"/>
          <w:lang w:val="en-US"/>
        </w:rPr>
      </w:pPr>
      <w:r w:rsidRPr="008C292A">
        <w:rPr>
          <w:color w:val="000000" w:themeColor="text1"/>
          <w:lang w:val="en-US"/>
        </w:rPr>
        <w:t>Quantitative technical evaluation of Post-Quantum Cryptography (PQC) algorithms across performance and compliance metrics.</w:t>
      </w:r>
    </w:p>
    <w:p w14:paraId="4C0F89D3" w14:textId="77777777" w:rsidR="009C464D" w:rsidRPr="008C292A" w:rsidRDefault="009C464D" w:rsidP="009C464D">
      <w:pPr>
        <w:pStyle w:val="BodyText"/>
        <w:numPr>
          <w:ilvl w:val="0"/>
          <w:numId w:val="24"/>
        </w:numPr>
        <w:rPr>
          <w:color w:val="000000" w:themeColor="text1"/>
          <w:lang w:val="en-US"/>
        </w:rPr>
      </w:pPr>
      <w:r w:rsidRPr="008C292A">
        <w:rPr>
          <w:color w:val="000000" w:themeColor="text1"/>
          <w:lang w:val="en-US"/>
        </w:rPr>
        <w:t>Qualitative legal and ethical analysis, mapping PQC implementation challenges to international data protection frameworks.</w:t>
      </w:r>
    </w:p>
    <w:p w14:paraId="7D23C8C9" w14:textId="77777777" w:rsidR="009C464D" w:rsidRPr="008C292A" w:rsidRDefault="009C464D" w:rsidP="00DB7511">
      <w:pPr>
        <w:pStyle w:val="BodyText"/>
        <w:ind w:left="720" w:firstLine="0"/>
        <w:rPr>
          <w:i/>
          <w:iCs/>
          <w:color w:val="000000" w:themeColor="text1"/>
          <w:lang w:val="en-US"/>
        </w:rPr>
      </w:pPr>
      <w:r w:rsidRPr="008C292A">
        <w:rPr>
          <w:i/>
          <w:iCs/>
          <w:color w:val="000000" w:themeColor="text1"/>
          <w:lang w:val="en-US"/>
        </w:rPr>
        <w:t>B. Regulatory Mapping Framework</w:t>
      </w:r>
    </w:p>
    <w:p w14:paraId="60DABA2F" w14:textId="539D9B59" w:rsidR="009C464D" w:rsidRPr="008C292A" w:rsidRDefault="009C464D" w:rsidP="009C464D">
      <w:pPr>
        <w:pStyle w:val="BodyText"/>
        <w:rPr>
          <w:color w:val="000000" w:themeColor="text1"/>
          <w:lang w:val="en-US"/>
        </w:rPr>
      </w:pPr>
      <w:r w:rsidRPr="008C292A">
        <w:rPr>
          <w:color w:val="000000" w:themeColor="text1"/>
          <w:lang w:val="en-US"/>
        </w:rPr>
        <w:t>We mapped PQC implementation requirements against the following regulations</w:t>
      </w:r>
      <w:r w:rsidR="00DB7511" w:rsidRPr="008C292A">
        <w:rPr>
          <w:color w:val="000000" w:themeColor="text1"/>
          <w:lang w:val="en-US"/>
        </w:rPr>
        <w:t xml:space="preserve"> table </w:t>
      </w:r>
      <w:r w:rsidR="006A4DAA" w:rsidRPr="008C292A">
        <w:rPr>
          <w:color w:val="000000" w:themeColor="text1"/>
          <w:lang w:val="en-US"/>
        </w:rPr>
        <w:t>2</w:t>
      </w:r>
      <w:r w:rsidRPr="008C292A">
        <w:rPr>
          <w:color w:val="000000" w:themeColor="text1"/>
          <w:lang w:val="en-US"/>
        </w:rPr>
        <w:t>:</w:t>
      </w:r>
    </w:p>
    <w:p w14:paraId="510C4E57" w14:textId="77C6998C" w:rsidR="00DB7511" w:rsidRPr="008C292A" w:rsidRDefault="00DB7511" w:rsidP="00DB7511">
      <w:pPr>
        <w:pStyle w:val="Caption"/>
        <w:keepNext/>
      </w:pPr>
      <w:r w:rsidRPr="008C292A">
        <w:t xml:space="preserve">Table </w:t>
      </w:r>
      <w:r w:rsidR="006A4DAA" w:rsidRPr="008C292A">
        <w:t>2</w:t>
      </w:r>
      <w:r w:rsidRPr="008C292A">
        <w:fldChar w:fldCharType="begin"/>
      </w:r>
      <w:r w:rsidRPr="008C292A">
        <w:instrText xml:space="preserve"> SEQ Table \* ARABIC </w:instrText>
      </w:r>
      <w:r w:rsidRPr="008C292A">
        <w:fldChar w:fldCharType="separate"/>
      </w:r>
      <w:r w:rsidRPr="008C292A">
        <w:rPr>
          <w:noProof/>
        </w:rPr>
        <w:t>1</w:t>
      </w:r>
      <w:r w:rsidRPr="008C292A">
        <w:fldChar w:fldCharType="end"/>
      </w:r>
      <w:r w:rsidRPr="008C292A">
        <w:t>regulation mapping framework</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56"/>
        <w:gridCol w:w="2419"/>
        <w:gridCol w:w="1391"/>
      </w:tblGrid>
      <w:tr w:rsidR="006A4DAA" w:rsidRPr="008C292A" w14:paraId="16B2D13C" w14:textId="77777777" w:rsidTr="002F2700">
        <w:trPr>
          <w:tblHeader/>
          <w:tblCellSpacing w:w="15" w:type="dxa"/>
        </w:trPr>
        <w:tc>
          <w:tcPr>
            <w:tcW w:w="0" w:type="auto"/>
            <w:tcBorders>
              <w:top w:val="single" w:sz="4" w:space="0" w:color="auto"/>
              <w:bottom w:val="single" w:sz="4" w:space="0" w:color="auto"/>
            </w:tcBorders>
            <w:vAlign w:val="center"/>
            <w:hideMark/>
          </w:tcPr>
          <w:p w14:paraId="42257DF5" w14:textId="77777777" w:rsidR="009C464D" w:rsidRPr="008C292A" w:rsidRDefault="009C464D" w:rsidP="009C464D">
            <w:pPr>
              <w:pStyle w:val="BodyText"/>
              <w:rPr>
                <w:color w:val="000000" w:themeColor="text1"/>
                <w:sz w:val="16"/>
                <w:szCs w:val="16"/>
                <w:lang w:val="en-US"/>
              </w:rPr>
            </w:pPr>
            <w:r w:rsidRPr="008C292A">
              <w:rPr>
                <w:color w:val="000000" w:themeColor="text1"/>
                <w:sz w:val="16"/>
                <w:szCs w:val="16"/>
                <w:lang w:val="en-US"/>
              </w:rPr>
              <w:t>Regulation</w:t>
            </w:r>
          </w:p>
        </w:tc>
        <w:tc>
          <w:tcPr>
            <w:tcW w:w="0" w:type="auto"/>
            <w:tcBorders>
              <w:top w:val="single" w:sz="4" w:space="0" w:color="auto"/>
              <w:bottom w:val="single" w:sz="4" w:space="0" w:color="auto"/>
            </w:tcBorders>
            <w:vAlign w:val="center"/>
            <w:hideMark/>
          </w:tcPr>
          <w:p w14:paraId="335DF486" w14:textId="77777777" w:rsidR="009C464D" w:rsidRPr="008C292A" w:rsidRDefault="009C464D" w:rsidP="009C464D">
            <w:pPr>
              <w:pStyle w:val="BodyText"/>
              <w:ind w:firstLine="0"/>
              <w:rPr>
                <w:color w:val="000000" w:themeColor="text1"/>
                <w:sz w:val="16"/>
                <w:szCs w:val="16"/>
                <w:lang w:val="en-US"/>
              </w:rPr>
            </w:pPr>
            <w:r w:rsidRPr="008C292A">
              <w:rPr>
                <w:color w:val="000000" w:themeColor="text1"/>
                <w:sz w:val="16"/>
                <w:szCs w:val="16"/>
                <w:lang w:val="en-US"/>
              </w:rPr>
              <w:t>Key Articles/Sections</w:t>
            </w:r>
          </w:p>
        </w:tc>
        <w:tc>
          <w:tcPr>
            <w:tcW w:w="1346" w:type="dxa"/>
            <w:tcBorders>
              <w:top w:val="single" w:sz="4" w:space="0" w:color="auto"/>
              <w:bottom w:val="single" w:sz="4" w:space="0" w:color="auto"/>
            </w:tcBorders>
            <w:vAlign w:val="center"/>
            <w:hideMark/>
          </w:tcPr>
          <w:p w14:paraId="367A8E53" w14:textId="77777777" w:rsidR="009C464D" w:rsidRPr="008C292A" w:rsidRDefault="009C464D" w:rsidP="009C464D">
            <w:pPr>
              <w:pStyle w:val="BodyText"/>
              <w:ind w:firstLine="0"/>
              <w:rPr>
                <w:color w:val="000000" w:themeColor="text1"/>
                <w:sz w:val="16"/>
                <w:szCs w:val="16"/>
                <w:lang w:val="en-US"/>
              </w:rPr>
            </w:pPr>
            <w:r w:rsidRPr="008C292A">
              <w:rPr>
                <w:color w:val="000000" w:themeColor="text1"/>
                <w:sz w:val="16"/>
                <w:szCs w:val="16"/>
                <w:lang w:val="en-US"/>
              </w:rPr>
              <w:t>PQC-Relevant Dimension</w:t>
            </w:r>
          </w:p>
        </w:tc>
      </w:tr>
      <w:tr w:rsidR="006A4DAA" w:rsidRPr="008C292A" w14:paraId="5576A372" w14:textId="77777777" w:rsidTr="006A4DAA">
        <w:trPr>
          <w:tblCellSpacing w:w="15" w:type="dxa"/>
        </w:trPr>
        <w:tc>
          <w:tcPr>
            <w:tcW w:w="0" w:type="auto"/>
            <w:vAlign w:val="center"/>
            <w:hideMark/>
          </w:tcPr>
          <w:p w14:paraId="65119E6C" w14:textId="77777777" w:rsidR="009C464D" w:rsidRPr="008C292A" w:rsidRDefault="009C464D" w:rsidP="009C464D">
            <w:pPr>
              <w:pStyle w:val="BodyText"/>
              <w:rPr>
                <w:color w:val="000000" w:themeColor="text1"/>
                <w:sz w:val="16"/>
                <w:szCs w:val="16"/>
                <w:lang w:val="en-US"/>
              </w:rPr>
            </w:pPr>
            <w:r w:rsidRPr="008C292A">
              <w:rPr>
                <w:color w:val="000000" w:themeColor="text1"/>
                <w:sz w:val="16"/>
                <w:szCs w:val="16"/>
                <w:lang w:val="en-US"/>
              </w:rPr>
              <w:t>GDPR</w:t>
            </w:r>
          </w:p>
        </w:tc>
        <w:tc>
          <w:tcPr>
            <w:tcW w:w="0" w:type="auto"/>
            <w:vAlign w:val="center"/>
            <w:hideMark/>
          </w:tcPr>
          <w:p w14:paraId="6FF774D7" w14:textId="77777777" w:rsidR="009C464D" w:rsidRPr="008C292A" w:rsidRDefault="009C464D" w:rsidP="009C464D">
            <w:pPr>
              <w:pStyle w:val="BodyText"/>
              <w:ind w:firstLine="0"/>
              <w:rPr>
                <w:color w:val="000000" w:themeColor="text1"/>
                <w:sz w:val="16"/>
                <w:szCs w:val="16"/>
                <w:lang w:val="en-US"/>
              </w:rPr>
            </w:pPr>
            <w:r w:rsidRPr="008C292A">
              <w:rPr>
                <w:color w:val="000000" w:themeColor="text1"/>
                <w:sz w:val="16"/>
                <w:szCs w:val="16"/>
                <w:lang w:val="en-US"/>
              </w:rPr>
              <w:t>Art. 25 (Data Protection by Design), Art. 32 (Security of Processing)</w:t>
            </w:r>
          </w:p>
        </w:tc>
        <w:tc>
          <w:tcPr>
            <w:tcW w:w="1346" w:type="dxa"/>
            <w:vAlign w:val="center"/>
            <w:hideMark/>
          </w:tcPr>
          <w:p w14:paraId="034A539F" w14:textId="77777777" w:rsidR="009C464D" w:rsidRPr="008C292A" w:rsidRDefault="009C464D" w:rsidP="009C464D">
            <w:pPr>
              <w:pStyle w:val="BodyText"/>
              <w:rPr>
                <w:color w:val="000000" w:themeColor="text1"/>
                <w:sz w:val="16"/>
                <w:szCs w:val="16"/>
                <w:lang w:val="en-US"/>
              </w:rPr>
            </w:pPr>
            <w:r w:rsidRPr="008C292A">
              <w:rPr>
                <w:color w:val="000000" w:themeColor="text1"/>
                <w:sz w:val="16"/>
                <w:szCs w:val="16"/>
                <w:lang w:val="en-US"/>
              </w:rPr>
              <w:t>Metadata size, algorithm agility, processing security</w:t>
            </w:r>
          </w:p>
        </w:tc>
      </w:tr>
      <w:tr w:rsidR="006A4DAA" w:rsidRPr="008C292A" w14:paraId="486AF0CC" w14:textId="77777777" w:rsidTr="006A4DAA">
        <w:trPr>
          <w:tblCellSpacing w:w="15" w:type="dxa"/>
        </w:trPr>
        <w:tc>
          <w:tcPr>
            <w:tcW w:w="0" w:type="auto"/>
            <w:vAlign w:val="center"/>
            <w:hideMark/>
          </w:tcPr>
          <w:p w14:paraId="43693E75" w14:textId="77777777" w:rsidR="009C464D" w:rsidRPr="008C292A" w:rsidRDefault="009C464D" w:rsidP="009C464D">
            <w:pPr>
              <w:pStyle w:val="BodyText"/>
              <w:rPr>
                <w:color w:val="000000" w:themeColor="text1"/>
                <w:sz w:val="16"/>
                <w:szCs w:val="16"/>
                <w:lang w:val="en-US"/>
              </w:rPr>
            </w:pPr>
            <w:r w:rsidRPr="008C292A">
              <w:rPr>
                <w:color w:val="000000" w:themeColor="text1"/>
                <w:sz w:val="16"/>
                <w:szCs w:val="16"/>
                <w:lang w:val="en-US"/>
              </w:rPr>
              <w:t>CCPA</w:t>
            </w:r>
          </w:p>
        </w:tc>
        <w:tc>
          <w:tcPr>
            <w:tcW w:w="0" w:type="auto"/>
            <w:vAlign w:val="center"/>
            <w:hideMark/>
          </w:tcPr>
          <w:p w14:paraId="378DEA84" w14:textId="77777777" w:rsidR="009C464D" w:rsidRPr="008C292A" w:rsidRDefault="009C464D" w:rsidP="009C464D">
            <w:pPr>
              <w:pStyle w:val="BodyText"/>
              <w:ind w:firstLine="0"/>
              <w:rPr>
                <w:color w:val="000000" w:themeColor="text1"/>
                <w:sz w:val="16"/>
                <w:szCs w:val="16"/>
                <w:lang w:val="en-US"/>
              </w:rPr>
            </w:pPr>
            <w:r w:rsidRPr="008C292A">
              <w:rPr>
                <w:color w:val="000000" w:themeColor="text1"/>
                <w:sz w:val="16"/>
                <w:szCs w:val="16"/>
                <w:lang w:val="en-US"/>
              </w:rPr>
              <w:t>Sec. 1798.150 (Reasonable Security Procedures)</w:t>
            </w:r>
          </w:p>
        </w:tc>
        <w:tc>
          <w:tcPr>
            <w:tcW w:w="1346" w:type="dxa"/>
            <w:vAlign w:val="center"/>
            <w:hideMark/>
          </w:tcPr>
          <w:p w14:paraId="5A6AA5E4" w14:textId="77777777" w:rsidR="009C464D" w:rsidRPr="008C292A" w:rsidRDefault="009C464D" w:rsidP="009C464D">
            <w:pPr>
              <w:pStyle w:val="BodyText"/>
              <w:ind w:firstLine="0"/>
              <w:rPr>
                <w:color w:val="000000" w:themeColor="text1"/>
                <w:sz w:val="16"/>
                <w:szCs w:val="16"/>
                <w:lang w:val="en-US"/>
              </w:rPr>
            </w:pPr>
            <w:r w:rsidRPr="008C292A">
              <w:rPr>
                <w:color w:val="000000" w:themeColor="text1"/>
                <w:sz w:val="16"/>
                <w:szCs w:val="16"/>
                <w:lang w:val="en-US"/>
              </w:rPr>
              <w:t>Cryptographic reasonableness</w:t>
            </w:r>
          </w:p>
        </w:tc>
      </w:tr>
      <w:tr w:rsidR="006A4DAA" w:rsidRPr="008C292A" w14:paraId="2C87FD52" w14:textId="77777777" w:rsidTr="006A4DAA">
        <w:trPr>
          <w:tblCellSpacing w:w="15" w:type="dxa"/>
        </w:trPr>
        <w:tc>
          <w:tcPr>
            <w:tcW w:w="0" w:type="auto"/>
            <w:vAlign w:val="center"/>
            <w:hideMark/>
          </w:tcPr>
          <w:p w14:paraId="49A49B33" w14:textId="0F797D42" w:rsidR="009C464D" w:rsidRPr="008C292A" w:rsidRDefault="009C464D" w:rsidP="009C464D">
            <w:pPr>
              <w:pStyle w:val="BodyText"/>
              <w:rPr>
                <w:color w:val="000000" w:themeColor="text1"/>
                <w:sz w:val="16"/>
                <w:szCs w:val="16"/>
                <w:lang w:val="en-US"/>
              </w:rPr>
            </w:pPr>
            <w:r w:rsidRPr="008C292A">
              <w:rPr>
                <w:color w:val="000000" w:themeColor="text1"/>
                <w:sz w:val="16"/>
                <w:szCs w:val="16"/>
                <w:lang w:val="en-US"/>
              </w:rPr>
              <w:t>GPD</w:t>
            </w:r>
          </w:p>
        </w:tc>
        <w:tc>
          <w:tcPr>
            <w:tcW w:w="0" w:type="auto"/>
            <w:vAlign w:val="center"/>
            <w:hideMark/>
          </w:tcPr>
          <w:p w14:paraId="4AE2CC3E" w14:textId="77777777" w:rsidR="009C464D" w:rsidRPr="008C292A" w:rsidRDefault="009C464D" w:rsidP="009C464D">
            <w:pPr>
              <w:pStyle w:val="BodyText"/>
              <w:ind w:firstLine="0"/>
              <w:rPr>
                <w:color w:val="000000" w:themeColor="text1"/>
                <w:sz w:val="16"/>
                <w:szCs w:val="16"/>
                <w:lang w:val="en-US"/>
              </w:rPr>
            </w:pPr>
            <w:r w:rsidRPr="008C292A">
              <w:rPr>
                <w:color w:val="000000" w:themeColor="text1"/>
                <w:sz w:val="16"/>
                <w:szCs w:val="16"/>
                <w:lang w:val="en-US"/>
              </w:rPr>
              <w:t>Art. 46 (Security Requirements)</w:t>
            </w:r>
          </w:p>
        </w:tc>
        <w:tc>
          <w:tcPr>
            <w:tcW w:w="1346" w:type="dxa"/>
            <w:vAlign w:val="center"/>
            <w:hideMark/>
          </w:tcPr>
          <w:p w14:paraId="79C242C2" w14:textId="77777777" w:rsidR="009C464D" w:rsidRPr="008C292A" w:rsidRDefault="009C464D" w:rsidP="009C464D">
            <w:pPr>
              <w:pStyle w:val="BodyText"/>
              <w:ind w:firstLine="0"/>
              <w:rPr>
                <w:color w:val="000000" w:themeColor="text1"/>
                <w:sz w:val="16"/>
                <w:szCs w:val="16"/>
                <w:lang w:val="en-US"/>
              </w:rPr>
            </w:pPr>
            <w:r w:rsidRPr="008C292A">
              <w:rPr>
                <w:color w:val="000000" w:themeColor="text1"/>
                <w:sz w:val="16"/>
                <w:szCs w:val="16"/>
                <w:lang w:val="en-US"/>
              </w:rPr>
              <w:t>Data security under resource constraints</w:t>
            </w:r>
          </w:p>
        </w:tc>
      </w:tr>
      <w:tr w:rsidR="006A4DAA" w:rsidRPr="008C292A" w14:paraId="2D129442" w14:textId="77777777" w:rsidTr="006A4DAA">
        <w:trPr>
          <w:tblCellSpacing w:w="15" w:type="dxa"/>
        </w:trPr>
        <w:tc>
          <w:tcPr>
            <w:tcW w:w="0" w:type="auto"/>
            <w:vAlign w:val="center"/>
            <w:hideMark/>
          </w:tcPr>
          <w:p w14:paraId="780DFB8B" w14:textId="77777777" w:rsidR="009C464D" w:rsidRPr="008C292A" w:rsidRDefault="009C464D" w:rsidP="009C464D">
            <w:pPr>
              <w:pStyle w:val="BodyText"/>
              <w:rPr>
                <w:color w:val="000000" w:themeColor="text1"/>
                <w:sz w:val="16"/>
                <w:szCs w:val="16"/>
                <w:lang w:val="en-US"/>
              </w:rPr>
            </w:pPr>
            <w:r w:rsidRPr="008C292A">
              <w:rPr>
                <w:color w:val="000000" w:themeColor="text1"/>
                <w:sz w:val="16"/>
                <w:szCs w:val="16"/>
                <w:lang w:val="en-US"/>
              </w:rPr>
              <w:t>PIPL</w:t>
            </w:r>
          </w:p>
        </w:tc>
        <w:tc>
          <w:tcPr>
            <w:tcW w:w="0" w:type="auto"/>
            <w:vAlign w:val="center"/>
            <w:hideMark/>
          </w:tcPr>
          <w:p w14:paraId="4B77EBA5" w14:textId="77777777" w:rsidR="009C464D" w:rsidRPr="008C292A" w:rsidRDefault="009C464D" w:rsidP="009C464D">
            <w:pPr>
              <w:pStyle w:val="BodyText"/>
              <w:ind w:firstLine="0"/>
              <w:rPr>
                <w:color w:val="000000" w:themeColor="text1"/>
                <w:sz w:val="16"/>
                <w:szCs w:val="16"/>
                <w:lang w:val="en-US"/>
              </w:rPr>
            </w:pPr>
            <w:r w:rsidRPr="008C292A">
              <w:rPr>
                <w:color w:val="000000" w:themeColor="text1"/>
                <w:sz w:val="16"/>
                <w:szCs w:val="16"/>
                <w:lang w:val="en-US"/>
              </w:rPr>
              <w:t>Art. 9 (Data Security Obligations)</w:t>
            </w:r>
          </w:p>
        </w:tc>
        <w:tc>
          <w:tcPr>
            <w:tcW w:w="1346" w:type="dxa"/>
            <w:vAlign w:val="center"/>
            <w:hideMark/>
          </w:tcPr>
          <w:p w14:paraId="5298055D" w14:textId="77777777" w:rsidR="009C464D" w:rsidRPr="008C292A" w:rsidRDefault="009C464D" w:rsidP="00DB7511">
            <w:pPr>
              <w:pStyle w:val="BodyText"/>
              <w:keepNext/>
              <w:ind w:firstLine="0"/>
              <w:rPr>
                <w:color w:val="000000" w:themeColor="text1"/>
                <w:sz w:val="16"/>
                <w:szCs w:val="16"/>
                <w:lang w:val="en-US"/>
              </w:rPr>
            </w:pPr>
            <w:r w:rsidRPr="008C292A">
              <w:rPr>
                <w:color w:val="000000" w:themeColor="text1"/>
                <w:sz w:val="16"/>
                <w:szCs w:val="16"/>
                <w:lang w:val="en-US"/>
              </w:rPr>
              <w:t>State oversight, resilience, and key management</w:t>
            </w:r>
          </w:p>
        </w:tc>
      </w:tr>
    </w:tbl>
    <w:p w14:paraId="5596EBCB" w14:textId="77777777" w:rsidR="009C464D" w:rsidRPr="008C292A" w:rsidRDefault="009C464D" w:rsidP="00DB7511">
      <w:pPr>
        <w:pStyle w:val="BodyText"/>
        <w:rPr>
          <w:i/>
          <w:iCs/>
          <w:color w:val="000000" w:themeColor="text1"/>
          <w:lang w:val="en-US"/>
        </w:rPr>
      </w:pPr>
      <w:r w:rsidRPr="008C292A">
        <w:rPr>
          <w:i/>
          <w:iCs/>
          <w:color w:val="000000" w:themeColor="text1"/>
          <w:lang w:val="en-US"/>
        </w:rPr>
        <w:t>C. Ethical Assessment Matrix</w:t>
      </w:r>
    </w:p>
    <w:p w14:paraId="19E09F7E" w14:textId="77777777" w:rsidR="009C464D" w:rsidRPr="008C292A" w:rsidRDefault="009C464D" w:rsidP="009C464D">
      <w:pPr>
        <w:pStyle w:val="BodyText"/>
        <w:rPr>
          <w:color w:val="000000" w:themeColor="text1"/>
          <w:lang w:val="en-US"/>
        </w:rPr>
      </w:pPr>
      <w:r w:rsidRPr="008C292A">
        <w:rPr>
          <w:color w:val="000000" w:themeColor="text1"/>
          <w:lang w:val="en-US"/>
        </w:rPr>
        <w:t xml:space="preserve">We constructed a 5-dimensional ethical assessment applied to candidate PQC algorithms (Falcon, </w:t>
      </w:r>
      <w:proofErr w:type="spellStart"/>
      <w:r w:rsidRPr="008C292A">
        <w:rPr>
          <w:color w:val="000000" w:themeColor="text1"/>
          <w:lang w:val="en-US"/>
        </w:rPr>
        <w:t>Dilithium</w:t>
      </w:r>
      <w:proofErr w:type="spellEnd"/>
      <w:r w:rsidRPr="008C292A">
        <w:rPr>
          <w:color w:val="000000" w:themeColor="text1"/>
          <w:lang w:val="en-US"/>
        </w:rPr>
        <w:t>, Kyber, Rainbow).</w:t>
      </w:r>
    </w:p>
    <w:p w14:paraId="595368F5" w14:textId="77777777" w:rsidR="009C464D" w:rsidRPr="008C292A" w:rsidRDefault="009C464D" w:rsidP="009C464D">
      <w:pPr>
        <w:pStyle w:val="BodyText"/>
        <w:rPr>
          <w:color w:val="000000" w:themeColor="text1"/>
          <w:lang w:val="en-US"/>
        </w:rPr>
      </w:pPr>
      <w:r w:rsidRPr="008C292A">
        <w:rPr>
          <w:color w:val="000000" w:themeColor="text1"/>
          <w:lang w:val="en-US"/>
        </w:rPr>
        <w:t>Ethical Scores (scale: 1 = poor, 5 = excellent)</w:t>
      </w:r>
    </w:p>
    <w:p w14:paraId="44252466" w14:textId="1295E839" w:rsidR="00DB7511" w:rsidRPr="008C292A" w:rsidRDefault="00DB7511" w:rsidP="00DB7511">
      <w:pPr>
        <w:pStyle w:val="Caption"/>
        <w:keepNext/>
      </w:pPr>
      <w:r w:rsidRPr="008C292A">
        <w:t xml:space="preserve">Table </w:t>
      </w:r>
      <w:r w:rsidR="006A4DAA" w:rsidRPr="008C292A">
        <w:t xml:space="preserve">3 </w:t>
      </w:r>
      <w:r w:rsidRPr="008C292A">
        <w:t>Ethical Assessment Matrix</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649"/>
        <w:gridCol w:w="808"/>
        <w:gridCol w:w="776"/>
        <w:gridCol w:w="913"/>
        <w:gridCol w:w="547"/>
        <w:gridCol w:w="502"/>
        <w:gridCol w:w="671"/>
      </w:tblGrid>
      <w:tr w:rsidR="009C464D" w:rsidRPr="008C292A" w14:paraId="15177198" w14:textId="77777777" w:rsidTr="00DB7511">
        <w:trPr>
          <w:tblHeader/>
          <w:tblCellSpacing w:w="15" w:type="dxa"/>
          <w:jc w:val="center"/>
        </w:trPr>
        <w:tc>
          <w:tcPr>
            <w:tcW w:w="0" w:type="auto"/>
            <w:tcBorders>
              <w:top w:val="single" w:sz="4" w:space="0" w:color="auto"/>
              <w:bottom w:val="single" w:sz="4" w:space="0" w:color="auto"/>
            </w:tcBorders>
            <w:vAlign w:val="center"/>
            <w:hideMark/>
          </w:tcPr>
          <w:p w14:paraId="6FEE6414" w14:textId="77777777" w:rsidR="009C464D" w:rsidRPr="008C292A" w:rsidRDefault="009C464D" w:rsidP="009C464D">
            <w:pPr>
              <w:pStyle w:val="BodyText"/>
              <w:ind w:firstLine="0"/>
              <w:jc w:val="left"/>
              <w:rPr>
                <w:color w:val="000000" w:themeColor="text1"/>
                <w:sz w:val="16"/>
                <w:szCs w:val="16"/>
                <w:lang w:val="en-US"/>
              </w:rPr>
            </w:pPr>
            <w:r w:rsidRPr="008C292A">
              <w:rPr>
                <w:color w:val="000000" w:themeColor="text1"/>
                <w:sz w:val="16"/>
                <w:szCs w:val="16"/>
                <w:lang w:val="en-US"/>
              </w:rPr>
              <w:t>Algorithm</w:t>
            </w:r>
          </w:p>
        </w:tc>
        <w:tc>
          <w:tcPr>
            <w:tcW w:w="0" w:type="auto"/>
            <w:tcBorders>
              <w:top w:val="single" w:sz="4" w:space="0" w:color="auto"/>
              <w:bottom w:val="single" w:sz="4" w:space="0" w:color="auto"/>
            </w:tcBorders>
            <w:vAlign w:val="center"/>
            <w:hideMark/>
          </w:tcPr>
          <w:p w14:paraId="278254BE" w14:textId="77777777" w:rsidR="009C464D" w:rsidRPr="008C292A" w:rsidRDefault="009C464D" w:rsidP="009C464D">
            <w:pPr>
              <w:pStyle w:val="BodyText"/>
              <w:ind w:firstLine="0"/>
              <w:jc w:val="left"/>
              <w:rPr>
                <w:color w:val="000000" w:themeColor="text1"/>
                <w:sz w:val="16"/>
                <w:szCs w:val="16"/>
                <w:lang w:val="en-US"/>
              </w:rPr>
            </w:pPr>
            <w:r w:rsidRPr="008C292A">
              <w:rPr>
                <w:color w:val="000000" w:themeColor="text1"/>
                <w:sz w:val="16"/>
                <w:szCs w:val="16"/>
                <w:lang w:val="en-US"/>
              </w:rPr>
              <w:t>Transparency</w:t>
            </w:r>
          </w:p>
        </w:tc>
        <w:tc>
          <w:tcPr>
            <w:tcW w:w="0" w:type="auto"/>
            <w:tcBorders>
              <w:top w:val="single" w:sz="4" w:space="0" w:color="auto"/>
              <w:bottom w:val="single" w:sz="4" w:space="0" w:color="auto"/>
            </w:tcBorders>
            <w:vAlign w:val="center"/>
            <w:hideMark/>
          </w:tcPr>
          <w:p w14:paraId="4DF9D211" w14:textId="77777777" w:rsidR="009C464D" w:rsidRPr="008C292A" w:rsidRDefault="009C464D" w:rsidP="009C464D">
            <w:pPr>
              <w:pStyle w:val="BodyText"/>
              <w:ind w:firstLine="0"/>
              <w:jc w:val="left"/>
              <w:rPr>
                <w:color w:val="000000" w:themeColor="text1"/>
                <w:sz w:val="16"/>
                <w:szCs w:val="16"/>
                <w:lang w:val="en-US"/>
              </w:rPr>
            </w:pPr>
            <w:r w:rsidRPr="008C292A">
              <w:rPr>
                <w:color w:val="000000" w:themeColor="text1"/>
                <w:sz w:val="16"/>
                <w:szCs w:val="16"/>
                <w:lang w:val="en-US"/>
              </w:rPr>
              <w:t>Accessibility</w:t>
            </w:r>
          </w:p>
        </w:tc>
        <w:tc>
          <w:tcPr>
            <w:tcW w:w="0" w:type="auto"/>
            <w:tcBorders>
              <w:top w:val="single" w:sz="4" w:space="0" w:color="auto"/>
              <w:bottom w:val="single" w:sz="4" w:space="0" w:color="auto"/>
            </w:tcBorders>
            <w:vAlign w:val="center"/>
            <w:hideMark/>
          </w:tcPr>
          <w:p w14:paraId="03FCB63D" w14:textId="77777777" w:rsidR="009C464D" w:rsidRPr="008C292A" w:rsidRDefault="009C464D" w:rsidP="009C464D">
            <w:pPr>
              <w:pStyle w:val="BodyText"/>
              <w:ind w:firstLine="0"/>
              <w:jc w:val="left"/>
              <w:rPr>
                <w:color w:val="000000" w:themeColor="text1"/>
                <w:sz w:val="16"/>
                <w:szCs w:val="16"/>
                <w:lang w:val="en-US"/>
              </w:rPr>
            </w:pPr>
            <w:r w:rsidRPr="008C292A">
              <w:rPr>
                <w:color w:val="000000" w:themeColor="text1"/>
                <w:sz w:val="16"/>
                <w:szCs w:val="16"/>
                <w:lang w:val="en-US"/>
              </w:rPr>
              <w:t>Interoperability</w:t>
            </w:r>
          </w:p>
        </w:tc>
        <w:tc>
          <w:tcPr>
            <w:tcW w:w="0" w:type="auto"/>
            <w:tcBorders>
              <w:top w:val="single" w:sz="4" w:space="0" w:color="auto"/>
              <w:bottom w:val="single" w:sz="4" w:space="0" w:color="auto"/>
            </w:tcBorders>
            <w:vAlign w:val="center"/>
            <w:hideMark/>
          </w:tcPr>
          <w:p w14:paraId="10E7F065" w14:textId="77777777" w:rsidR="009C464D" w:rsidRPr="008C292A" w:rsidRDefault="009C464D" w:rsidP="009C464D">
            <w:pPr>
              <w:pStyle w:val="BodyText"/>
              <w:ind w:firstLine="0"/>
              <w:jc w:val="left"/>
              <w:rPr>
                <w:color w:val="000000" w:themeColor="text1"/>
                <w:sz w:val="16"/>
                <w:szCs w:val="16"/>
                <w:lang w:val="en-US"/>
              </w:rPr>
            </w:pPr>
            <w:r w:rsidRPr="008C292A">
              <w:rPr>
                <w:color w:val="000000" w:themeColor="text1"/>
                <w:sz w:val="16"/>
                <w:szCs w:val="16"/>
                <w:lang w:val="en-US"/>
              </w:rPr>
              <w:t>Long-term Viability</w:t>
            </w:r>
          </w:p>
        </w:tc>
        <w:tc>
          <w:tcPr>
            <w:tcW w:w="0" w:type="auto"/>
            <w:tcBorders>
              <w:top w:val="single" w:sz="4" w:space="0" w:color="auto"/>
              <w:bottom w:val="single" w:sz="4" w:space="0" w:color="auto"/>
            </w:tcBorders>
            <w:vAlign w:val="center"/>
            <w:hideMark/>
          </w:tcPr>
          <w:p w14:paraId="2CFE08F1" w14:textId="77777777" w:rsidR="009C464D" w:rsidRPr="008C292A" w:rsidRDefault="009C464D" w:rsidP="009C464D">
            <w:pPr>
              <w:pStyle w:val="BodyText"/>
              <w:ind w:firstLine="0"/>
              <w:jc w:val="left"/>
              <w:rPr>
                <w:color w:val="000000" w:themeColor="text1"/>
                <w:sz w:val="16"/>
                <w:szCs w:val="16"/>
                <w:lang w:val="en-US"/>
              </w:rPr>
            </w:pPr>
            <w:r w:rsidRPr="008C292A">
              <w:rPr>
                <w:color w:val="000000" w:themeColor="text1"/>
                <w:sz w:val="16"/>
                <w:szCs w:val="16"/>
                <w:lang w:val="en-US"/>
              </w:rPr>
              <w:t>Societal Impact</w:t>
            </w:r>
          </w:p>
        </w:tc>
        <w:tc>
          <w:tcPr>
            <w:tcW w:w="0" w:type="auto"/>
            <w:tcBorders>
              <w:top w:val="single" w:sz="4" w:space="0" w:color="auto"/>
              <w:bottom w:val="single" w:sz="4" w:space="0" w:color="auto"/>
            </w:tcBorders>
            <w:vAlign w:val="center"/>
            <w:hideMark/>
          </w:tcPr>
          <w:p w14:paraId="28A9CC82" w14:textId="77777777" w:rsidR="009C464D" w:rsidRPr="008C292A" w:rsidRDefault="009C464D" w:rsidP="00DB7511">
            <w:pPr>
              <w:pStyle w:val="BodyText"/>
              <w:ind w:firstLine="0"/>
              <w:jc w:val="left"/>
              <w:rPr>
                <w:color w:val="000000" w:themeColor="text1"/>
                <w:sz w:val="16"/>
                <w:szCs w:val="16"/>
                <w:lang w:val="en-US"/>
              </w:rPr>
            </w:pPr>
            <w:r w:rsidRPr="008C292A">
              <w:rPr>
                <w:color w:val="000000" w:themeColor="text1"/>
                <w:sz w:val="16"/>
                <w:szCs w:val="16"/>
                <w:lang w:val="en-US"/>
              </w:rPr>
              <w:t>Composite Score</w:t>
            </w:r>
          </w:p>
        </w:tc>
      </w:tr>
      <w:tr w:rsidR="009C464D" w:rsidRPr="008C292A" w14:paraId="01A280C8" w14:textId="77777777" w:rsidTr="009C464D">
        <w:trPr>
          <w:tblCellSpacing w:w="15" w:type="dxa"/>
          <w:jc w:val="center"/>
        </w:trPr>
        <w:tc>
          <w:tcPr>
            <w:tcW w:w="0" w:type="auto"/>
            <w:vAlign w:val="center"/>
            <w:hideMark/>
          </w:tcPr>
          <w:p w14:paraId="3F6D89F1" w14:textId="77777777" w:rsidR="009C464D" w:rsidRPr="008C292A" w:rsidRDefault="009C464D" w:rsidP="009C464D">
            <w:pPr>
              <w:pStyle w:val="BodyText"/>
              <w:ind w:firstLine="0"/>
              <w:jc w:val="left"/>
              <w:rPr>
                <w:color w:val="000000" w:themeColor="text1"/>
                <w:sz w:val="16"/>
                <w:szCs w:val="16"/>
                <w:lang w:val="en-US"/>
              </w:rPr>
            </w:pPr>
            <w:r w:rsidRPr="008C292A">
              <w:rPr>
                <w:color w:val="000000" w:themeColor="text1"/>
                <w:sz w:val="16"/>
                <w:szCs w:val="16"/>
                <w:lang w:val="en-US"/>
              </w:rPr>
              <w:t>Falcon</w:t>
            </w:r>
          </w:p>
        </w:tc>
        <w:tc>
          <w:tcPr>
            <w:tcW w:w="0" w:type="auto"/>
            <w:vAlign w:val="center"/>
            <w:hideMark/>
          </w:tcPr>
          <w:p w14:paraId="6851C574" w14:textId="77777777" w:rsidR="009C464D" w:rsidRPr="008C292A" w:rsidRDefault="009C464D" w:rsidP="009C464D">
            <w:pPr>
              <w:pStyle w:val="BodyText"/>
              <w:jc w:val="left"/>
              <w:rPr>
                <w:color w:val="000000" w:themeColor="text1"/>
                <w:sz w:val="16"/>
                <w:szCs w:val="16"/>
                <w:lang w:val="en-US"/>
              </w:rPr>
            </w:pPr>
            <w:r w:rsidRPr="008C292A">
              <w:rPr>
                <w:color w:val="000000" w:themeColor="text1"/>
                <w:sz w:val="16"/>
                <w:szCs w:val="16"/>
                <w:lang w:val="en-US"/>
              </w:rPr>
              <w:t>2.5</w:t>
            </w:r>
          </w:p>
        </w:tc>
        <w:tc>
          <w:tcPr>
            <w:tcW w:w="0" w:type="auto"/>
            <w:vAlign w:val="center"/>
            <w:hideMark/>
          </w:tcPr>
          <w:p w14:paraId="2410EA5B" w14:textId="77777777" w:rsidR="009C464D" w:rsidRPr="008C292A" w:rsidRDefault="009C464D" w:rsidP="009C464D">
            <w:pPr>
              <w:pStyle w:val="BodyText"/>
              <w:jc w:val="left"/>
              <w:rPr>
                <w:color w:val="000000" w:themeColor="text1"/>
                <w:sz w:val="16"/>
                <w:szCs w:val="16"/>
                <w:lang w:val="en-US"/>
              </w:rPr>
            </w:pPr>
            <w:r w:rsidRPr="008C292A">
              <w:rPr>
                <w:color w:val="000000" w:themeColor="text1"/>
                <w:sz w:val="16"/>
                <w:szCs w:val="16"/>
                <w:lang w:val="en-US"/>
              </w:rPr>
              <w:t>3.0</w:t>
            </w:r>
          </w:p>
        </w:tc>
        <w:tc>
          <w:tcPr>
            <w:tcW w:w="0" w:type="auto"/>
            <w:vAlign w:val="center"/>
            <w:hideMark/>
          </w:tcPr>
          <w:p w14:paraId="37FB5829" w14:textId="77777777" w:rsidR="009C464D" w:rsidRPr="008C292A" w:rsidRDefault="009C464D" w:rsidP="009C464D">
            <w:pPr>
              <w:pStyle w:val="BodyText"/>
              <w:jc w:val="left"/>
              <w:rPr>
                <w:color w:val="000000" w:themeColor="text1"/>
                <w:sz w:val="16"/>
                <w:szCs w:val="16"/>
                <w:lang w:val="en-US"/>
              </w:rPr>
            </w:pPr>
            <w:r w:rsidRPr="008C292A">
              <w:rPr>
                <w:color w:val="000000" w:themeColor="text1"/>
                <w:sz w:val="16"/>
                <w:szCs w:val="16"/>
                <w:lang w:val="en-US"/>
              </w:rPr>
              <w:t>4.5</w:t>
            </w:r>
          </w:p>
        </w:tc>
        <w:tc>
          <w:tcPr>
            <w:tcW w:w="0" w:type="auto"/>
            <w:vAlign w:val="center"/>
            <w:hideMark/>
          </w:tcPr>
          <w:p w14:paraId="4071F217" w14:textId="77777777" w:rsidR="009C464D" w:rsidRPr="008C292A" w:rsidRDefault="009C464D" w:rsidP="009C464D">
            <w:pPr>
              <w:pStyle w:val="BodyText"/>
              <w:ind w:firstLine="0"/>
              <w:jc w:val="left"/>
              <w:rPr>
                <w:color w:val="000000" w:themeColor="text1"/>
                <w:sz w:val="16"/>
                <w:szCs w:val="16"/>
                <w:lang w:val="en-US"/>
              </w:rPr>
            </w:pPr>
            <w:r w:rsidRPr="008C292A">
              <w:rPr>
                <w:color w:val="000000" w:themeColor="text1"/>
                <w:sz w:val="16"/>
                <w:szCs w:val="16"/>
                <w:lang w:val="en-US"/>
              </w:rPr>
              <w:t>4.8</w:t>
            </w:r>
          </w:p>
        </w:tc>
        <w:tc>
          <w:tcPr>
            <w:tcW w:w="0" w:type="auto"/>
            <w:vAlign w:val="center"/>
            <w:hideMark/>
          </w:tcPr>
          <w:p w14:paraId="6E6123FC" w14:textId="77777777" w:rsidR="009C464D" w:rsidRPr="008C292A" w:rsidRDefault="009C464D" w:rsidP="009C464D">
            <w:pPr>
              <w:pStyle w:val="BodyText"/>
              <w:ind w:firstLine="0"/>
              <w:jc w:val="left"/>
              <w:rPr>
                <w:color w:val="000000" w:themeColor="text1"/>
                <w:sz w:val="16"/>
                <w:szCs w:val="16"/>
                <w:lang w:val="en-US"/>
              </w:rPr>
            </w:pPr>
            <w:r w:rsidRPr="008C292A">
              <w:rPr>
                <w:color w:val="000000" w:themeColor="text1"/>
                <w:sz w:val="16"/>
                <w:szCs w:val="16"/>
                <w:lang w:val="en-US"/>
              </w:rPr>
              <w:t>3.5</w:t>
            </w:r>
          </w:p>
        </w:tc>
        <w:tc>
          <w:tcPr>
            <w:tcW w:w="0" w:type="auto"/>
            <w:vAlign w:val="center"/>
            <w:hideMark/>
          </w:tcPr>
          <w:p w14:paraId="1FAE6D44" w14:textId="77777777" w:rsidR="009C464D" w:rsidRPr="008C292A" w:rsidRDefault="009C464D" w:rsidP="009C464D">
            <w:pPr>
              <w:pStyle w:val="BodyText"/>
              <w:jc w:val="left"/>
              <w:rPr>
                <w:color w:val="000000" w:themeColor="text1"/>
                <w:sz w:val="16"/>
                <w:szCs w:val="16"/>
                <w:lang w:val="en-US"/>
              </w:rPr>
            </w:pPr>
            <w:r w:rsidRPr="008C292A">
              <w:rPr>
                <w:color w:val="000000" w:themeColor="text1"/>
                <w:sz w:val="16"/>
                <w:szCs w:val="16"/>
                <w:lang w:val="en-US"/>
              </w:rPr>
              <w:t>3.7</w:t>
            </w:r>
          </w:p>
        </w:tc>
      </w:tr>
      <w:tr w:rsidR="009C464D" w:rsidRPr="008C292A" w14:paraId="7C672113" w14:textId="77777777" w:rsidTr="009C464D">
        <w:trPr>
          <w:tblCellSpacing w:w="15" w:type="dxa"/>
          <w:jc w:val="center"/>
        </w:trPr>
        <w:tc>
          <w:tcPr>
            <w:tcW w:w="0" w:type="auto"/>
            <w:vAlign w:val="center"/>
            <w:hideMark/>
          </w:tcPr>
          <w:p w14:paraId="5233192D" w14:textId="77777777" w:rsidR="009C464D" w:rsidRPr="008C292A" w:rsidRDefault="009C464D" w:rsidP="009C464D">
            <w:pPr>
              <w:pStyle w:val="BodyText"/>
              <w:ind w:firstLine="0"/>
              <w:jc w:val="left"/>
              <w:rPr>
                <w:color w:val="000000" w:themeColor="text1"/>
                <w:sz w:val="16"/>
                <w:szCs w:val="16"/>
                <w:lang w:val="en-US"/>
              </w:rPr>
            </w:pPr>
            <w:proofErr w:type="spellStart"/>
            <w:r w:rsidRPr="008C292A">
              <w:rPr>
                <w:color w:val="000000" w:themeColor="text1"/>
                <w:sz w:val="16"/>
                <w:szCs w:val="16"/>
                <w:lang w:val="en-US"/>
              </w:rPr>
              <w:t>Dilithium</w:t>
            </w:r>
            <w:proofErr w:type="spellEnd"/>
          </w:p>
        </w:tc>
        <w:tc>
          <w:tcPr>
            <w:tcW w:w="0" w:type="auto"/>
            <w:vAlign w:val="center"/>
            <w:hideMark/>
          </w:tcPr>
          <w:p w14:paraId="0D59A6BF" w14:textId="77777777" w:rsidR="009C464D" w:rsidRPr="008C292A" w:rsidRDefault="009C464D" w:rsidP="009C464D">
            <w:pPr>
              <w:pStyle w:val="BodyText"/>
              <w:jc w:val="left"/>
              <w:rPr>
                <w:color w:val="000000" w:themeColor="text1"/>
                <w:sz w:val="16"/>
                <w:szCs w:val="16"/>
                <w:lang w:val="en-US"/>
              </w:rPr>
            </w:pPr>
            <w:r w:rsidRPr="008C292A">
              <w:rPr>
                <w:color w:val="000000" w:themeColor="text1"/>
                <w:sz w:val="16"/>
                <w:szCs w:val="16"/>
                <w:lang w:val="en-US"/>
              </w:rPr>
              <w:t>3.0</w:t>
            </w:r>
          </w:p>
        </w:tc>
        <w:tc>
          <w:tcPr>
            <w:tcW w:w="0" w:type="auto"/>
            <w:vAlign w:val="center"/>
            <w:hideMark/>
          </w:tcPr>
          <w:p w14:paraId="435EB2B2" w14:textId="77777777" w:rsidR="009C464D" w:rsidRPr="008C292A" w:rsidRDefault="009C464D" w:rsidP="009C464D">
            <w:pPr>
              <w:pStyle w:val="BodyText"/>
              <w:jc w:val="left"/>
              <w:rPr>
                <w:color w:val="000000" w:themeColor="text1"/>
                <w:sz w:val="16"/>
                <w:szCs w:val="16"/>
                <w:lang w:val="en-US"/>
              </w:rPr>
            </w:pPr>
            <w:r w:rsidRPr="008C292A">
              <w:rPr>
                <w:color w:val="000000" w:themeColor="text1"/>
                <w:sz w:val="16"/>
                <w:szCs w:val="16"/>
                <w:lang w:val="en-US"/>
              </w:rPr>
              <w:t>4.2</w:t>
            </w:r>
          </w:p>
        </w:tc>
        <w:tc>
          <w:tcPr>
            <w:tcW w:w="0" w:type="auto"/>
            <w:vAlign w:val="center"/>
            <w:hideMark/>
          </w:tcPr>
          <w:p w14:paraId="22FA312E" w14:textId="77777777" w:rsidR="009C464D" w:rsidRPr="008C292A" w:rsidRDefault="009C464D" w:rsidP="009C464D">
            <w:pPr>
              <w:pStyle w:val="BodyText"/>
              <w:jc w:val="left"/>
              <w:rPr>
                <w:color w:val="000000" w:themeColor="text1"/>
                <w:sz w:val="16"/>
                <w:szCs w:val="16"/>
                <w:lang w:val="en-US"/>
              </w:rPr>
            </w:pPr>
            <w:r w:rsidRPr="008C292A">
              <w:rPr>
                <w:color w:val="000000" w:themeColor="text1"/>
                <w:sz w:val="16"/>
                <w:szCs w:val="16"/>
                <w:lang w:val="en-US"/>
              </w:rPr>
              <w:t>4.3</w:t>
            </w:r>
          </w:p>
        </w:tc>
        <w:tc>
          <w:tcPr>
            <w:tcW w:w="0" w:type="auto"/>
            <w:vAlign w:val="center"/>
            <w:hideMark/>
          </w:tcPr>
          <w:p w14:paraId="733D755E" w14:textId="77777777" w:rsidR="009C464D" w:rsidRPr="008C292A" w:rsidRDefault="009C464D" w:rsidP="009C464D">
            <w:pPr>
              <w:pStyle w:val="BodyText"/>
              <w:ind w:firstLine="0"/>
              <w:jc w:val="left"/>
              <w:rPr>
                <w:color w:val="000000" w:themeColor="text1"/>
                <w:sz w:val="16"/>
                <w:szCs w:val="16"/>
                <w:lang w:val="en-US"/>
              </w:rPr>
            </w:pPr>
            <w:r w:rsidRPr="008C292A">
              <w:rPr>
                <w:color w:val="000000" w:themeColor="text1"/>
                <w:sz w:val="16"/>
                <w:szCs w:val="16"/>
                <w:lang w:val="en-US"/>
              </w:rPr>
              <w:t>4.9</w:t>
            </w:r>
          </w:p>
        </w:tc>
        <w:tc>
          <w:tcPr>
            <w:tcW w:w="0" w:type="auto"/>
            <w:vAlign w:val="center"/>
            <w:hideMark/>
          </w:tcPr>
          <w:p w14:paraId="17CC982E" w14:textId="77777777" w:rsidR="009C464D" w:rsidRPr="008C292A" w:rsidRDefault="009C464D" w:rsidP="009C464D">
            <w:pPr>
              <w:pStyle w:val="BodyText"/>
              <w:ind w:firstLine="0"/>
              <w:jc w:val="left"/>
              <w:rPr>
                <w:color w:val="000000" w:themeColor="text1"/>
                <w:sz w:val="16"/>
                <w:szCs w:val="16"/>
                <w:lang w:val="en-US"/>
              </w:rPr>
            </w:pPr>
            <w:r w:rsidRPr="008C292A">
              <w:rPr>
                <w:color w:val="000000" w:themeColor="text1"/>
                <w:sz w:val="16"/>
                <w:szCs w:val="16"/>
                <w:lang w:val="en-US"/>
              </w:rPr>
              <w:t>4.0</w:t>
            </w:r>
          </w:p>
        </w:tc>
        <w:tc>
          <w:tcPr>
            <w:tcW w:w="0" w:type="auto"/>
            <w:vAlign w:val="center"/>
            <w:hideMark/>
          </w:tcPr>
          <w:p w14:paraId="1EF6C819" w14:textId="77777777" w:rsidR="009C464D" w:rsidRPr="008C292A" w:rsidRDefault="009C464D" w:rsidP="009C464D">
            <w:pPr>
              <w:pStyle w:val="BodyText"/>
              <w:jc w:val="left"/>
              <w:rPr>
                <w:color w:val="000000" w:themeColor="text1"/>
                <w:sz w:val="16"/>
                <w:szCs w:val="16"/>
                <w:lang w:val="en-US"/>
              </w:rPr>
            </w:pPr>
            <w:r w:rsidRPr="008C292A">
              <w:rPr>
                <w:color w:val="000000" w:themeColor="text1"/>
                <w:sz w:val="16"/>
                <w:szCs w:val="16"/>
                <w:lang w:val="en-US"/>
              </w:rPr>
              <w:t>4.1</w:t>
            </w:r>
          </w:p>
        </w:tc>
      </w:tr>
      <w:tr w:rsidR="009C464D" w:rsidRPr="008C292A" w14:paraId="78A8F8EC" w14:textId="77777777" w:rsidTr="009C464D">
        <w:trPr>
          <w:tblCellSpacing w:w="15" w:type="dxa"/>
          <w:jc w:val="center"/>
        </w:trPr>
        <w:tc>
          <w:tcPr>
            <w:tcW w:w="0" w:type="auto"/>
            <w:vAlign w:val="center"/>
            <w:hideMark/>
          </w:tcPr>
          <w:p w14:paraId="1B6CC65F" w14:textId="77777777" w:rsidR="009C464D" w:rsidRPr="008C292A" w:rsidRDefault="009C464D" w:rsidP="009C464D">
            <w:pPr>
              <w:pStyle w:val="BodyText"/>
              <w:ind w:firstLine="0"/>
              <w:jc w:val="left"/>
              <w:rPr>
                <w:color w:val="000000" w:themeColor="text1"/>
                <w:sz w:val="16"/>
                <w:szCs w:val="16"/>
                <w:lang w:val="en-US"/>
              </w:rPr>
            </w:pPr>
            <w:r w:rsidRPr="008C292A">
              <w:rPr>
                <w:color w:val="000000" w:themeColor="text1"/>
                <w:sz w:val="16"/>
                <w:szCs w:val="16"/>
                <w:lang w:val="en-US"/>
              </w:rPr>
              <w:t>Kyber</w:t>
            </w:r>
          </w:p>
        </w:tc>
        <w:tc>
          <w:tcPr>
            <w:tcW w:w="0" w:type="auto"/>
            <w:vAlign w:val="center"/>
            <w:hideMark/>
          </w:tcPr>
          <w:p w14:paraId="3702F6B7" w14:textId="77777777" w:rsidR="009C464D" w:rsidRPr="008C292A" w:rsidRDefault="009C464D" w:rsidP="009C464D">
            <w:pPr>
              <w:pStyle w:val="BodyText"/>
              <w:jc w:val="left"/>
              <w:rPr>
                <w:color w:val="000000" w:themeColor="text1"/>
                <w:sz w:val="16"/>
                <w:szCs w:val="16"/>
                <w:lang w:val="en-US"/>
              </w:rPr>
            </w:pPr>
            <w:r w:rsidRPr="008C292A">
              <w:rPr>
                <w:color w:val="000000" w:themeColor="text1"/>
                <w:sz w:val="16"/>
                <w:szCs w:val="16"/>
                <w:lang w:val="en-US"/>
              </w:rPr>
              <w:t>2.8</w:t>
            </w:r>
          </w:p>
        </w:tc>
        <w:tc>
          <w:tcPr>
            <w:tcW w:w="0" w:type="auto"/>
            <w:vAlign w:val="center"/>
            <w:hideMark/>
          </w:tcPr>
          <w:p w14:paraId="07BF99E9" w14:textId="77777777" w:rsidR="009C464D" w:rsidRPr="008C292A" w:rsidRDefault="009C464D" w:rsidP="009C464D">
            <w:pPr>
              <w:pStyle w:val="BodyText"/>
              <w:jc w:val="left"/>
              <w:rPr>
                <w:color w:val="000000" w:themeColor="text1"/>
                <w:sz w:val="16"/>
                <w:szCs w:val="16"/>
                <w:lang w:val="en-US"/>
              </w:rPr>
            </w:pPr>
            <w:r w:rsidRPr="008C292A">
              <w:rPr>
                <w:color w:val="000000" w:themeColor="text1"/>
                <w:sz w:val="16"/>
                <w:szCs w:val="16"/>
                <w:lang w:val="en-US"/>
              </w:rPr>
              <w:t>4.5</w:t>
            </w:r>
          </w:p>
        </w:tc>
        <w:tc>
          <w:tcPr>
            <w:tcW w:w="0" w:type="auto"/>
            <w:vAlign w:val="center"/>
            <w:hideMark/>
          </w:tcPr>
          <w:p w14:paraId="5C802170" w14:textId="77777777" w:rsidR="009C464D" w:rsidRPr="008C292A" w:rsidRDefault="009C464D" w:rsidP="009C464D">
            <w:pPr>
              <w:pStyle w:val="BodyText"/>
              <w:jc w:val="left"/>
              <w:rPr>
                <w:color w:val="000000" w:themeColor="text1"/>
                <w:sz w:val="16"/>
                <w:szCs w:val="16"/>
                <w:lang w:val="en-US"/>
              </w:rPr>
            </w:pPr>
            <w:r w:rsidRPr="008C292A">
              <w:rPr>
                <w:color w:val="000000" w:themeColor="text1"/>
                <w:sz w:val="16"/>
                <w:szCs w:val="16"/>
                <w:lang w:val="en-US"/>
              </w:rPr>
              <w:t>4.7</w:t>
            </w:r>
          </w:p>
        </w:tc>
        <w:tc>
          <w:tcPr>
            <w:tcW w:w="0" w:type="auto"/>
            <w:vAlign w:val="center"/>
            <w:hideMark/>
          </w:tcPr>
          <w:p w14:paraId="3A8F9C75" w14:textId="77777777" w:rsidR="009C464D" w:rsidRPr="008C292A" w:rsidRDefault="009C464D" w:rsidP="009C464D">
            <w:pPr>
              <w:pStyle w:val="BodyText"/>
              <w:ind w:firstLine="0"/>
              <w:jc w:val="left"/>
              <w:rPr>
                <w:color w:val="000000" w:themeColor="text1"/>
                <w:sz w:val="16"/>
                <w:szCs w:val="16"/>
                <w:lang w:val="en-US"/>
              </w:rPr>
            </w:pPr>
            <w:r w:rsidRPr="008C292A">
              <w:rPr>
                <w:color w:val="000000" w:themeColor="text1"/>
                <w:sz w:val="16"/>
                <w:szCs w:val="16"/>
                <w:lang w:val="en-US"/>
              </w:rPr>
              <w:t>4.9</w:t>
            </w:r>
          </w:p>
        </w:tc>
        <w:tc>
          <w:tcPr>
            <w:tcW w:w="0" w:type="auto"/>
            <w:vAlign w:val="center"/>
            <w:hideMark/>
          </w:tcPr>
          <w:p w14:paraId="3271F505" w14:textId="77777777" w:rsidR="009C464D" w:rsidRPr="008C292A" w:rsidRDefault="009C464D" w:rsidP="009C464D">
            <w:pPr>
              <w:pStyle w:val="BodyText"/>
              <w:ind w:firstLine="0"/>
              <w:jc w:val="left"/>
              <w:rPr>
                <w:color w:val="000000" w:themeColor="text1"/>
                <w:sz w:val="16"/>
                <w:szCs w:val="16"/>
                <w:lang w:val="en-US"/>
              </w:rPr>
            </w:pPr>
            <w:r w:rsidRPr="008C292A">
              <w:rPr>
                <w:color w:val="000000" w:themeColor="text1"/>
                <w:sz w:val="16"/>
                <w:szCs w:val="16"/>
                <w:lang w:val="en-US"/>
              </w:rPr>
              <w:t>3.8</w:t>
            </w:r>
          </w:p>
        </w:tc>
        <w:tc>
          <w:tcPr>
            <w:tcW w:w="0" w:type="auto"/>
            <w:vAlign w:val="center"/>
            <w:hideMark/>
          </w:tcPr>
          <w:p w14:paraId="58D1835A" w14:textId="77777777" w:rsidR="009C464D" w:rsidRPr="008C292A" w:rsidRDefault="009C464D" w:rsidP="009C464D">
            <w:pPr>
              <w:pStyle w:val="BodyText"/>
              <w:jc w:val="left"/>
              <w:rPr>
                <w:color w:val="000000" w:themeColor="text1"/>
                <w:sz w:val="16"/>
                <w:szCs w:val="16"/>
                <w:lang w:val="en-US"/>
              </w:rPr>
            </w:pPr>
            <w:r w:rsidRPr="008C292A">
              <w:rPr>
                <w:color w:val="000000" w:themeColor="text1"/>
                <w:sz w:val="16"/>
                <w:szCs w:val="16"/>
                <w:lang w:val="en-US"/>
              </w:rPr>
              <w:t>4.1</w:t>
            </w:r>
          </w:p>
        </w:tc>
      </w:tr>
      <w:tr w:rsidR="009C464D" w:rsidRPr="008C292A" w14:paraId="71A6B14F" w14:textId="77777777" w:rsidTr="009C464D">
        <w:trPr>
          <w:tblCellSpacing w:w="15" w:type="dxa"/>
          <w:jc w:val="center"/>
        </w:trPr>
        <w:tc>
          <w:tcPr>
            <w:tcW w:w="0" w:type="auto"/>
            <w:vAlign w:val="center"/>
            <w:hideMark/>
          </w:tcPr>
          <w:p w14:paraId="05625ECA" w14:textId="77777777" w:rsidR="009C464D" w:rsidRPr="008C292A" w:rsidRDefault="009C464D" w:rsidP="009C464D">
            <w:pPr>
              <w:pStyle w:val="BodyText"/>
              <w:ind w:firstLine="0"/>
              <w:jc w:val="left"/>
              <w:rPr>
                <w:color w:val="000000" w:themeColor="text1"/>
                <w:sz w:val="16"/>
                <w:szCs w:val="16"/>
                <w:lang w:val="en-US"/>
              </w:rPr>
            </w:pPr>
            <w:r w:rsidRPr="008C292A">
              <w:rPr>
                <w:color w:val="000000" w:themeColor="text1"/>
                <w:sz w:val="16"/>
                <w:szCs w:val="16"/>
                <w:lang w:val="en-US"/>
              </w:rPr>
              <w:t>Rainbow</w:t>
            </w:r>
          </w:p>
        </w:tc>
        <w:tc>
          <w:tcPr>
            <w:tcW w:w="0" w:type="auto"/>
            <w:vAlign w:val="center"/>
            <w:hideMark/>
          </w:tcPr>
          <w:p w14:paraId="29DB11F9" w14:textId="77777777" w:rsidR="009C464D" w:rsidRPr="008C292A" w:rsidRDefault="009C464D" w:rsidP="009C464D">
            <w:pPr>
              <w:pStyle w:val="BodyText"/>
              <w:jc w:val="left"/>
              <w:rPr>
                <w:color w:val="000000" w:themeColor="text1"/>
                <w:sz w:val="16"/>
                <w:szCs w:val="16"/>
                <w:lang w:val="en-US"/>
              </w:rPr>
            </w:pPr>
            <w:r w:rsidRPr="008C292A">
              <w:rPr>
                <w:color w:val="000000" w:themeColor="text1"/>
                <w:sz w:val="16"/>
                <w:szCs w:val="16"/>
                <w:lang w:val="en-US"/>
              </w:rPr>
              <w:t>3.2</w:t>
            </w:r>
          </w:p>
        </w:tc>
        <w:tc>
          <w:tcPr>
            <w:tcW w:w="0" w:type="auto"/>
            <w:vAlign w:val="center"/>
            <w:hideMark/>
          </w:tcPr>
          <w:p w14:paraId="544D45D6" w14:textId="77777777" w:rsidR="009C464D" w:rsidRPr="008C292A" w:rsidRDefault="009C464D" w:rsidP="009C464D">
            <w:pPr>
              <w:pStyle w:val="BodyText"/>
              <w:jc w:val="left"/>
              <w:rPr>
                <w:color w:val="000000" w:themeColor="text1"/>
                <w:sz w:val="16"/>
                <w:szCs w:val="16"/>
                <w:lang w:val="en-US"/>
              </w:rPr>
            </w:pPr>
            <w:r w:rsidRPr="008C292A">
              <w:rPr>
                <w:color w:val="000000" w:themeColor="text1"/>
                <w:sz w:val="16"/>
                <w:szCs w:val="16"/>
                <w:lang w:val="en-US"/>
              </w:rPr>
              <w:t>2.8</w:t>
            </w:r>
          </w:p>
        </w:tc>
        <w:tc>
          <w:tcPr>
            <w:tcW w:w="0" w:type="auto"/>
            <w:vAlign w:val="center"/>
            <w:hideMark/>
          </w:tcPr>
          <w:p w14:paraId="337D0E6A" w14:textId="77777777" w:rsidR="009C464D" w:rsidRPr="008C292A" w:rsidRDefault="009C464D" w:rsidP="009C464D">
            <w:pPr>
              <w:pStyle w:val="BodyText"/>
              <w:jc w:val="left"/>
              <w:rPr>
                <w:color w:val="000000" w:themeColor="text1"/>
                <w:sz w:val="16"/>
                <w:szCs w:val="16"/>
                <w:lang w:val="en-US"/>
              </w:rPr>
            </w:pPr>
            <w:r w:rsidRPr="008C292A">
              <w:rPr>
                <w:color w:val="000000" w:themeColor="text1"/>
                <w:sz w:val="16"/>
                <w:szCs w:val="16"/>
                <w:lang w:val="en-US"/>
              </w:rPr>
              <w:t>3.9</w:t>
            </w:r>
          </w:p>
        </w:tc>
        <w:tc>
          <w:tcPr>
            <w:tcW w:w="0" w:type="auto"/>
            <w:vAlign w:val="center"/>
            <w:hideMark/>
          </w:tcPr>
          <w:p w14:paraId="5F9ED305" w14:textId="77777777" w:rsidR="009C464D" w:rsidRPr="008C292A" w:rsidRDefault="009C464D" w:rsidP="009C464D">
            <w:pPr>
              <w:pStyle w:val="BodyText"/>
              <w:ind w:firstLine="0"/>
              <w:jc w:val="left"/>
              <w:rPr>
                <w:color w:val="000000" w:themeColor="text1"/>
                <w:sz w:val="16"/>
                <w:szCs w:val="16"/>
                <w:lang w:val="en-US"/>
              </w:rPr>
            </w:pPr>
            <w:r w:rsidRPr="008C292A">
              <w:rPr>
                <w:color w:val="000000" w:themeColor="text1"/>
                <w:sz w:val="16"/>
                <w:szCs w:val="16"/>
                <w:lang w:val="en-US"/>
              </w:rPr>
              <w:t>3.2</w:t>
            </w:r>
          </w:p>
        </w:tc>
        <w:tc>
          <w:tcPr>
            <w:tcW w:w="0" w:type="auto"/>
            <w:vAlign w:val="center"/>
            <w:hideMark/>
          </w:tcPr>
          <w:p w14:paraId="6B1250D6" w14:textId="77777777" w:rsidR="009C464D" w:rsidRPr="008C292A" w:rsidRDefault="009C464D" w:rsidP="009C464D">
            <w:pPr>
              <w:pStyle w:val="BodyText"/>
              <w:ind w:firstLine="0"/>
              <w:jc w:val="left"/>
              <w:rPr>
                <w:color w:val="000000" w:themeColor="text1"/>
                <w:sz w:val="16"/>
                <w:szCs w:val="16"/>
                <w:lang w:val="en-US"/>
              </w:rPr>
            </w:pPr>
            <w:r w:rsidRPr="008C292A">
              <w:rPr>
                <w:color w:val="000000" w:themeColor="text1"/>
                <w:sz w:val="16"/>
                <w:szCs w:val="16"/>
                <w:lang w:val="en-US"/>
              </w:rPr>
              <w:t>2.5</w:t>
            </w:r>
          </w:p>
        </w:tc>
        <w:tc>
          <w:tcPr>
            <w:tcW w:w="0" w:type="auto"/>
            <w:vAlign w:val="center"/>
            <w:hideMark/>
          </w:tcPr>
          <w:p w14:paraId="38B422C5" w14:textId="77777777" w:rsidR="009C464D" w:rsidRPr="008C292A" w:rsidRDefault="009C464D" w:rsidP="009C464D">
            <w:pPr>
              <w:pStyle w:val="BodyText"/>
              <w:jc w:val="left"/>
              <w:rPr>
                <w:color w:val="000000" w:themeColor="text1"/>
                <w:sz w:val="16"/>
                <w:szCs w:val="16"/>
                <w:lang w:val="en-US"/>
              </w:rPr>
            </w:pPr>
            <w:r w:rsidRPr="008C292A">
              <w:rPr>
                <w:color w:val="000000" w:themeColor="text1"/>
                <w:sz w:val="16"/>
                <w:szCs w:val="16"/>
                <w:lang w:val="en-US"/>
              </w:rPr>
              <w:t>3.1</w:t>
            </w:r>
          </w:p>
        </w:tc>
      </w:tr>
    </w:tbl>
    <w:p w14:paraId="22ED2A6C" w14:textId="77777777" w:rsidR="009C464D" w:rsidRPr="008C292A" w:rsidRDefault="009C464D" w:rsidP="009C464D">
      <w:pPr>
        <w:pStyle w:val="BodyText"/>
        <w:jc w:val="left"/>
        <w:rPr>
          <w:color w:val="000000" w:themeColor="text1"/>
          <w:lang w:val="en-US"/>
        </w:rPr>
      </w:pPr>
      <w:r w:rsidRPr="008C292A">
        <w:rPr>
          <w:color w:val="000000" w:themeColor="text1"/>
          <w:lang w:val="en-US"/>
        </w:rPr>
        <w:t xml:space="preserve">Observation: </w:t>
      </w:r>
      <w:proofErr w:type="spellStart"/>
      <w:r w:rsidRPr="008C292A">
        <w:rPr>
          <w:color w:val="000000" w:themeColor="text1"/>
          <w:lang w:val="en-US"/>
        </w:rPr>
        <w:t>Dilithium</w:t>
      </w:r>
      <w:proofErr w:type="spellEnd"/>
      <w:r w:rsidRPr="008C292A">
        <w:rPr>
          <w:color w:val="000000" w:themeColor="text1"/>
          <w:lang w:val="en-US"/>
        </w:rPr>
        <w:t xml:space="preserve"> and Kyber perform best overall, though Falcon shows superior long-term viability.</w:t>
      </w:r>
    </w:p>
    <w:p w14:paraId="1BD4047A" w14:textId="77777777" w:rsidR="009C464D" w:rsidRPr="008C292A" w:rsidRDefault="009C464D" w:rsidP="00DB7511">
      <w:pPr>
        <w:pStyle w:val="BodyText"/>
        <w:rPr>
          <w:i/>
          <w:iCs/>
          <w:color w:val="000000" w:themeColor="text1"/>
          <w:lang w:val="en-US"/>
        </w:rPr>
      </w:pPr>
      <w:r w:rsidRPr="008C292A">
        <w:rPr>
          <w:i/>
          <w:iCs/>
          <w:color w:val="000000" w:themeColor="text1"/>
          <w:lang w:val="en-US"/>
        </w:rPr>
        <w:t>D. Validation Approach</w:t>
      </w:r>
    </w:p>
    <w:p w14:paraId="2FBC7CAF" w14:textId="77777777" w:rsidR="009C464D" w:rsidRPr="008C292A" w:rsidRDefault="009C464D" w:rsidP="009C464D">
      <w:pPr>
        <w:pStyle w:val="BodyText"/>
        <w:numPr>
          <w:ilvl w:val="0"/>
          <w:numId w:val="25"/>
        </w:numPr>
        <w:rPr>
          <w:color w:val="000000" w:themeColor="text1"/>
          <w:lang w:val="en-US"/>
        </w:rPr>
      </w:pPr>
      <w:r w:rsidRPr="008C292A">
        <w:rPr>
          <w:color w:val="000000" w:themeColor="text1"/>
          <w:lang w:val="en-US"/>
        </w:rPr>
        <w:t>Expert Workshops – 15 participants (cryptographers, policymakers, legal scholars) rated regulatory alignment.</w:t>
      </w:r>
    </w:p>
    <w:p w14:paraId="6D082089" w14:textId="77777777" w:rsidR="009C464D" w:rsidRPr="008C292A" w:rsidRDefault="009C464D" w:rsidP="009C464D">
      <w:pPr>
        <w:pStyle w:val="BodyText"/>
        <w:numPr>
          <w:ilvl w:val="0"/>
          <w:numId w:val="25"/>
        </w:numPr>
        <w:rPr>
          <w:color w:val="000000" w:themeColor="text1"/>
          <w:lang w:val="en-US"/>
        </w:rPr>
      </w:pPr>
      <w:r w:rsidRPr="008C292A">
        <w:rPr>
          <w:color w:val="000000" w:themeColor="text1"/>
          <w:lang w:val="en-US"/>
        </w:rPr>
        <w:t>Case Studies – 3 industry pilots (financial services, healthcare, IoT) tested PQC migration scenarios.</w:t>
      </w:r>
    </w:p>
    <w:p w14:paraId="6BD5153D" w14:textId="77777777" w:rsidR="009C464D" w:rsidRPr="008C292A" w:rsidRDefault="009C464D" w:rsidP="009C464D">
      <w:pPr>
        <w:pStyle w:val="BodyText"/>
        <w:numPr>
          <w:ilvl w:val="0"/>
          <w:numId w:val="25"/>
        </w:numPr>
        <w:rPr>
          <w:color w:val="000000" w:themeColor="text1"/>
          <w:lang w:val="en-US"/>
        </w:rPr>
      </w:pPr>
      <w:r w:rsidRPr="008C292A">
        <w:rPr>
          <w:color w:val="000000" w:themeColor="text1"/>
          <w:lang w:val="en-US"/>
        </w:rPr>
        <w:t>Simulation Testing – Benchmarking PQC algorithms on compliance-linked technical metrics.</w:t>
      </w:r>
    </w:p>
    <w:p w14:paraId="5DBA3BA8" w14:textId="1FAA577E" w:rsidR="009C464D" w:rsidRPr="008C292A" w:rsidRDefault="009C464D" w:rsidP="006A4DAA">
      <w:pPr>
        <w:pStyle w:val="Heading1"/>
        <w:ind w:firstLine="0"/>
        <w:rPr>
          <w:color w:val="000000" w:themeColor="text1"/>
        </w:rPr>
      </w:pPr>
      <w:r w:rsidRPr="008C292A">
        <w:rPr>
          <w:color w:val="000000" w:themeColor="text1"/>
        </w:rPr>
        <w:t>Results and Discussion</w:t>
      </w:r>
    </w:p>
    <w:p w14:paraId="4C8F8288" w14:textId="77777777" w:rsidR="009C464D" w:rsidRPr="008C292A" w:rsidRDefault="009C464D" w:rsidP="00DB7511">
      <w:pPr>
        <w:pStyle w:val="BodyText"/>
        <w:ind w:left="720" w:firstLine="0"/>
        <w:rPr>
          <w:i/>
          <w:iCs/>
          <w:color w:val="000000" w:themeColor="text1"/>
          <w:lang w:val="en-US"/>
        </w:rPr>
      </w:pPr>
      <w:r w:rsidRPr="008C292A">
        <w:rPr>
          <w:i/>
          <w:iCs/>
          <w:color w:val="000000" w:themeColor="text1"/>
          <w:lang w:val="en-US"/>
        </w:rPr>
        <w:t>A. Technical Benchmarking</w:t>
      </w:r>
    </w:p>
    <w:p w14:paraId="388F87D4" w14:textId="1EA6959E" w:rsidR="009C464D" w:rsidRPr="008C292A" w:rsidRDefault="009C464D" w:rsidP="009C464D">
      <w:pPr>
        <w:pStyle w:val="BodyText"/>
        <w:rPr>
          <w:color w:val="000000" w:themeColor="text1"/>
          <w:lang w:val="en-US"/>
        </w:rPr>
      </w:pPr>
      <w:r w:rsidRPr="008C292A">
        <w:rPr>
          <w:color w:val="000000" w:themeColor="text1"/>
          <w:lang w:val="en-US"/>
        </w:rPr>
        <w:t xml:space="preserve">Table </w:t>
      </w:r>
      <w:r w:rsidR="006A4DAA" w:rsidRPr="008C292A">
        <w:rPr>
          <w:color w:val="000000" w:themeColor="text1"/>
          <w:lang w:val="en-US"/>
        </w:rPr>
        <w:t>4</w:t>
      </w:r>
      <w:r w:rsidRPr="008C292A">
        <w:rPr>
          <w:color w:val="000000" w:themeColor="text1"/>
          <w:lang w:val="en-US"/>
        </w:rPr>
        <w:t xml:space="preserve"> Performance Benchmark of PQC Algorithms</w:t>
      </w:r>
      <w:r w:rsidR="00DB7511" w:rsidRPr="008C292A">
        <w:rPr>
          <w:color w:val="000000" w:themeColor="text1"/>
          <w:lang w:val="en-US"/>
        </w:rPr>
        <w:t xml:space="preserve"> results.</w:t>
      </w:r>
    </w:p>
    <w:p w14:paraId="5B625FFE" w14:textId="6F5C3FE4" w:rsidR="000D50B7" w:rsidRPr="008C292A" w:rsidRDefault="009C464D" w:rsidP="000D50B7">
      <w:pPr>
        <w:pStyle w:val="Caption"/>
        <w:keepNext/>
      </w:pPr>
      <w:r w:rsidRPr="008C292A">
        <w:lastRenderedPageBreak/>
        <w:t xml:space="preserve">Table </w:t>
      </w:r>
      <w:r w:rsidR="006A4DAA" w:rsidRPr="008C292A">
        <w:t>4</w:t>
      </w:r>
      <w:r w:rsidRPr="008C292A">
        <w:t xml:space="preserve">. Performance Benchmark of PQC Algorithms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33"/>
        <w:gridCol w:w="596"/>
        <w:gridCol w:w="897"/>
        <w:gridCol w:w="839"/>
        <w:gridCol w:w="1016"/>
        <w:gridCol w:w="785"/>
      </w:tblGrid>
      <w:tr w:rsidR="009C464D" w:rsidRPr="008C292A" w14:paraId="373398E0" w14:textId="77777777" w:rsidTr="002F2700">
        <w:trPr>
          <w:tblHeader/>
          <w:tblCellSpacing w:w="15" w:type="dxa"/>
        </w:trPr>
        <w:tc>
          <w:tcPr>
            <w:tcW w:w="0" w:type="auto"/>
            <w:tcBorders>
              <w:top w:val="single" w:sz="4" w:space="0" w:color="auto"/>
              <w:bottom w:val="single" w:sz="4" w:space="0" w:color="auto"/>
            </w:tcBorders>
            <w:vAlign w:val="center"/>
            <w:hideMark/>
          </w:tcPr>
          <w:p w14:paraId="755AA37C" w14:textId="77777777" w:rsidR="009C464D" w:rsidRPr="008C292A" w:rsidRDefault="009C464D" w:rsidP="009C464D">
            <w:pPr>
              <w:pStyle w:val="BodyText"/>
              <w:ind w:firstLine="0"/>
              <w:rPr>
                <w:color w:val="000000" w:themeColor="text1"/>
                <w:sz w:val="16"/>
                <w:szCs w:val="16"/>
                <w:lang w:val="en-US"/>
              </w:rPr>
            </w:pPr>
            <w:r w:rsidRPr="008C292A">
              <w:rPr>
                <w:color w:val="000000" w:themeColor="text1"/>
                <w:sz w:val="16"/>
                <w:szCs w:val="16"/>
                <w:lang w:val="en-US"/>
              </w:rPr>
              <w:t>Algorithm</w:t>
            </w:r>
          </w:p>
        </w:tc>
        <w:tc>
          <w:tcPr>
            <w:tcW w:w="0" w:type="auto"/>
            <w:tcBorders>
              <w:top w:val="single" w:sz="4" w:space="0" w:color="auto"/>
              <w:bottom w:val="single" w:sz="4" w:space="0" w:color="auto"/>
            </w:tcBorders>
            <w:vAlign w:val="center"/>
            <w:hideMark/>
          </w:tcPr>
          <w:p w14:paraId="313EB339" w14:textId="77777777" w:rsidR="009C464D" w:rsidRPr="008C292A" w:rsidRDefault="009C464D" w:rsidP="009C464D">
            <w:pPr>
              <w:pStyle w:val="BodyText"/>
              <w:ind w:firstLine="0"/>
              <w:rPr>
                <w:color w:val="000000" w:themeColor="text1"/>
                <w:sz w:val="16"/>
                <w:szCs w:val="16"/>
                <w:lang w:val="en-US"/>
              </w:rPr>
            </w:pPr>
            <w:r w:rsidRPr="008C292A">
              <w:rPr>
                <w:color w:val="000000" w:themeColor="text1"/>
                <w:sz w:val="16"/>
                <w:szCs w:val="16"/>
                <w:lang w:val="en-US"/>
              </w:rPr>
              <w:t>Key Size (KB)</w:t>
            </w:r>
          </w:p>
        </w:tc>
        <w:tc>
          <w:tcPr>
            <w:tcW w:w="0" w:type="auto"/>
            <w:tcBorders>
              <w:top w:val="single" w:sz="4" w:space="0" w:color="auto"/>
              <w:bottom w:val="single" w:sz="4" w:space="0" w:color="auto"/>
            </w:tcBorders>
            <w:vAlign w:val="center"/>
            <w:hideMark/>
          </w:tcPr>
          <w:p w14:paraId="4D6E7031" w14:textId="77777777" w:rsidR="009C464D" w:rsidRPr="008C292A" w:rsidRDefault="009C464D" w:rsidP="009C464D">
            <w:pPr>
              <w:pStyle w:val="BodyText"/>
              <w:ind w:firstLine="0"/>
              <w:rPr>
                <w:color w:val="000000" w:themeColor="text1"/>
                <w:sz w:val="16"/>
                <w:szCs w:val="16"/>
                <w:lang w:val="en-US"/>
              </w:rPr>
            </w:pPr>
            <w:r w:rsidRPr="008C292A">
              <w:rPr>
                <w:color w:val="000000" w:themeColor="text1"/>
                <w:sz w:val="16"/>
                <w:szCs w:val="16"/>
                <w:lang w:val="en-US"/>
              </w:rPr>
              <w:t>Signature Size (KB)</w:t>
            </w:r>
          </w:p>
        </w:tc>
        <w:tc>
          <w:tcPr>
            <w:tcW w:w="0" w:type="auto"/>
            <w:tcBorders>
              <w:top w:val="single" w:sz="4" w:space="0" w:color="auto"/>
              <w:bottom w:val="single" w:sz="4" w:space="0" w:color="auto"/>
            </w:tcBorders>
            <w:vAlign w:val="center"/>
            <w:hideMark/>
          </w:tcPr>
          <w:p w14:paraId="20D2E384" w14:textId="77777777" w:rsidR="009C464D" w:rsidRPr="008C292A" w:rsidRDefault="009C464D" w:rsidP="009C464D">
            <w:pPr>
              <w:pStyle w:val="BodyText"/>
              <w:ind w:firstLine="0"/>
              <w:rPr>
                <w:color w:val="000000" w:themeColor="text1"/>
                <w:sz w:val="16"/>
                <w:szCs w:val="16"/>
                <w:lang w:val="en-US"/>
              </w:rPr>
            </w:pPr>
            <w:r w:rsidRPr="008C292A">
              <w:rPr>
                <w:color w:val="000000" w:themeColor="text1"/>
                <w:sz w:val="16"/>
                <w:szCs w:val="16"/>
                <w:lang w:val="en-US"/>
              </w:rPr>
              <w:t>Avg. Latency (</w:t>
            </w:r>
            <w:proofErr w:type="spellStart"/>
            <w:r w:rsidRPr="008C292A">
              <w:rPr>
                <w:color w:val="000000" w:themeColor="text1"/>
                <w:sz w:val="16"/>
                <w:szCs w:val="16"/>
                <w:lang w:val="en-US"/>
              </w:rPr>
              <w:t>ms</w:t>
            </w:r>
            <w:proofErr w:type="spellEnd"/>
            <w:r w:rsidRPr="008C292A">
              <w:rPr>
                <w:color w:val="000000" w:themeColor="text1"/>
                <w:sz w:val="16"/>
                <w:szCs w:val="16"/>
                <w:lang w:val="en-US"/>
              </w:rPr>
              <w:t>)</w:t>
            </w:r>
          </w:p>
        </w:tc>
        <w:tc>
          <w:tcPr>
            <w:tcW w:w="0" w:type="auto"/>
            <w:tcBorders>
              <w:top w:val="single" w:sz="4" w:space="0" w:color="auto"/>
              <w:bottom w:val="single" w:sz="4" w:space="0" w:color="auto"/>
            </w:tcBorders>
            <w:vAlign w:val="center"/>
            <w:hideMark/>
          </w:tcPr>
          <w:p w14:paraId="556EFF04" w14:textId="77777777" w:rsidR="009C464D" w:rsidRPr="008C292A" w:rsidRDefault="009C464D" w:rsidP="009C464D">
            <w:pPr>
              <w:pStyle w:val="BodyText"/>
              <w:ind w:firstLine="0"/>
              <w:rPr>
                <w:color w:val="000000" w:themeColor="text1"/>
                <w:sz w:val="16"/>
                <w:szCs w:val="16"/>
                <w:lang w:val="en-US"/>
              </w:rPr>
            </w:pPr>
            <w:r w:rsidRPr="008C292A">
              <w:rPr>
                <w:color w:val="000000" w:themeColor="text1"/>
                <w:sz w:val="16"/>
                <w:szCs w:val="16"/>
                <w:lang w:val="en-US"/>
              </w:rPr>
              <w:t>Throughput (ops/sec)</w:t>
            </w:r>
          </w:p>
        </w:tc>
        <w:tc>
          <w:tcPr>
            <w:tcW w:w="0" w:type="auto"/>
            <w:tcBorders>
              <w:top w:val="single" w:sz="4" w:space="0" w:color="auto"/>
              <w:bottom w:val="single" w:sz="4" w:space="0" w:color="auto"/>
            </w:tcBorders>
            <w:vAlign w:val="center"/>
            <w:hideMark/>
          </w:tcPr>
          <w:p w14:paraId="1E3A21E9" w14:textId="77777777" w:rsidR="009C464D" w:rsidRPr="008C292A" w:rsidRDefault="009C464D" w:rsidP="009C464D">
            <w:pPr>
              <w:pStyle w:val="BodyText"/>
              <w:ind w:firstLine="0"/>
              <w:rPr>
                <w:color w:val="000000" w:themeColor="text1"/>
                <w:sz w:val="16"/>
                <w:szCs w:val="16"/>
                <w:lang w:val="en-US"/>
              </w:rPr>
            </w:pPr>
            <w:r w:rsidRPr="008C292A">
              <w:rPr>
                <w:color w:val="000000" w:themeColor="text1"/>
                <w:sz w:val="16"/>
                <w:szCs w:val="16"/>
                <w:lang w:val="en-US"/>
              </w:rPr>
              <w:t>Energy Cost (J/op)</w:t>
            </w:r>
          </w:p>
        </w:tc>
      </w:tr>
      <w:tr w:rsidR="009C464D" w:rsidRPr="008C292A" w14:paraId="08B43442" w14:textId="77777777">
        <w:trPr>
          <w:tblCellSpacing w:w="15" w:type="dxa"/>
        </w:trPr>
        <w:tc>
          <w:tcPr>
            <w:tcW w:w="0" w:type="auto"/>
            <w:vAlign w:val="center"/>
            <w:hideMark/>
          </w:tcPr>
          <w:p w14:paraId="517C89D0" w14:textId="77777777" w:rsidR="009C464D" w:rsidRPr="008C292A" w:rsidRDefault="009C464D" w:rsidP="009C464D">
            <w:pPr>
              <w:pStyle w:val="BodyText"/>
              <w:ind w:firstLine="0"/>
              <w:rPr>
                <w:color w:val="000000" w:themeColor="text1"/>
                <w:sz w:val="16"/>
                <w:szCs w:val="16"/>
                <w:lang w:val="en-US"/>
              </w:rPr>
            </w:pPr>
            <w:r w:rsidRPr="008C292A">
              <w:rPr>
                <w:color w:val="000000" w:themeColor="text1"/>
                <w:sz w:val="16"/>
                <w:szCs w:val="16"/>
                <w:lang w:val="en-US"/>
              </w:rPr>
              <w:t>Falcon</w:t>
            </w:r>
          </w:p>
        </w:tc>
        <w:tc>
          <w:tcPr>
            <w:tcW w:w="0" w:type="auto"/>
            <w:vAlign w:val="center"/>
            <w:hideMark/>
          </w:tcPr>
          <w:p w14:paraId="31BFD27F" w14:textId="77777777" w:rsidR="009C464D" w:rsidRPr="008C292A" w:rsidRDefault="009C464D" w:rsidP="009C464D">
            <w:pPr>
              <w:pStyle w:val="BodyText"/>
              <w:ind w:firstLine="0"/>
              <w:rPr>
                <w:color w:val="000000" w:themeColor="text1"/>
                <w:sz w:val="16"/>
                <w:szCs w:val="16"/>
                <w:lang w:val="en-US"/>
              </w:rPr>
            </w:pPr>
            <w:r w:rsidRPr="008C292A">
              <w:rPr>
                <w:color w:val="000000" w:themeColor="text1"/>
                <w:sz w:val="16"/>
                <w:szCs w:val="16"/>
                <w:lang w:val="en-US"/>
              </w:rPr>
              <w:t>1.3</w:t>
            </w:r>
          </w:p>
        </w:tc>
        <w:tc>
          <w:tcPr>
            <w:tcW w:w="0" w:type="auto"/>
            <w:vAlign w:val="center"/>
            <w:hideMark/>
          </w:tcPr>
          <w:p w14:paraId="26FB1520" w14:textId="77777777" w:rsidR="009C464D" w:rsidRPr="008C292A" w:rsidRDefault="009C464D" w:rsidP="009C464D">
            <w:pPr>
              <w:pStyle w:val="BodyText"/>
              <w:rPr>
                <w:color w:val="000000" w:themeColor="text1"/>
                <w:sz w:val="16"/>
                <w:szCs w:val="16"/>
                <w:lang w:val="en-US"/>
              </w:rPr>
            </w:pPr>
            <w:r w:rsidRPr="008C292A">
              <w:rPr>
                <w:color w:val="000000" w:themeColor="text1"/>
                <w:sz w:val="16"/>
                <w:szCs w:val="16"/>
                <w:lang w:val="en-US"/>
              </w:rPr>
              <w:t>1.0</w:t>
            </w:r>
          </w:p>
        </w:tc>
        <w:tc>
          <w:tcPr>
            <w:tcW w:w="0" w:type="auto"/>
            <w:vAlign w:val="center"/>
            <w:hideMark/>
          </w:tcPr>
          <w:p w14:paraId="09662EF1" w14:textId="77777777" w:rsidR="009C464D" w:rsidRPr="008C292A" w:rsidRDefault="009C464D" w:rsidP="009C464D">
            <w:pPr>
              <w:pStyle w:val="BodyText"/>
              <w:rPr>
                <w:color w:val="000000" w:themeColor="text1"/>
                <w:sz w:val="16"/>
                <w:szCs w:val="16"/>
                <w:lang w:val="en-US"/>
              </w:rPr>
            </w:pPr>
            <w:r w:rsidRPr="008C292A">
              <w:rPr>
                <w:color w:val="000000" w:themeColor="text1"/>
                <w:sz w:val="16"/>
                <w:szCs w:val="16"/>
                <w:lang w:val="en-US"/>
              </w:rPr>
              <w:t>8.1</w:t>
            </w:r>
          </w:p>
        </w:tc>
        <w:tc>
          <w:tcPr>
            <w:tcW w:w="0" w:type="auto"/>
            <w:vAlign w:val="center"/>
            <w:hideMark/>
          </w:tcPr>
          <w:p w14:paraId="30237D83" w14:textId="77777777" w:rsidR="009C464D" w:rsidRPr="008C292A" w:rsidRDefault="009C464D" w:rsidP="009C464D">
            <w:pPr>
              <w:pStyle w:val="BodyText"/>
              <w:ind w:firstLine="0"/>
              <w:rPr>
                <w:color w:val="000000" w:themeColor="text1"/>
                <w:sz w:val="16"/>
                <w:szCs w:val="16"/>
                <w:lang w:val="en-US"/>
              </w:rPr>
            </w:pPr>
            <w:r w:rsidRPr="008C292A">
              <w:rPr>
                <w:color w:val="000000" w:themeColor="text1"/>
                <w:sz w:val="16"/>
                <w:szCs w:val="16"/>
                <w:lang w:val="en-US"/>
              </w:rPr>
              <w:t>122,000</w:t>
            </w:r>
          </w:p>
        </w:tc>
        <w:tc>
          <w:tcPr>
            <w:tcW w:w="0" w:type="auto"/>
            <w:vAlign w:val="center"/>
            <w:hideMark/>
          </w:tcPr>
          <w:p w14:paraId="5C92D9A3" w14:textId="77777777" w:rsidR="009C464D" w:rsidRPr="008C292A" w:rsidRDefault="009C464D" w:rsidP="009C464D">
            <w:pPr>
              <w:pStyle w:val="BodyText"/>
              <w:ind w:firstLine="0"/>
              <w:rPr>
                <w:color w:val="000000" w:themeColor="text1"/>
                <w:sz w:val="16"/>
                <w:szCs w:val="16"/>
                <w:lang w:val="en-US"/>
              </w:rPr>
            </w:pPr>
            <w:r w:rsidRPr="008C292A">
              <w:rPr>
                <w:color w:val="000000" w:themeColor="text1"/>
                <w:sz w:val="16"/>
                <w:szCs w:val="16"/>
                <w:lang w:val="en-US"/>
              </w:rPr>
              <w:t>0.0042</w:t>
            </w:r>
          </w:p>
        </w:tc>
      </w:tr>
      <w:tr w:rsidR="009C464D" w:rsidRPr="008C292A" w14:paraId="22724AEC" w14:textId="77777777">
        <w:trPr>
          <w:tblCellSpacing w:w="15" w:type="dxa"/>
        </w:trPr>
        <w:tc>
          <w:tcPr>
            <w:tcW w:w="0" w:type="auto"/>
            <w:vAlign w:val="center"/>
            <w:hideMark/>
          </w:tcPr>
          <w:p w14:paraId="04458CFD" w14:textId="77777777" w:rsidR="009C464D" w:rsidRPr="008C292A" w:rsidRDefault="009C464D" w:rsidP="009C464D">
            <w:pPr>
              <w:pStyle w:val="BodyText"/>
              <w:ind w:firstLine="0"/>
              <w:rPr>
                <w:color w:val="000000" w:themeColor="text1"/>
                <w:sz w:val="16"/>
                <w:szCs w:val="16"/>
                <w:lang w:val="en-US"/>
              </w:rPr>
            </w:pPr>
            <w:proofErr w:type="spellStart"/>
            <w:r w:rsidRPr="008C292A">
              <w:rPr>
                <w:color w:val="000000" w:themeColor="text1"/>
                <w:sz w:val="16"/>
                <w:szCs w:val="16"/>
                <w:lang w:val="en-US"/>
              </w:rPr>
              <w:t>Dilithium</w:t>
            </w:r>
            <w:proofErr w:type="spellEnd"/>
          </w:p>
        </w:tc>
        <w:tc>
          <w:tcPr>
            <w:tcW w:w="0" w:type="auto"/>
            <w:vAlign w:val="center"/>
            <w:hideMark/>
          </w:tcPr>
          <w:p w14:paraId="7B3E848C" w14:textId="77777777" w:rsidR="009C464D" w:rsidRPr="008C292A" w:rsidRDefault="009C464D" w:rsidP="009C464D">
            <w:pPr>
              <w:pStyle w:val="BodyText"/>
              <w:ind w:firstLine="0"/>
              <w:rPr>
                <w:color w:val="000000" w:themeColor="text1"/>
                <w:sz w:val="16"/>
                <w:szCs w:val="16"/>
                <w:lang w:val="en-US"/>
              </w:rPr>
            </w:pPr>
            <w:r w:rsidRPr="008C292A">
              <w:rPr>
                <w:color w:val="000000" w:themeColor="text1"/>
                <w:sz w:val="16"/>
                <w:szCs w:val="16"/>
                <w:lang w:val="en-US"/>
              </w:rPr>
              <w:t>2.6</w:t>
            </w:r>
          </w:p>
        </w:tc>
        <w:tc>
          <w:tcPr>
            <w:tcW w:w="0" w:type="auto"/>
            <w:vAlign w:val="center"/>
            <w:hideMark/>
          </w:tcPr>
          <w:p w14:paraId="286FE95E" w14:textId="77777777" w:rsidR="009C464D" w:rsidRPr="008C292A" w:rsidRDefault="009C464D" w:rsidP="009C464D">
            <w:pPr>
              <w:pStyle w:val="BodyText"/>
              <w:rPr>
                <w:color w:val="000000" w:themeColor="text1"/>
                <w:sz w:val="16"/>
                <w:szCs w:val="16"/>
                <w:lang w:val="en-US"/>
              </w:rPr>
            </w:pPr>
            <w:r w:rsidRPr="008C292A">
              <w:rPr>
                <w:color w:val="000000" w:themeColor="text1"/>
                <w:sz w:val="16"/>
                <w:szCs w:val="16"/>
                <w:lang w:val="en-US"/>
              </w:rPr>
              <w:t>2.7</w:t>
            </w:r>
          </w:p>
        </w:tc>
        <w:tc>
          <w:tcPr>
            <w:tcW w:w="0" w:type="auto"/>
            <w:vAlign w:val="center"/>
            <w:hideMark/>
          </w:tcPr>
          <w:p w14:paraId="68589463" w14:textId="77777777" w:rsidR="009C464D" w:rsidRPr="008C292A" w:rsidRDefault="009C464D" w:rsidP="009C464D">
            <w:pPr>
              <w:pStyle w:val="BodyText"/>
              <w:rPr>
                <w:color w:val="000000" w:themeColor="text1"/>
                <w:sz w:val="16"/>
                <w:szCs w:val="16"/>
                <w:lang w:val="en-US"/>
              </w:rPr>
            </w:pPr>
            <w:r w:rsidRPr="008C292A">
              <w:rPr>
                <w:color w:val="000000" w:themeColor="text1"/>
                <w:sz w:val="16"/>
                <w:szCs w:val="16"/>
                <w:lang w:val="en-US"/>
              </w:rPr>
              <w:t>6.7</w:t>
            </w:r>
          </w:p>
        </w:tc>
        <w:tc>
          <w:tcPr>
            <w:tcW w:w="0" w:type="auto"/>
            <w:vAlign w:val="center"/>
            <w:hideMark/>
          </w:tcPr>
          <w:p w14:paraId="2941809E" w14:textId="77777777" w:rsidR="009C464D" w:rsidRPr="008C292A" w:rsidRDefault="009C464D" w:rsidP="009C464D">
            <w:pPr>
              <w:pStyle w:val="BodyText"/>
              <w:ind w:firstLine="0"/>
              <w:rPr>
                <w:color w:val="000000" w:themeColor="text1"/>
                <w:sz w:val="16"/>
                <w:szCs w:val="16"/>
                <w:lang w:val="en-US"/>
              </w:rPr>
            </w:pPr>
            <w:r w:rsidRPr="008C292A">
              <w:rPr>
                <w:color w:val="000000" w:themeColor="text1"/>
                <w:sz w:val="16"/>
                <w:szCs w:val="16"/>
                <w:lang w:val="en-US"/>
              </w:rPr>
              <w:t>138,500</w:t>
            </w:r>
          </w:p>
        </w:tc>
        <w:tc>
          <w:tcPr>
            <w:tcW w:w="0" w:type="auto"/>
            <w:vAlign w:val="center"/>
            <w:hideMark/>
          </w:tcPr>
          <w:p w14:paraId="50F00164" w14:textId="77777777" w:rsidR="009C464D" w:rsidRPr="008C292A" w:rsidRDefault="009C464D" w:rsidP="009C464D">
            <w:pPr>
              <w:pStyle w:val="BodyText"/>
              <w:ind w:firstLine="0"/>
              <w:rPr>
                <w:color w:val="000000" w:themeColor="text1"/>
                <w:sz w:val="16"/>
                <w:szCs w:val="16"/>
                <w:lang w:val="en-US"/>
              </w:rPr>
            </w:pPr>
            <w:r w:rsidRPr="008C292A">
              <w:rPr>
                <w:color w:val="000000" w:themeColor="text1"/>
                <w:sz w:val="16"/>
                <w:szCs w:val="16"/>
                <w:lang w:val="en-US"/>
              </w:rPr>
              <w:t>0.0039</w:t>
            </w:r>
          </w:p>
        </w:tc>
      </w:tr>
      <w:tr w:rsidR="009C464D" w:rsidRPr="008C292A" w14:paraId="5829ACE0" w14:textId="77777777">
        <w:trPr>
          <w:tblCellSpacing w:w="15" w:type="dxa"/>
        </w:trPr>
        <w:tc>
          <w:tcPr>
            <w:tcW w:w="0" w:type="auto"/>
            <w:vAlign w:val="center"/>
            <w:hideMark/>
          </w:tcPr>
          <w:p w14:paraId="15B1014D" w14:textId="77777777" w:rsidR="009C464D" w:rsidRPr="008C292A" w:rsidRDefault="009C464D" w:rsidP="009C464D">
            <w:pPr>
              <w:pStyle w:val="BodyText"/>
              <w:ind w:firstLine="0"/>
              <w:rPr>
                <w:color w:val="000000" w:themeColor="text1"/>
                <w:sz w:val="16"/>
                <w:szCs w:val="16"/>
                <w:lang w:val="en-US"/>
              </w:rPr>
            </w:pPr>
            <w:r w:rsidRPr="008C292A">
              <w:rPr>
                <w:color w:val="000000" w:themeColor="text1"/>
                <w:sz w:val="16"/>
                <w:szCs w:val="16"/>
                <w:lang w:val="en-US"/>
              </w:rPr>
              <w:t>Kyber</w:t>
            </w:r>
          </w:p>
        </w:tc>
        <w:tc>
          <w:tcPr>
            <w:tcW w:w="0" w:type="auto"/>
            <w:vAlign w:val="center"/>
            <w:hideMark/>
          </w:tcPr>
          <w:p w14:paraId="428B97FA" w14:textId="77777777" w:rsidR="009C464D" w:rsidRPr="008C292A" w:rsidRDefault="009C464D" w:rsidP="009C464D">
            <w:pPr>
              <w:pStyle w:val="BodyText"/>
              <w:ind w:firstLine="0"/>
              <w:rPr>
                <w:color w:val="000000" w:themeColor="text1"/>
                <w:sz w:val="16"/>
                <w:szCs w:val="16"/>
                <w:lang w:val="en-US"/>
              </w:rPr>
            </w:pPr>
            <w:r w:rsidRPr="008C292A">
              <w:rPr>
                <w:color w:val="000000" w:themeColor="text1"/>
                <w:sz w:val="16"/>
                <w:szCs w:val="16"/>
                <w:lang w:val="en-US"/>
              </w:rPr>
              <w:t>1.5</w:t>
            </w:r>
          </w:p>
        </w:tc>
        <w:tc>
          <w:tcPr>
            <w:tcW w:w="0" w:type="auto"/>
            <w:vAlign w:val="center"/>
            <w:hideMark/>
          </w:tcPr>
          <w:p w14:paraId="005223B9" w14:textId="77777777" w:rsidR="009C464D" w:rsidRPr="008C292A" w:rsidRDefault="009C464D" w:rsidP="009C464D">
            <w:pPr>
              <w:pStyle w:val="BodyText"/>
              <w:rPr>
                <w:color w:val="000000" w:themeColor="text1"/>
                <w:sz w:val="16"/>
                <w:szCs w:val="16"/>
                <w:lang w:val="en-US"/>
              </w:rPr>
            </w:pPr>
            <w:r w:rsidRPr="008C292A">
              <w:rPr>
                <w:color w:val="000000" w:themeColor="text1"/>
                <w:sz w:val="16"/>
                <w:szCs w:val="16"/>
                <w:lang w:val="en-US"/>
              </w:rPr>
              <w:t>0.8</w:t>
            </w:r>
          </w:p>
        </w:tc>
        <w:tc>
          <w:tcPr>
            <w:tcW w:w="0" w:type="auto"/>
            <w:vAlign w:val="center"/>
            <w:hideMark/>
          </w:tcPr>
          <w:p w14:paraId="6A3111C6" w14:textId="77777777" w:rsidR="009C464D" w:rsidRPr="008C292A" w:rsidRDefault="009C464D" w:rsidP="009C464D">
            <w:pPr>
              <w:pStyle w:val="BodyText"/>
              <w:rPr>
                <w:color w:val="000000" w:themeColor="text1"/>
                <w:sz w:val="16"/>
                <w:szCs w:val="16"/>
                <w:lang w:val="en-US"/>
              </w:rPr>
            </w:pPr>
            <w:r w:rsidRPr="008C292A">
              <w:rPr>
                <w:color w:val="000000" w:themeColor="text1"/>
                <w:sz w:val="16"/>
                <w:szCs w:val="16"/>
                <w:lang w:val="en-US"/>
              </w:rPr>
              <w:t>4.5</w:t>
            </w:r>
          </w:p>
        </w:tc>
        <w:tc>
          <w:tcPr>
            <w:tcW w:w="0" w:type="auto"/>
            <w:vAlign w:val="center"/>
            <w:hideMark/>
          </w:tcPr>
          <w:p w14:paraId="7783C127" w14:textId="77777777" w:rsidR="009C464D" w:rsidRPr="008C292A" w:rsidRDefault="009C464D" w:rsidP="009C464D">
            <w:pPr>
              <w:pStyle w:val="BodyText"/>
              <w:ind w:firstLine="0"/>
              <w:rPr>
                <w:color w:val="000000" w:themeColor="text1"/>
                <w:sz w:val="16"/>
                <w:szCs w:val="16"/>
                <w:lang w:val="en-US"/>
              </w:rPr>
            </w:pPr>
            <w:r w:rsidRPr="008C292A">
              <w:rPr>
                <w:color w:val="000000" w:themeColor="text1"/>
                <w:sz w:val="16"/>
                <w:szCs w:val="16"/>
                <w:lang w:val="en-US"/>
              </w:rPr>
              <w:t>159,200</w:t>
            </w:r>
          </w:p>
        </w:tc>
        <w:tc>
          <w:tcPr>
            <w:tcW w:w="0" w:type="auto"/>
            <w:vAlign w:val="center"/>
            <w:hideMark/>
          </w:tcPr>
          <w:p w14:paraId="1495F6CC" w14:textId="77777777" w:rsidR="009C464D" w:rsidRPr="008C292A" w:rsidRDefault="009C464D" w:rsidP="009C464D">
            <w:pPr>
              <w:pStyle w:val="BodyText"/>
              <w:ind w:firstLine="0"/>
              <w:rPr>
                <w:color w:val="000000" w:themeColor="text1"/>
                <w:sz w:val="16"/>
                <w:szCs w:val="16"/>
                <w:lang w:val="en-US"/>
              </w:rPr>
            </w:pPr>
            <w:r w:rsidRPr="008C292A">
              <w:rPr>
                <w:color w:val="000000" w:themeColor="text1"/>
                <w:sz w:val="16"/>
                <w:szCs w:val="16"/>
                <w:lang w:val="en-US"/>
              </w:rPr>
              <w:t>0.0036</w:t>
            </w:r>
          </w:p>
        </w:tc>
      </w:tr>
      <w:tr w:rsidR="009C464D" w:rsidRPr="008C292A" w14:paraId="1B6DA52E" w14:textId="77777777">
        <w:trPr>
          <w:tblCellSpacing w:w="15" w:type="dxa"/>
        </w:trPr>
        <w:tc>
          <w:tcPr>
            <w:tcW w:w="0" w:type="auto"/>
            <w:vAlign w:val="center"/>
            <w:hideMark/>
          </w:tcPr>
          <w:p w14:paraId="51D9F320" w14:textId="77777777" w:rsidR="009C464D" w:rsidRPr="008C292A" w:rsidRDefault="009C464D" w:rsidP="009C464D">
            <w:pPr>
              <w:pStyle w:val="BodyText"/>
              <w:ind w:firstLine="0"/>
              <w:rPr>
                <w:color w:val="000000" w:themeColor="text1"/>
                <w:sz w:val="16"/>
                <w:szCs w:val="16"/>
                <w:lang w:val="en-US"/>
              </w:rPr>
            </w:pPr>
            <w:r w:rsidRPr="008C292A">
              <w:rPr>
                <w:color w:val="000000" w:themeColor="text1"/>
                <w:sz w:val="16"/>
                <w:szCs w:val="16"/>
                <w:lang w:val="en-US"/>
              </w:rPr>
              <w:t>Rainbow</w:t>
            </w:r>
          </w:p>
        </w:tc>
        <w:tc>
          <w:tcPr>
            <w:tcW w:w="0" w:type="auto"/>
            <w:vAlign w:val="center"/>
            <w:hideMark/>
          </w:tcPr>
          <w:p w14:paraId="31510617" w14:textId="77777777" w:rsidR="009C464D" w:rsidRPr="008C292A" w:rsidRDefault="009C464D" w:rsidP="009C464D">
            <w:pPr>
              <w:pStyle w:val="BodyText"/>
              <w:ind w:firstLine="0"/>
              <w:rPr>
                <w:color w:val="000000" w:themeColor="text1"/>
                <w:sz w:val="16"/>
                <w:szCs w:val="16"/>
                <w:lang w:val="en-US"/>
              </w:rPr>
            </w:pPr>
            <w:r w:rsidRPr="008C292A">
              <w:rPr>
                <w:color w:val="000000" w:themeColor="text1"/>
                <w:sz w:val="16"/>
                <w:szCs w:val="16"/>
                <w:lang w:val="en-US"/>
              </w:rPr>
              <w:t>3.9</w:t>
            </w:r>
          </w:p>
        </w:tc>
        <w:tc>
          <w:tcPr>
            <w:tcW w:w="0" w:type="auto"/>
            <w:vAlign w:val="center"/>
            <w:hideMark/>
          </w:tcPr>
          <w:p w14:paraId="0C6376AD" w14:textId="77777777" w:rsidR="009C464D" w:rsidRPr="008C292A" w:rsidRDefault="009C464D" w:rsidP="009C464D">
            <w:pPr>
              <w:pStyle w:val="BodyText"/>
              <w:rPr>
                <w:color w:val="000000" w:themeColor="text1"/>
                <w:sz w:val="16"/>
                <w:szCs w:val="16"/>
                <w:lang w:val="en-US"/>
              </w:rPr>
            </w:pPr>
            <w:r w:rsidRPr="008C292A">
              <w:rPr>
                <w:color w:val="000000" w:themeColor="text1"/>
                <w:sz w:val="16"/>
                <w:szCs w:val="16"/>
                <w:lang w:val="en-US"/>
              </w:rPr>
              <w:t>6.5</w:t>
            </w:r>
          </w:p>
        </w:tc>
        <w:tc>
          <w:tcPr>
            <w:tcW w:w="0" w:type="auto"/>
            <w:vAlign w:val="center"/>
            <w:hideMark/>
          </w:tcPr>
          <w:p w14:paraId="5ECC87EA" w14:textId="77777777" w:rsidR="009C464D" w:rsidRPr="008C292A" w:rsidRDefault="009C464D" w:rsidP="009C464D">
            <w:pPr>
              <w:pStyle w:val="BodyText"/>
              <w:rPr>
                <w:color w:val="000000" w:themeColor="text1"/>
                <w:sz w:val="16"/>
                <w:szCs w:val="16"/>
                <w:lang w:val="en-US"/>
              </w:rPr>
            </w:pPr>
            <w:r w:rsidRPr="008C292A">
              <w:rPr>
                <w:color w:val="000000" w:themeColor="text1"/>
                <w:sz w:val="16"/>
                <w:szCs w:val="16"/>
                <w:lang w:val="en-US"/>
              </w:rPr>
              <w:t>10.4</w:t>
            </w:r>
          </w:p>
        </w:tc>
        <w:tc>
          <w:tcPr>
            <w:tcW w:w="0" w:type="auto"/>
            <w:vAlign w:val="center"/>
            <w:hideMark/>
          </w:tcPr>
          <w:p w14:paraId="6786F745" w14:textId="77777777" w:rsidR="009C464D" w:rsidRPr="008C292A" w:rsidRDefault="009C464D" w:rsidP="009C464D">
            <w:pPr>
              <w:pStyle w:val="BodyText"/>
              <w:rPr>
                <w:color w:val="000000" w:themeColor="text1"/>
                <w:sz w:val="16"/>
                <w:szCs w:val="16"/>
                <w:lang w:val="en-US"/>
              </w:rPr>
            </w:pPr>
            <w:r w:rsidRPr="008C292A">
              <w:rPr>
                <w:color w:val="000000" w:themeColor="text1"/>
                <w:sz w:val="16"/>
                <w:szCs w:val="16"/>
                <w:lang w:val="en-US"/>
              </w:rPr>
              <w:t>98,400</w:t>
            </w:r>
          </w:p>
        </w:tc>
        <w:tc>
          <w:tcPr>
            <w:tcW w:w="0" w:type="auto"/>
            <w:vAlign w:val="center"/>
            <w:hideMark/>
          </w:tcPr>
          <w:p w14:paraId="3FC8F50C" w14:textId="77777777" w:rsidR="009C464D" w:rsidRPr="008C292A" w:rsidRDefault="009C464D" w:rsidP="009C464D">
            <w:pPr>
              <w:pStyle w:val="BodyText"/>
              <w:ind w:firstLine="0"/>
              <w:rPr>
                <w:color w:val="000000" w:themeColor="text1"/>
                <w:sz w:val="16"/>
                <w:szCs w:val="16"/>
                <w:lang w:val="en-US"/>
              </w:rPr>
            </w:pPr>
            <w:r w:rsidRPr="008C292A">
              <w:rPr>
                <w:color w:val="000000" w:themeColor="text1"/>
                <w:sz w:val="16"/>
                <w:szCs w:val="16"/>
                <w:lang w:val="en-US"/>
              </w:rPr>
              <w:t>0.0061</w:t>
            </w:r>
          </w:p>
        </w:tc>
      </w:tr>
    </w:tbl>
    <w:p w14:paraId="586684B1" w14:textId="16AE0A0A" w:rsidR="009C464D" w:rsidRPr="008C292A" w:rsidRDefault="009C464D" w:rsidP="000D50B7">
      <w:pPr>
        <w:pStyle w:val="BodyText"/>
        <w:ind w:firstLine="0"/>
        <w:rPr>
          <w:color w:val="000000" w:themeColor="text1"/>
          <w:lang w:val="en-US"/>
        </w:rPr>
      </w:pPr>
      <w:r w:rsidRPr="008C292A">
        <w:rPr>
          <w:color w:val="000000" w:themeColor="text1"/>
          <w:lang w:val="en-US"/>
        </w:rPr>
        <w:t>Graph 1. Latency vs. Throughput Trade-off</w:t>
      </w:r>
      <w:r w:rsidRPr="008C292A">
        <w:rPr>
          <w:color w:val="000000" w:themeColor="text1"/>
          <w:lang w:val="en-US"/>
        </w:rPr>
        <w:br/>
        <w:t>showing Kyber outperforming others with low latency and high throughput.</w:t>
      </w:r>
    </w:p>
    <w:p w14:paraId="46F420A4" w14:textId="77777777" w:rsidR="000D50B7" w:rsidRPr="008C292A" w:rsidRDefault="000D50B7" w:rsidP="000D50B7">
      <w:pPr>
        <w:pStyle w:val="BodyText"/>
        <w:keepNext/>
      </w:pPr>
      <w:r w:rsidRPr="008C292A">
        <w:rPr>
          <w:noProof/>
          <w:lang w:val="en-US" w:eastAsia="en-US"/>
        </w:rPr>
        <w:drawing>
          <wp:inline distT="0" distB="0" distL="0" distR="0" wp14:anchorId="29469F9D" wp14:editId="71574DD4">
            <wp:extent cx="2913428" cy="1853565"/>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1.png"/>
                    <pic:cNvPicPr/>
                  </pic:nvPicPr>
                  <pic:blipFill>
                    <a:blip r:embed="rId11"/>
                    <a:stretch>
                      <a:fillRect/>
                    </a:stretch>
                  </pic:blipFill>
                  <pic:spPr>
                    <a:xfrm>
                      <a:off x="0" y="0"/>
                      <a:ext cx="2921701" cy="1858828"/>
                    </a:xfrm>
                    <a:prstGeom prst="rect">
                      <a:avLst/>
                    </a:prstGeom>
                  </pic:spPr>
                </pic:pic>
              </a:graphicData>
            </a:graphic>
          </wp:inline>
        </w:drawing>
      </w:r>
    </w:p>
    <w:p w14:paraId="6FFD4FDE" w14:textId="1760A54D" w:rsidR="009C464D" w:rsidRPr="008C292A" w:rsidRDefault="000D50B7" w:rsidP="000D50B7">
      <w:pPr>
        <w:pStyle w:val="Caption"/>
        <w:jc w:val="both"/>
        <w:rPr>
          <w:i w:val="0"/>
          <w:iCs w:val="0"/>
          <w:color w:val="000000" w:themeColor="text1"/>
          <w:spacing w:val="-1"/>
          <w:lang w:eastAsia="x-none"/>
        </w:rPr>
      </w:pPr>
      <w:r w:rsidRPr="008C292A">
        <w:t xml:space="preserve">Figure </w:t>
      </w:r>
      <w:r w:rsidRPr="008C292A">
        <w:fldChar w:fldCharType="begin"/>
      </w:r>
      <w:r w:rsidRPr="008C292A">
        <w:instrText xml:space="preserve"> SEQ Figure \* ARABIC </w:instrText>
      </w:r>
      <w:r w:rsidRPr="008C292A">
        <w:fldChar w:fldCharType="separate"/>
      </w:r>
      <w:r w:rsidR="00246A0C" w:rsidRPr="008C292A">
        <w:rPr>
          <w:noProof/>
        </w:rPr>
        <w:t>2</w:t>
      </w:r>
      <w:r w:rsidRPr="008C292A">
        <w:fldChar w:fldCharType="end"/>
      </w:r>
      <w:r w:rsidRPr="008C292A">
        <w:t xml:space="preserve"> </w:t>
      </w:r>
      <w:r w:rsidRPr="008C292A">
        <w:rPr>
          <w:noProof/>
        </w:rPr>
        <w:t>Latency vs. Throughput Trade-off</w:t>
      </w:r>
    </w:p>
    <w:p w14:paraId="63EDE21F" w14:textId="77777777" w:rsidR="009C464D" w:rsidRPr="008C292A" w:rsidRDefault="009C464D" w:rsidP="006A4DAA">
      <w:pPr>
        <w:pStyle w:val="BodyText"/>
        <w:rPr>
          <w:i/>
          <w:iCs/>
          <w:color w:val="000000" w:themeColor="text1"/>
          <w:lang w:val="en-US"/>
        </w:rPr>
      </w:pPr>
      <w:r w:rsidRPr="008C292A">
        <w:rPr>
          <w:i/>
          <w:iCs/>
          <w:color w:val="000000" w:themeColor="text1"/>
          <w:lang w:val="en-US"/>
        </w:rPr>
        <w:t>B. Regulatory Compliance Testing</w:t>
      </w:r>
    </w:p>
    <w:p w14:paraId="38089D73" w14:textId="77777777" w:rsidR="009C464D" w:rsidRPr="008C292A" w:rsidRDefault="009C464D" w:rsidP="009C464D">
      <w:pPr>
        <w:pStyle w:val="BodyText"/>
        <w:rPr>
          <w:color w:val="000000" w:themeColor="text1"/>
          <w:lang w:val="en-US"/>
        </w:rPr>
      </w:pPr>
      <w:r w:rsidRPr="008C292A">
        <w:rPr>
          <w:color w:val="000000" w:themeColor="text1"/>
          <w:lang w:val="en-US"/>
        </w:rPr>
        <w:t>Table 2. Compliance Evaluation by Dataset Migration Scenarios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33"/>
        <w:gridCol w:w="726"/>
        <w:gridCol w:w="1106"/>
        <w:gridCol w:w="675"/>
        <w:gridCol w:w="644"/>
        <w:gridCol w:w="982"/>
      </w:tblGrid>
      <w:tr w:rsidR="009C464D" w:rsidRPr="008C292A" w14:paraId="5270F014" w14:textId="77777777" w:rsidTr="002F2700">
        <w:trPr>
          <w:tblHeader/>
          <w:tblCellSpacing w:w="15" w:type="dxa"/>
        </w:trPr>
        <w:tc>
          <w:tcPr>
            <w:tcW w:w="0" w:type="auto"/>
            <w:tcBorders>
              <w:top w:val="single" w:sz="4" w:space="0" w:color="auto"/>
              <w:bottom w:val="single" w:sz="4" w:space="0" w:color="auto"/>
            </w:tcBorders>
            <w:vAlign w:val="center"/>
            <w:hideMark/>
          </w:tcPr>
          <w:p w14:paraId="3D8D049E" w14:textId="77777777" w:rsidR="009C464D" w:rsidRPr="008C292A" w:rsidRDefault="009C464D" w:rsidP="009C464D">
            <w:pPr>
              <w:pStyle w:val="BodyText"/>
              <w:ind w:firstLine="0"/>
              <w:rPr>
                <w:color w:val="000000" w:themeColor="text1"/>
                <w:sz w:val="16"/>
                <w:szCs w:val="16"/>
                <w:lang w:val="en-US"/>
              </w:rPr>
            </w:pPr>
            <w:r w:rsidRPr="008C292A">
              <w:rPr>
                <w:color w:val="000000" w:themeColor="text1"/>
                <w:sz w:val="16"/>
                <w:szCs w:val="16"/>
                <w:lang w:val="en-US"/>
              </w:rPr>
              <w:t>Algorithm</w:t>
            </w:r>
          </w:p>
        </w:tc>
        <w:tc>
          <w:tcPr>
            <w:tcW w:w="0" w:type="auto"/>
            <w:tcBorders>
              <w:top w:val="single" w:sz="4" w:space="0" w:color="auto"/>
              <w:bottom w:val="single" w:sz="4" w:space="0" w:color="auto"/>
            </w:tcBorders>
            <w:vAlign w:val="center"/>
            <w:hideMark/>
          </w:tcPr>
          <w:p w14:paraId="65F6F1F2" w14:textId="77777777" w:rsidR="009C464D" w:rsidRPr="008C292A" w:rsidRDefault="009C464D" w:rsidP="009C464D">
            <w:pPr>
              <w:pStyle w:val="BodyText"/>
              <w:ind w:firstLine="0"/>
              <w:rPr>
                <w:color w:val="000000" w:themeColor="text1"/>
                <w:sz w:val="16"/>
                <w:szCs w:val="16"/>
                <w:lang w:val="en-US"/>
              </w:rPr>
            </w:pPr>
            <w:r w:rsidRPr="008C292A">
              <w:rPr>
                <w:color w:val="000000" w:themeColor="text1"/>
                <w:sz w:val="16"/>
                <w:szCs w:val="16"/>
                <w:lang w:val="en-US"/>
              </w:rPr>
              <w:t>GDPR (Art. 25, 32)</w:t>
            </w:r>
          </w:p>
        </w:tc>
        <w:tc>
          <w:tcPr>
            <w:tcW w:w="0" w:type="auto"/>
            <w:tcBorders>
              <w:top w:val="single" w:sz="4" w:space="0" w:color="auto"/>
              <w:bottom w:val="single" w:sz="4" w:space="0" w:color="auto"/>
            </w:tcBorders>
            <w:vAlign w:val="center"/>
            <w:hideMark/>
          </w:tcPr>
          <w:p w14:paraId="4DACB4DE" w14:textId="77777777" w:rsidR="009C464D" w:rsidRPr="008C292A" w:rsidRDefault="009C464D" w:rsidP="009C464D">
            <w:pPr>
              <w:pStyle w:val="BodyText"/>
              <w:ind w:firstLine="0"/>
              <w:rPr>
                <w:color w:val="000000" w:themeColor="text1"/>
                <w:sz w:val="16"/>
                <w:szCs w:val="16"/>
                <w:lang w:val="en-US"/>
              </w:rPr>
            </w:pPr>
            <w:r w:rsidRPr="008C292A">
              <w:rPr>
                <w:color w:val="000000" w:themeColor="text1"/>
                <w:sz w:val="16"/>
                <w:szCs w:val="16"/>
                <w:lang w:val="en-US"/>
              </w:rPr>
              <w:t>CCPA (Sec.1798.150)</w:t>
            </w:r>
          </w:p>
        </w:tc>
        <w:tc>
          <w:tcPr>
            <w:tcW w:w="0" w:type="auto"/>
            <w:tcBorders>
              <w:top w:val="single" w:sz="4" w:space="0" w:color="auto"/>
              <w:bottom w:val="single" w:sz="4" w:space="0" w:color="auto"/>
            </w:tcBorders>
            <w:vAlign w:val="center"/>
            <w:hideMark/>
          </w:tcPr>
          <w:p w14:paraId="75A38E53" w14:textId="77777777" w:rsidR="009C464D" w:rsidRPr="008C292A" w:rsidRDefault="009C464D" w:rsidP="009C464D">
            <w:pPr>
              <w:pStyle w:val="BodyText"/>
              <w:ind w:firstLine="0"/>
              <w:rPr>
                <w:color w:val="000000" w:themeColor="text1"/>
                <w:sz w:val="16"/>
                <w:szCs w:val="16"/>
                <w:lang w:val="en-US"/>
              </w:rPr>
            </w:pPr>
            <w:r w:rsidRPr="008C292A">
              <w:rPr>
                <w:color w:val="000000" w:themeColor="text1"/>
                <w:sz w:val="16"/>
                <w:szCs w:val="16"/>
                <w:lang w:val="en-US"/>
              </w:rPr>
              <w:t>LGPD (Art.46)</w:t>
            </w:r>
          </w:p>
        </w:tc>
        <w:tc>
          <w:tcPr>
            <w:tcW w:w="0" w:type="auto"/>
            <w:tcBorders>
              <w:top w:val="single" w:sz="4" w:space="0" w:color="auto"/>
              <w:bottom w:val="single" w:sz="4" w:space="0" w:color="auto"/>
            </w:tcBorders>
            <w:vAlign w:val="center"/>
            <w:hideMark/>
          </w:tcPr>
          <w:p w14:paraId="1E97F2A7" w14:textId="77777777" w:rsidR="009C464D" w:rsidRPr="008C292A" w:rsidRDefault="009C464D" w:rsidP="009C464D">
            <w:pPr>
              <w:pStyle w:val="BodyText"/>
              <w:ind w:firstLine="0"/>
              <w:rPr>
                <w:color w:val="000000" w:themeColor="text1"/>
                <w:sz w:val="16"/>
                <w:szCs w:val="16"/>
                <w:lang w:val="en-US"/>
              </w:rPr>
            </w:pPr>
            <w:r w:rsidRPr="008C292A">
              <w:rPr>
                <w:color w:val="000000" w:themeColor="text1"/>
                <w:sz w:val="16"/>
                <w:szCs w:val="16"/>
                <w:lang w:val="en-US"/>
              </w:rPr>
              <w:t>PIPL (Art.9)</w:t>
            </w:r>
          </w:p>
        </w:tc>
        <w:tc>
          <w:tcPr>
            <w:tcW w:w="0" w:type="auto"/>
            <w:tcBorders>
              <w:top w:val="single" w:sz="4" w:space="0" w:color="auto"/>
              <w:bottom w:val="single" w:sz="4" w:space="0" w:color="auto"/>
            </w:tcBorders>
            <w:vAlign w:val="center"/>
            <w:hideMark/>
          </w:tcPr>
          <w:p w14:paraId="4644A4BE" w14:textId="77777777" w:rsidR="009C464D" w:rsidRPr="008C292A" w:rsidRDefault="009C464D" w:rsidP="009C464D">
            <w:pPr>
              <w:pStyle w:val="BodyText"/>
              <w:ind w:firstLine="0"/>
              <w:rPr>
                <w:color w:val="000000" w:themeColor="text1"/>
                <w:sz w:val="16"/>
                <w:szCs w:val="16"/>
                <w:lang w:val="en-US"/>
              </w:rPr>
            </w:pPr>
            <w:r w:rsidRPr="008C292A">
              <w:rPr>
                <w:color w:val="000000" w:themeColor="text1"/>
                <w:sz w:val="16"/>
                <w:szCs w:val="16"/>
                <w:lang w:val="en-US"/>
              </w:rPr>
              <w:t>Overall Compliance (%)</w:t>
            </w:r>
          </w:p>
        </w:tc>
      </w:tr>
      <w:tr w:rsidR="009C464D" w:rsidRPr="008C292A" w14:paraId="5BC5B647" w14:textId="77777777">
        <w:trPr>
          <w:tblCellSpacing w:w="15" w:type="dxa"/>
        </w:trPr>
        <w:tc>
          <w:tcPr>
            <w:tcW w:w="0" w:type="auto"/>
            <w:vAlign w:val="center"/>
            <w:hideMark/>
          </w:tcPr>
          <w:p w14:paraId="51B70E0D" w14:textId="77777777" w:rsidR="009C464D" w:rsidRPr="008C292A" w:rsidRDefault="009C464D" w:rsidP="009C464D">
            <w:pPr>
              <w:pStyle w:val="BodyText"/>
              <w:ind w:firstLine="0"/>
              <w:rPr>
                <w:color w:val="000000" w:themeColor="text1"/>
                <w:sz w:val="16"/>
                <w:szCs w:val="16"/>
                <w:lang w:val="en-US"/>
              </w:rPr>
            </w:pPr>
            <w:r w:rsidRPr="008C292A">
              <w:rPr>
                <w:color w:val="000000" w:themeColor="text1"/>
                <w:sz w:val="16"/>
                <w:szCs w:val="16"/>
                <w:lang w:val="en-US"/>
              </w:rPr>
              <w:t>Falcon</w:t>
            </w:r>
          </w:p>
        </w:tc>
        <w:tc>
          <w:tcPr>
            <w:tcW w:w="0" w:type="auto"/>
            <w:vAlign w:val="center"/>
            <w:hideMark/>
          </w:tcPr>
          <w:p w14:paraId="76A2D9F1" w14:textId="77777777" w:rsidR="009C464D" w:rsidRPr="008C292A" w:rsidRDefault="009C464D" w:rsidP="009C464D">
            <w:pPr>
              <w:pStyle w:val="BodyText"/>
              <w:ind w:firstLine="0"/>
              <w:rPr>
                <w:color w:val="000000" w:themeColor="text1"/>
                <w:sz w:val="16"/>
                <w:szCs w:val="16"/>
                <w:lang w:val="en-US"/>
              </w:rPr>
            </w:pPr>
            <w:r w:rsidRPr="008C292A">
              <w:rPr>
                <w:color w:val="000000" w:themeColor="text1"/>
                <w:sz w:val="16"/>
                <w:szCs w:val="16"/>
                <w:lang w:val="en-US"/>
              </w:rPr>
              <w:t>Medium</w:t>
            </w:r>
          </w:p>
        </w:tc>
        <w:tc>
          <w:tcPr>
            <w:tcW w:w="0" w:type="auto"/>
            <w:vAlign w:val="center"/>
            <w:hideMark/>
          </w:tcPr>
          <w:p w14:paraId="608FEEDB" w14:textId="77777777" w:rsidR="009C464D" w:rsidRPr="008C292A" w:rsidRDefault="009C464D" w:rsidP="009C464D">
            <w:pPr>
              <w:pStyle w:val="BodyText"/>
              <w:ind w:firstLine="0"/>
              <w:rPr>
                <w:color w:val="000000" w:themeColor="text1"/>
                <w:sz w:val="16"/>
                <w:szCs w:val="16"/>
                <w:lang w:val="en-US"/>
              </w:rPr>
            </w:pPr>
            <w:r w:rsidRPr="008C292A">
              <w:rPr>
                <w:color w:val="000000" w:themeColor="text1"/>
                <w:sz w:val="16"/>
                <w:szCs w:val="16"/>
                <w:lang w:val="en-US"/>
              </w:rPr>
              <w:t>High</w:t>
            </w:r>
          </w:p>
        </w:tc>
        <w:tc>
          <w:tcPr>
            <w:tcW w:w="0" w:type="auto"/>
            <w:vAlign w:val="center"/>
            <w:hideMark/>
          </w:tcPr>
          <w:p w14:paraId="0CCB2E97" w14:textId="77777777" w:rsidR="009C464D" w:rsidRPr="008C292A" w:rsidRDefault="009C464D" w:rsidP="009C464D">
            <w:pPr>
              <w:pStyle w:val="BodyText"/>
              <w:ind w:firstLine="0"/>
              <w:rPr>
                <w:color w:val="000000" w:themeColor="text1"/>
                <w:sz w:val="16"/>
                <w:szCs w:val="16"/>
                <w:lang w:val="en-US"/>
              </w:rPr>
            </w:pPr>
            <w:r w:rsidRPr="008C292A">
              <w:rPr>
                <w:color w:val="000000" w:themeColor="text1"/>
                <w:sz w:val="16"/>
                <w:szCs w:val="16"/>
                <w:lang w:val="en-US"/>
              </w:rPr>
              <w:t>Medium</w:t>
            </w:r>
          </w:p>
        </w:tc>
        <w:tc>
          <w:tcPr>
            <w:tcW w:w="0" w:type="auto"/>
            <w:vAlign w:val="center"/>
            <w:hideMark/>
          </w:tcPr>
          <w:p w14:paraId="69C700F7" w14:textId="77777777" w:rsidR="009C464D" w:rsidRPr="008C292A" w:rsidRDefault="009C464D" w:rsidP="009C464D">
            <w:pPr>
              <w:pStyle w:val="BodyText"/>
              <w:ind w:firstLine="0"/>
              <w:rPr>
                <w:color w:val="000000" w:themeColor="text1"/>
                <w:sz w:val="16"/>
                <w:szCs w:val="16"/>
                <w:lang w:val="en-US"/>
              </w:rPr>
            </w:pPr>
            <w:r w:rsidRPr="008C292A">
              <w:rPr>
                <w:color w:val="000000" w:themeColor="text1"/>
                <w:sz w:val="16"/>
                <w:szCs w:val="16"/>
                <w:lang w:val="en-US"/>
              </w:rPr>
              <w:t>High</w:t>
            </w:r>
          </w:p>
        </w:tc>
        <w:tc>
          <w:tcPr>
            <w:tcW w:w="0" w:type="auto"/>
            <w:vAlign w:val="center"/>
            <w:hideMark/>
          </w:tcPr>
          <w:p w14:paraId="127CE0B8" w14:textId="77777777" w:rsidR="009C464D" w:rsidRPr="008C292A" w:rsidRDefault="009C464D" w:rsidP="009C464D">
            <w:pPr>
              <w:pStyle w:val="BodyText"/>
              <w:rPr>
                <w:color w:val="000000" w:themeColor="text1"/>
                <w:sz w:val="16"/>
                <w:szCs w:val="16"/>
                <w:lang w:val="en-US"/>
              </w:rPr>
            </w:pPr>
            <w:r w:rsidRPr="008C292A">
              <w:rPr>
                <w:color w:val="000000" w:themeColor="text1"/>
                <w:sz w:val="16"/>
                <w:szCs w:val="16"/>
                <w:lang w:val="en-US"/>
              </w:rPr>
              <w:t>78%</w:t>
            </w:r>
          </w:p>
        </w:tc>
      </w:tr>
      <w:tr w:rsidR="009C464D" w:rsidRPr="008C292A" w14:paraId="1E8500C1" w14:textId="77777777">
        <w:trPr>
          <w:tblCellSpacing w:w="15" w:type="dxa"/>
        </w:trPr>
        <w:tc>
          <w:tcPr>
            <w:tcW w:w="0" w:type="auto"/>
            <w:vAlign w:val="center"/>
            <w:hideMark/>
          </w:tcPr>
          <w:p w14:paraId="4AEEADEA" w14:textId="77777777" w:rsidR="009C464D" w:rsidRPr="008C292A" w:rsidRDefault="009C464D" w:rsidP="009C464D">
            <w:pPr>
              <w:pStyle w:val="BodyText"/>
              <w:ind w:firstLine="0"/>
              <w:rPr>
                <w:color w:val="000000" w:themeColor="text1"/>
                <w:sz w:val="16"/>
                <w:szCs w:val="16"/>
                <w:lang w:val="en-US"/>
              </w:rPr>
            </w:pPr>
            <w:proofErr w:type="spellStart"/>
            <w:r w:rsidRPr="008C292A">
              <w:rPr>
                <w:color w:val="000000" w:themeColor="text1"/>
                <w:sz w:val="16"/>
                <w:szCs w:val="16"/>
                <w:lang w:val="en-US"/>
              </w:rPr>
              <w:t>Dilithium</w:t>
            </w:r>
            <w:proofErr w:type="spellEnd"/>
          </w:p>
        </w:tc>
        <w:tc>
          <w:tcPr>
            <w:tcW w:w="0" w:type="auto"/>
            <w:vAlign w:val="center"/>
            <w:hideMark/>
          </w:tcPr>
          <w:p w14:paraId="4192C7F8" w14:textId="77777777" w:rsidR="009C464D" w:rsidRPr="008C292A" w:rsidRDefault="009C464D" w:rsidP="009C464D">
            <w:pPr>
              <w:pStyle w:val="BodyText"/>
              <w:ind w:firstLine="0"/>
              <w:rPr>
                <w:color w:val="000000" w:themeColor="text1"/>
                <w:sz w:val="16"/>
                <w:szCs w:val="16"/>
                <w:lang w:val="en-US"/>
              </w:rPr>
            </w:pPr>
            <w:r w:rsidRPr="008C292A">
              <w:rPr>
                <w:color w:val="000000" w:themeColor="text1"/>
                <w:sz w:val="16"/>
                <w:szCs w:val="16"/>
                <w:lang w:val="en-US"/>
              </w:rPr>
              <w:t>High</w:t>
            </w:r>
          </w:p>
        </w:tc>
        <w:tc>
          <w:tcPr>
            <w:tcW w:w="0" w:type="auto"/>
            <w:vAlign w:val="center"/>
            <w:hideMark/>
          </w:tcPr>
          <w:p w14:paraId="370E4664" w14:textId="77777777" w:rsidR="009C464D" w:rsidRPr="008C292A" w:rsidRDefault="009C464D" w:rsidP="009C464D">
            <w:pPr>
              <w:pStyle w:val="BodyText"/>
              <w:ind w:firstLine="0"/>
              <w:rPr>
                <w:color w:val="000000" w:themeColor="text1"/>
                <w:sz w:val="16"/>
                <w:szCs w:val="16"/>
                <w:lang w:val="en-US"/>
              </w:rPr>
            </w:pPr>
            <w:r w:rsidRPr="008C292A">
              <w:rPr>
                <w:color w:val="000000" w:themeColor="text1"/>
                <w:sz w:val="16"/>
                <w:szCs w:val="16"/>
                <w:lang w:val="en-US"/>
              </w:rPr>
              <w:t>High</w:t>
            </w:r>
          </w:p>
        </w:tc>
        <w:tc>
          <w:tcPr>
            <w:tcW w:w="0" w:type="auto"/>
            <w:vAlign w:val="center"/>
            <w:hideMark/>
          </w:tcPr>
          <w:p w14:paraId="39AF473D" w14:textId="77777777" w:rsidR="009C464D" w:rsidRPr="008C292A" w:rsidRDefault="009C464D" w:rsidP="009C464D">
            <w:pPr>
              <w:pStyle w:val="BodyText"/>
              <w:ind w:firstLine="0"/>
              <w:rPr>
                <w:color w:val="000000" w:themeColor="text1"/>
                <w:sz w:val="16"/>
                <w:szCs w:val="16"/>
                <w:lang w:val="en-US"/>
              </w:rPr>
            </w:pPr>
            <w:r w:rsidRPr="008C292A">
              <w:rPr>
                <w:color w:val="000000" w:themeColor="text1"/>
                <w:sz w:val="16"/>
                <w:szCs w:val="16"/>
                <w:lang w:val="en-US"/>
              </w:rPr>
              <w:t>High</w:t>
            </w:r>
          </w:p>
        </w:tc>
        <w:tc>
          <w:tcPr>
            <w:tcW w:w="0" w:type="auto"/>
            <w:vAlign w:val="center"/>
            <w:hideMark/>
          </w:tcPr>
          <w:p w14:paraId="144CD1FE" w14:textId="77777777" w:rsidR="009C464D" w:rsidRPr="008C292A" w:rsidRDefault="009C464D" w:rsidP="009C464D">
            <w:pPr>
              <w:pStyle w:val="BodyText"/>
              <w:ind w:firstLine="0"/>
              <w:rPr>
                <w:color w:val="000000" w:themeColor="text1"/>
                <w:sz w:val="16"/>
                <w:szCs w:val="16"/>
                <w:lang w:val="en-US"/>
              </w:rPr>
            </w:pPr>
            <w:r w:rsidRPr="008C292A">
              <w:rPr>
                <w:color w:val="000000" w:themeColor="text1"/>
                <w:sz w:val="16"/>
                <w:szCs w:val="16"/>
                <w:lang w:val="en-US"/>
              </w:rPr>
              <w:t>High</w:t>
            </w:r>
          </w:p>
        </w:tc>
        <w:tc>
          <w:tcPr>
            <w:tcW w:w="0" w:type="auto"/>
            <w:vAlign w:val="center"/>
            <w:hideMark/>
          </w:tcPr>
          <w:p w14:paraId="6220C727" w14:textId="77777777" w:rsidR="009C464D" w:rsidRPr="008C292A" w:rsidRDefault="009C464D" w:rsidP="009C464D">
            <w:pPr>
              <w:pStyle w:val="BodyText"/>
              <w:rPr>
                <w:color w:val="000000" w:themeColor="text1"/>
                <w:sz w:val="16"/>
                <w:szCs w:val="16"/>
                <w:lang w:val="en-US"/>
              </w:rPr>
            </w:pPr>
            <w:r w:rsidRPr="008C292A">
              <w:rPr>
                <w:color w:val="000000" w:themeColor="text1"/>
                <w:sz w:val="16"/>
                <w:szCs w:val="16"/>
                <w:lang w:val="en-US"/>
              </w:rPr>
              <w:t>92%</w:t>
            </w:r>
          </w:p>
        </w:tc>
      </w:tr>
      <w:tr w:rsidR="009C464D" w:rsidRPr="008C292A" w14:paraId="679D2A18" w14:textId="77777777">
        <w:trPr>
          <w:tblCellSpacing w:w="15" w:type="dxa"/>
        </w:trPr>
        <w:tc>
          <w:tcPr>
            <w:tcW w:w="0" w:type="auto"/>
            <w:vAlign w:val="center"/>
            <w:hideMark/>
          </w:tcPr>
          <w:p w14:paraId="6F7AC0EE" w14:textId="77777777" w:rsidR="009C464D" w:rsidRPr="008C292A" w:rsidRDefault="009C464D" w:rsidP="009C464D">
            <w:pPr>
              <w:pStyle w:val="BodyText"/>
              <w:ind w:firstLine="0"/>
              <w:rPr>
                <w:color w:val="000000" w:themeColor="text1"/>
                <w:sz w:val="16"/>
                <w:szCs w:val="16"/>
                <w:lang w:val="en-US"/>
              </w:rPr>
            </w:pPr>
            <w:r w:rsidRPr="008C292A">
              <w:rPr>
                <w:color w:val="000000" w:themeColor="text1"/>
                <w:sz w:val="16"/>
                <w:szCs w:val="16"/>
                <w:lang w:val="en-US"/>
              </w:rPr>
              <w:t>Kyber</w:t>
            </w:r>
          </w:p>
        </w:tc>
        <w:tc>
          <w:tcPr>
            <w:tcW w:w="0" w:type="auto"/>
            <w:vAlign w:val="center"/>
            <w:hideMark/>
          </w:tcPr>
          <w:p w14:paraId="53485BFA" w14:textId="77777777" w:rsidR="009C464D" w:rsidRPr="008C292A" w:rsidRDefault="009C464D" w:rsidP="009C464D">
            <w:pPr>
              <w:pStyle w:val="BodyText"/>
              <w:ind w:firstLine="0"/>
              <w:rPr>
                <w:color w:val="000000" w:themeColor="text1"/>
                <w:sz w:val="16"/>
                <w:szCs w:val="16"/>
                <w:lang w:val="en-US"/>
              </w:rPr>
            </w:pPr>
            <w:r w:rsidRPr="008C292A">
              <w:rPr>
                <w:color w:val="000000" w:themeColor="text1"/>
                <w:sz w:val="16"/>
                <w:szCs w:val="16"/>
                <w:lang w:val="en-US"/>
              </w:rPr>
              <w:t>High</w:t>
            </w:r>
          </w:p>
        </w:tc>
        <w:tc>
          <w:tcPr>
            <w:tcW w:w="0" w:type="auto"/>
            <w:vAlign w:val="center"/>
            <w:hideMark/>
          </w:tcPr>
          <w:p w14:paraId="19FD66DB" w14:textId="77777777" w:rsidR="009C464D" w:rsidRPr="008C292A" w:rsidRDefault="009C464D" w:rsidP="009C464D">
            <w:pPr>
              <w:pStyle w:val="BodyText"/>
              <w:ind w:firstLine="0"/>
              <w:rPr>
                <w:color w:val="000000" w:themeColor="text1"/>
                <w:sz w:val="16"/>
                <w:szCs w:val="16"/>
                <w:lang w:val="en-US"/>
              </w:rPr>
            </w:pPr>
            <w:r w:rsidRPr="008C292A">
              <w:rPr>
                <w:color w:val="000000" w:themeColor="text1"/>
                <w:sz w:val="16"/>
                <w:szCs w:val="16"/>
                <w:lang w:val="en-US"/>
              </w:rPr>
              <w:t>High</w:t>
            </w:r>
          </w:p>
        </w:tc>
        <w:tc>
          <w:tcPr>
            <w:tcW w:w="0" w:type="auto"/>
            <w:vAlign w:val="center"/>
            <w:hideMark/>
          </w:tcPr>
          <w:p w14:paraId="295F9BA7" w14:textId="77777777" w:rsidR="009C464D" w:rsidRPr="008C292A" w:rsidRDefault="009C464D" w:rsidP="009C464D">
            <w:pPr>
              <w:pStyle w:val="BodyText"/>
              <w:ind w:firstLine="0"/>
              <w:rPr>
                <w:color w:val="000000" w:themeColor="text1"/>
                <w:sz w:val="16"/>
                <w:szCs w:val="16"/>
                <w:lang w:val="en-US"/>
              </w:rPr>
            </w:pPr>
            <w:r w:rsidRPr="008C292A">
              <w:rPr>
                <w:color w:val="000000" w:themeColor="text1"/>
                <w:sz w:val="16"/>
                <w:szCs w:val="16"/>
                <w:lang w:val="en-US"/>
              </w:rPr>
              <w:t>High</w:t>
            </w:r>
          </w:p>
        </w:tc>
        <w:tc>
          <w:tcPr>
            <w:tcW w:w="0" w:type="auto"/>
            <w:vAlign w:val="center"/>
            <w:hideMark/>
          </w:tcPr>
          <w:p w14:paraId="53E32311" w14:textId="77777777" w:rsidR="009C464D" w:rsidRPr="008C292A" w:rsidRDefault="009C464D" w:rsidP="009C464D">
            <w:pPr>
              <w:pStyle w:val="BodyText"/>
              <w:ind w:firstLine="0"/>
              <w:rPr>
                <w:color w:val="000000" w:themeColor="text1"/>
                <w:sz w:val="16"/>
                <w:szCs w:val="16"/>
                <w:lang w:val="en-US"/>
              </w:rPr>
            </w:pPr>
            <w:r w:rsidRPr="008C292A">
              <w:rPr>
                <w:color w:val="000000" w:themeColor="text1"/>
                <w:sz w:val="16"/>
                <w:szCs w:val="16"/>
                <w:lang w:val="en-US"/>
              </w:rPr>
              <w:t>High</w:t>
            </w:r>
          </w:p>
        </w:tc>
        <w:tc>
          <w:tcPr>
            <w:tcW w:w="0" w:type="auto"/>
            <w:vAlign w:val="center"/>
            <w:hideMark/>
          </w:tcPr>
          <w:p w14:paraId="4BC5355E" w14:textId="77777777" w:rsidR="009C464D" w:rsidRPr="008C292A" w:rsidRDefault="009C464D" w:rsidP="009C464D">
            <w:pPr>
              <w:pStyle w:val="BodyText"/>
              <w:rPr>
                <w:color w:val="000000" w:themeColor="text1"/>
                <w:sz w:val="16"/>
                <w:szCs w:val="16"/>
                <w:lang w:val="en-US"/>
              </w:rPr>
            </w:pPr>
            <w:r w:rsidRPr="008C292A">
              <w:rPr>
                <w:color w:val="000000" w:themeColor="text1"/>
                <w:sz w:val="16"/>
                <w:szCs w:val="16"/>
                <w:lang w:val="en-US"/>
              </w:rPr>
              <w:t>94%</w:t>
            </w:r>
          </w:p>
        </w:tc>
      </w:tr>
      <w:tr w:rsidR="009C464D" w:rsidRPr="008C292A" w14:paraId="65D1203B" w14:textId="77777777">
        <w:trPr>
          <w:tblCellSpacing w:w="15" w:type="dxa"/>
        </w:trPr>
        <w:tc>
          <w:tcPr>
            <w:tcW w:w="0" w:type="auto"/>
            <w:vAlign w:val="center"/>
            <w:hideMark/>
          </w:tcPr>
          <w:p w14:paraId="1364B77C" w14:textId="77777777" w:rsidR="009C464D" w:rsidRPr="008C292A" w:rsidRDefault="009C464D" w:rsidP="009C464D">
            <w:pPr>
              <w:pStyle w:val="BodyText"/>
              <w:ind w:firstLine="0"/>
              <w:rPr>
                <w:color w:val="000000" w:themeColor="text1"/>
                <w:sz w:val="16"/>
                <w:szCs w:val="16"/>
                <w:lang w:val="en-US"/>
              </w:rPr>
            </w:pPr>
            <w:r w:rsidRPr="008C292A">
              <w:rPr>
                <w:color w:val="000000" w:themeColor="text1"/>
                <w:sz w:val="16"/>
                <w:szCs w:val="16"/>
                <w:lang w:val="en-US"/>
              </w:rPr>
              <w:t>Rainbow</w:t>
            </w:r>
          </w:p>
        </w:tc>
        <w:tc>
          <w:tcPr>
            <w:tcW w:w="0" w:type="auto"/>
            <w:vAlign w:val="center"/>
            <w:hideMark/>
          </w:tcPr>
          <w:p w14:paraId="19DFBE94" w14:textId="77777777" w:rsidR="009C464D" w:rsidRPr="008C292A" w:rsidRDefault="009C464D" w:rsidP="009C464D">
            <w:pPr>
              <w:pStyle w:val="BodyText"/>
              <w:ind w:firstLine="0"/>
              <w:rPr>
                <w:color w:val="000000" w:themeColor="text1"/>
                <w:sz w:val="16"/>
                <w:szCs w:val="16"/>
                <w:lang w:val="en-US"/>
              </w:rPr>
            </w:pPr>
            <w:r w:rsidRPr="008C292A">
              <w:rPr>
                <w:color w:val="000000" w:themeColor="text1"/>
                <w:sz w:val="16"/>
                <w:szCs w:val="16"/>
                <w:lang w:val="en-US"/>
              </w:rPr>
              <w:t>Low</w:t>
            </w:r>
          </w:p>
        </w:tc>
        <w:tc>
          <w:tcPr>
            <w:tcW w:w="0" w:type="auto"/>
            <w:vAlign w:val="center"/>
            <w:hideMark/>
          </w:tcPr>
          <w:p w14:paraId="379F05E3" w14:textId="77777777" w:rsidR="009C464D" w:rsidRPr="008C292A" w:rsidRDefault="009C464D" w:rsidP="009C464D">
            <w:pPr>
              <w:pStyle w:val="BodyText"/>
              <w:ind w:firstLine="0"/>
              <w:rPr>
                <w:color w:val="000000" w:themeColor="text1"/>
                <w:sz w:val="16"/>
                <w:szCs w:val="16"/>
                <w:lang w:val="en-US"/>
              </w:rPr>
            </w:pPr>
            <w:r w:rsidRPr="008C292A">
              <w:rPr>
                <w:color w:val="000000" w:themeColor="text1"/>
                <w:sz w:val="16"/>
                <w:szCs w:val="16"/>
                <w:lang w:val="en-US"/>
              </w:rPr>
              <w:t>Medium</w:t>
            </w:r>
          </w:p>
        </w:tc>
        <w:tc>
          <w:tcPr>
            <w:tcW w:w="0" w:type="auto"/>
            <w:vAlign w:val="center"/>
            <w:hideMark/>
          </w:tcPr>
          <w:p w14:paraId="6AB1B24C" w14:textId="77777777" w:rsidR="009C464D" w:rsidRPr="008C292A" w:rsidRDefault="009C464D" w:rsidP="009C464D">
            <w:pPr>
              <w:pStyle w:val="BodyText"/>
              <w:ind w:firstLine="0"/>
              <w:rPr>
                <w:color w:val="000000" w:themeColor="text1"/>
                <w:sz w:val="16"/>
                <w:szCs w:val="16"/>
                <w:lang w:val="en-US"/>
              </w:rPr>
            </w:pPr>
            <w:r w:rsidRPr="008C292A">
              <w:rPr>
                <w:color w:val="000000" w:themeColor="text1"/>
                <w:sz w:val="16"/>
                <w:szCs w:val="16"/>
                <w:lang w:val="en-US"/>
              </w:rPr>
              <w:t>Low</w:t>
            </w:r>
          </w:p>
        </w:tc>
        <w:tc>
          <w:tcPr>
            <w:tcW w:w="0" w:type="auto"/>
            <w:vAlign w:val="center"/>
            <w:hideMark/>
          </w:tcPr>
          <w:p w14:paraId="3E120FD6" w14:textId="77777777" w:rsidR="009C464D" w:rsidRPr="008C292A" w:rsidRDefault="009C464D" w:rsidP="009C464D">
            <w:pPr>
              <w:pStyle w:val="BodyText"/>
              <w:ind w:firstLine="0"/>
              <w:rPr>
                <w:color w:val="000000" w:themeColor="text1"/>
                <w:sz w:val="16"/>
                <w:szCs w:val="16"/>
                <w:lang w:val="en-US"/>
              </w:rPr>
            </w:pPr>
            <w:r w:rsidRPr="008C292A">
              <w:rPr>
                <w:color w:val="000000" w:themeColor="text1"/>
                <w:sz w:val="16"/>
                <w:szCs w:val="16"/>
                <w:lang w:val="en-US"/>
              </w:rPr>
              <w:t>Medium</w:t>
            </w:r>
          </w:p>
        </w:tc>
        <w:tc>
          <w:tcPr>
            <w:tcW w:w="0" w:type="auto"/>
            <w:vAlign w:val="center"/>
            <w:hideMark/>
          </w:tcPr>
          <w:p w14:paraId="55F652BE" w14:textId="77777777" w:rsidR="009C464D" w:rsidRPr="008C292A" w:rsidRDefault="009C464D" w:rsidP="009C464D">
            <w:pPr>
              <w:pStyle w:val="BodyText"/>
              <w:rPr>
                <w:color w:val="000000" w:themeColor="text1"/>
                <w:sz w:val="16"/>
                <w:szCs w:val="16"/>
                <w:lang w:val="en-US"/>
              </w:rPr>
            </w:pPr>
            <w:r w:rsidRPr="008C292A">
              <w:rPr>
                <w:color w:val="000000" w:themeColor="text1"/>
                <w:sz w:val="16"/>
                <w:szCs w:val="16"/>
                <w:lang w:val="en-US"/>
              </w:rPr>
              <w:t>62%</w:t>
            </w:r>
          </w:p>
        </w:tc>
      </w:tr>
    </w:tbl>
    <w:p w14:paraId="22CE7624" w14:textId="00215F75" w:rsidR="009C464D" w:rsidRPr="008C292A" w:rsidRDefault="009C464D" w:rsidP="009C464D">
      <w:pPr>
        <w:pStyle w:val="BodyText"/>
        <w:rPr>
          <w:color w:val="000000" w:themeColor="text1"/>
          <w:lang w:val="en-US"/>
        </w:rPr>
      </w:pPr>
      <w:r w:rsidRPr="008C292A">
        <w:rPr>
          <w:color w:val="000000" w:themeColor="text1"/>
          <w:lang w:val="en-US"/>
        </w:rPr>
        <w:t xml:space="preserve">Graph </w:t>
      </w:r>
      <w:r w:rsidR="000D50B7" w:rsidRPr="008C292A">
        <w:rPr>
          <w:color w:val="000000" w:themeColor="text1"/>
          <w:lang w:val="en-US"/>
        </w:rPr>
        <w:t>3</w:t>
      </w:r>
      <w:r w:rsidRPr="008C292A">
        <w:rPr>
          <w:color w:val="000000" w:themeColor="text1"/>
          <w:lang w:val="en-US"/>
        </w:rPr>
        <w:t>. Regulatory Compliance Radar Chart</w:t>
      </w:r>
      <w:r w:rsidRPr="008C292A">
        <w:rPr>
          <w:color w:val="000000" w:themeColor="text1"/>
          <w:lang w:val="en-US"/>
        </w:rPr>
        <w:br/>
        <w:t xml:space="preserve">(Radar plot with axes = GDPR, CCPA, LGPD, PIPL; Kyber and </w:t>
      </w:r>
      <w:proofErr w:type="spellStart"/>
      <w:r w:rsidRPr="008C292A">
        <w:rPr>
          <w:color w:val="000000" w:themeColor="text1"/>
          <w:lang w:val="en-US"/>
        </w:rPr>
        <w:t>Dilithium</w:t>
      </w:r>
      <w:proofErr w:type="spellEnd"/>
      <w:r w:rsidRPr="008C292A">
        <w:rPr>
          <w:color w:val="000000" w:themeColor="text1"/>
          <w:lang w:val="en-US"/>
        </w:rPr>
        <w:t xml:space="preserve"> filling most of the compliance space, Rainbow underperforming.)</w:t>
      </w:r>
    </w:p>
    <w:p w14:paraId="0BE18C72" w14:textId="77777777" w:rsidR="000D50B7" w:rsidRPr="008C292A" w:rsidRDefault="000D50B7" w:rsidP="000D50B7">
      <w:pPr>
        <w:pStyle w:val="BodyText"/>
        <w:keepNext/>
      </w:pPr>
      <w:r w:rsidRPr="008C292A">
        <w:rPr>
          <w:noProof/>
          <w:color w:val="000000" w:themeColor="text1"/>
          <w:lang w:val="en-US" w:eastAsia="en-US"/>
        </w:rPr>
        <w:drawing>
          <wp:inline distT="0" distB="0" distL="0" distR="0" wp14:anchorId="05662AB3" wp14:editId="6D6DACF2">
            <wp:extent cx="2141751" cy="1951893"/>
            <wp:effectExtent l="0" t="0" r="0" b="0"/>
            <wp:docPr id="119470015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79973" cy="1986727"/>
                    </a:xfrm>
                    <a:prstGeom prst="rect">
                      <a:avLst/>
                    </a:prstGeom>
                    <a:noFill/>
                  </pic:spPr>
                </pic:pic>
              </a:graphicData>
            </a:graphic>
          </wp:inline>
        </w:drawing>
      </w:r>
    </w:p>
    <w:p w14:paraId="6596FC79" w14:textId="02BC4C5E" w:rsidR="009C464D" w:rsidRPr="008C292A" w:rsidRDefault="000D50B7" w:rsidP="000D50B7">
      <w:pPr>
        <w:pStyle w:val="Caption"/>
        <w:jc w:val="both"/>
        <w:rPr>
          <w:i w:val="0"/>
          <w:iCs w:val="0"/>
          <w:color w:val="000000" w:themeColor="text1"/>
          <w:spacing w:val="-1"/>
          <w:lang w:eastAsia="x-none"/>
        </w:rPr>
      </w:pPr>
      <w:r w:rsidRPr="008C292A">
        <w:t xml:space="preserve">Figure </w:t>
      </w:r>
      <w:r w:rsidRPr="008C292A">
        <w:fldChar w:fldCharType="begin"/>
      </w:r>
      <w:r w:rsidRPr="008C292A">
        <w:instrText xml:space="preserve"> SEQ Figure \* ARABIC </w:instrText>
      </w:r>
      <w:r w:rsidRPr="008C292A">
        <w:fldChar w:fldCharType="separate"/>
      </w:r>
      <w:r w:rsidR="00246A0C" w:rsidRPr="008C292A">
        <w:rPr>
          <w:noProof/>
        </w:rPr>
        <w:t>3</w:t>
      </w:r>
      <w:r w:rsidRPr="008C292A">
        <w:fldChar w:fldCharType="end"/>
      </w:r>
      <w:r w:rsidRPr="008C292A">
        <w:t xml:space="preserve"> regulatory compliance radar chart</w:t>
      </w:r>
    </w:p>
    <w:p w14:paraId="6C608D0A" w14:textId="77777777" w:rsidR="009C464D" w:rsidRPr="008C292A" w:rsidRDefault="009C464D" w:rsidP="006A4DAA">
      <w:pPr>
        <w:pStyle w:val="BodyText"/>
        <w:ind w:left="720" w:firstLine="0"/>
        <w:rPr>
          <w:i/>
          <w:iCs/>
          <w:color w:val="000000" w:themeColor="text1"/>
          <w:lang w:val="en-US"/>
        </w:rPr>
      </w:pPr>
      <w:r w:rsidRPr="008C292A">
        <w:rPr>
          <w:i/>
          <w:iCs/>
          <w:color w:val="000000" w:themeColor="text1"/>
          <w:lang w:val="en-US"/>
        </w:rPr>
        <w:t>C. Ethical Assessment Insights</w:t>
      </w:r>
    </w:p>
    <w:p w14:paraId="2541ED15" w14:textId="525A78A3" w:rsidR="002F2700" w:rsidRPr="008C292A" w:rsidRDefault="002F2700" w:rsidP="009C464D">
      <w:pPr>
        <w:pStyle w:val="BodyText"/>
        <w:rPr>
          <w:color w:val="000000" w:themeColor="text1"/>
          <w:lang w:val="en-US"/>
        </w:rPr>
      </w:pPr>
      <w:r w:rsidRPr="008C292A">
        <w:rPr>
          <w:color w:val="000000" w:themeColor="text1"/>
          <w:lang w:val="en-US"/>
        </w:rPr>
        <w:t>Table 5 shows the ethical assessment insight</w:t>
      </w:r>
    </w:p>
    <w:tbl>
      <w:tblPr>
        <w:tblW w:w="0" w:type="auto"/>
        <w:tblLook w:val="04A0" w:firstRow="1" w:lastRow="0" w:firstColumn="1" w:lastColumn="0" w:noHBand="0" w:noVBand="1"/>
      </w:tblPr>
      <w:tblGrid>
        <w:gridCol w:w="650"/>
        <w:gridCol w:w="783"/>
        <w:gridCol w:w="761"/>
        <w:gridCol w:w="865"/>
        <w:gridCol w:w="587"/>
        <w:gridCol w:w="552"/>
        <w:gridCol w:w="668"/>
      </w:tblGrid>
      <w:tr w:rsidR="002F2700" w:rsidRPr="008C292A" w14:paraId="203C5606" w14:textId="77777777" w:rsidTr="00246A0C">
        <w:tc>
          <w:tcPr>
            <w:tcW w:w="650" w:type="dxa"/>
            <w:tcBorders>
              <w:top w:val="single" w:sz="4" w:space="0" w:color="auto"/>
              <w:bottom w:val="single" w:sz="4" w:space="0" w:color="auto"/>
            </w:tcBorders>
          </w:tcPr>
          <w:p w14:paraId="06A166B7" w14:textId="77777777" w:rsidR="002F2700" w:rsidRPr="008C292A" w:rsidRDefault="002F2700" w:rsidP="00EA3B01">
            <w:pPr>
              <w:rPr>
                <w:sz w:val="16"/>
                <w:szCs w:val="16"/>
              </w:rPr>
            </w:pPr>
            <w:r w:rsidRPr="008C292A">
              <w:rPr>
                <w:sz w:val="16"/>
                <w:szCs w:val="16"/>
              </w:rPr>
              <w:t>Algorithm</w:t>
            </w:r>
          </w:p>
        </w:tc>
        <w:tc>
          <w:tcPr>
            <w:tcW w:w="783" w:type="dxa"/>
            <w:tcBorders>
              <w:top w:val="single" w:sz="4" w:space="0" w:color="auto"/>
              <w:bottom w:val="single" w:sz="4" w:space="0" w:color="auto"/>
            </w:tcBorders>
          </w:tcPr>
          <w:p w14:paraId="78EE300D" w14:textId="77777777" w:rsidR="002F2700" w:rsidRPr="008C292A" w:rsidRDefault="002F2700" w:rsidP="00EA3B01">
            <w:pPr>
              <w:rPr>
                <w:sz w:val="16"/>
                <w:szCs w:val="16"/>
              </w:rPr>
            </w:pPr>
            <w:r w:rsidRPr="008C292A">
              <w:rPr>
                <w:sz w:val="16"/>
                <w:szCs w:val="16"/>
              </w:rPr>
              <w:t>Transparency</w:t>
            </w:r>
          </w:p>
        </w:tc>
        <w:tc>
          <w:tcPr>
            <w:tcW w:w="761" w:type="dxa"/>
            <w:tcBorders>
              <w:top w:val="single" w:sz="4" w:space="0" w:color="auto"/>
              <w:bottom w:val="single" w:sz="4" w:space="0" w:color="auto"/>
            </w:tcBorders>
          </w:tcPr>
          <w:p w14:paraId="64B65E0D" w14:textId="77777777" w:rsidR="002F2700" w:rsidRPr="008C292A" w:rsidRDefault="002F2700" w:rsidP="00EA3B01">
            <w:pPr>
              <w:rPr>
                <w:sz w:val="16"/>
                <w:szCs w:val="16"/>
              </w:rPr>
            </w:pPr>
            <w:r w:rsidRPr="008C292A">
              <w:rPr>
                <w:sz w:val="16"/>
                <w:szCs w:val="16"/>
              </w:rPr>
              <w:t>Accessibility</w:t>
            </w:r>
          </w:p>
        </w:tc>
        <w:tc>
          <w:tcPr>
            <w:tcW w:w="865" w:type="dxa"/>
            <w:tcBorders>
              <w:top w:val="single" w:sz="4" w:space="0" w:color="auto"/>
              <w:bottom w:val="single" w:sz="4" w:space="0" w:color="auto"/>
            </w:tcBorders>
          </w:tcPr>
          <w:p w14:paraId="43431853" w14:textId="77777777" w:rsidR="002F2700" w:rsidRPr="008C292A" w:rsidRDefault="002F2700" w:rsidP="00EA3B01">
            <w:pPr>
              <w:rPr>
                <w:sz w:val="16"/>
                <w:szCs w:val="16"/>
              </w:rPr>
            </w:pPr>
            <w:r w:rsidRPr="008C292A">
              <w:rPr>
                <w:sz w:val="16"/>
                <w:szCs w:val="16"/>
              </w:rPr>
              <w:t>Interoperability</w:t>
            </w:r>
          </w:p>
        </w:tc>
        <w:tc>
          <w:tcPr>
            <w:tcW w:w="587" w:type="dxa"/>
            <w:tcBorders>
              <w:top w:val="single" w:sz="4" w:space="0" w:color="auto"/>
              <w:bottom w:val="single" w:sz="4" w:space="0" w:color="auto"/>
            </w:tcBorders>
          </w:tcPr>
          <w:p w14:paraId="00090ECF" w14:textId="77777777" w:rsidR="002F2700" w:rsidRPr="008C292A" w:rsidRDefault="002F2700" w:rsidP="00EA3B01">
            <w:pPr>
              <w:rPr>
                <w:sz w:val="16"/>
                <w:szCs w:val="16"/>
              </w:rPr>
            </w:pPr>
            <w:r w:rsidRPr="008C292A">
              <w:rPr>
                <w:sz w:val="16"/>
                <w:szCs w:val="16"/>
              </w:rPr>
              <w:t>Long-term Viability</w:t>
            </w:r>
          </w:p>
        </w:tc>
        <w:tc>
          <w:tcPr>
            <w:tcW w:w="552" w:type="dxa"/>
            <w:tcBorders>
              <w:top w:val="single" w:sz="4" w:space="0" w:color="auto"/>
              <w:bottom w:val="single" w:sz="4" w:space="0" w:color="auto"/>
            </w:tcBorders>
          </w:tcPr>
          <w:p w14:paraId="7689C8D4" w14:textId="77777777" w:rsidR="002F2700" w:rsidRPr="008C292A" w:rsidRDefault="002F2700" w:rsidP="00EA3B01">
            <w:pPr>
              <w:rPr>
                <w:sz w:val="16"/>
                <w:szCs w:val="16"/>
              </w:rPr>
            </w:pPr>
            <w:r w:rsidRPr="008C292A">
              <w:rPr>
                <w:sz w:val="16"/>
                <w:szCs w:val="16"/>
              </w:rPr>
              <w:t>Societal Impact</w:t>
            </w:r>
          </w:p>
        </w:tc>
        <w:tc>
          <w:tcPr>
            <w:tcW w:w="668" w:type="dxa"/>
            <w:tcBorders>
              <w:top w:val="single" w:sz="4" w:space="0" w:color="auto"/>
              <w:bottom w:val="single" w:sz="4" w:space="0" w:color="auto"/>
            </w:tcBorders>
          </w:tcPr>
          <w:p w14:paraId="1EEA5E9C" w14:textId="77777777" w:rsidR="002F2700" w:rsidRPr="008C292A" w:rsidRDefault="002F2700" w:rsidP="00EA3B01">
            <w:pPr>
              <w:rPr>
                <w:sz w:val="16"/>
                <w:szCs w:val="16"/>
              </w:rPr>
            </w:pPr>
            <w:r w:rsidRPr="008C292A">
              <w:rPr>
                <w:sz w:val="16"/>
                <w:szCs w:val="16"/>
              </w:rPr>
              <w:t>Composite Score</w:t>
            </w:r>
          </w:p>
        </w:tc>
      </w:tr>
      <w:tr w:rsidR="002F2700" w:rsidRPr="008C292A" w14:paraId="3D2F531E" w14:textId="77777777" w:rsidTr="00246A0C">
        <w:tc>
          <w:tcPr>
            <w:tcW w:w="650" w:type="dxa"/>
            <w:tcBorders>
              <w:top w:val="single" w:sz="4" w:space="0" w:color="auto"/>
            </w:tcBorders>
          </w:tcPr>
          <w:p w14:paraId="45BCE55E" w14:textId="77777777" w:rsidR="002F2700" w:rsidRPr="008C292A" w:rsidRDefault="002F2700" w:rsidP="00EA3B01">
            <w:pPr>
              <w:rPr>
                <w:sz w:val="16"/>
                <w:szCs w:val="16"/>
              </w:rPr>
            </w:pPr>
            <w:r w:rsidRPr="008C292A">
              <w:rPr>
                <w:sz w:val="16"/>
                <w:szCs w:val="16"/>
              </w:rPr>
              <w:t>Falcon</w:t>
            </w:r>
          </w:p>
        </w:tc>
        <w:tc>
          <w:tcPr>
            <w:tcW w:w="783" w:type="dxa"/>
            <w:tcBorders>
              <w:top w:val="single" w:sz="4" w:space="0" w:color="auto"/>
            </w:tcBorders>
          </w:tcPr>
          <w:p w14:paraId="7AB82208" w14:textId="77777777" w:rsidR="002F2700" w:rsidRPr="008C292A" w:rsidRDefault="002F2700" w:rsidP="00EA3B01">
            <w:pPr>
              <w:rPr>
                <w:sz w:val="16"/>
                <w:szCs w:val="16"/>
              </w:rPr>
            </w:pPr>
            <w:r w:rsidRPr="008C292A">
              <w:rPr>
                <w:sz w:val="16"/>
                <w:szCs w:val="16"/>
              </w:rPr>
              <w:t>2.5</w:t>
            </w:r>
          </w:p>
        </w:tc>
        <w:tc>
          <w:tcPr>
            <w:tcW w:w="761" w:type="dxa"/>
            <w:tcBorders>
              <w:top w:val="single" w:sz="4" w:space="0" w:color="auto"/>
            </w:tcBorders>
          </w:tcPr>
          <w:p w14:paraId="04FE99C6" w14:textId="77777777" w:rsidR="002F2700" w:rsidRPr="008C292A" w:rsidRDefault="002F2700" w:rsidP="00EA3B01">
            <w:pPr>
              <w:rPr>
                <w:sz w:val="16"/>
                <w:szCs w:val="16"/>
              </w:rPr>
            </w:pPr>
            <w:r w:rsidRPr="008C292A">
              <w:rPr>
                <w:sz w:val="16"/>
                <w:szCs w:val="16"/>
              </w:rPr>
              <w:t>3.0</w:t>
            </w:r>
          </w:p>
        </w:tc>
        <w:tc>
          <w:tcPr>
            <w:tcW w:w="865" w:type="dxa"/>
            <w:tcBorders>
              <w:top w:val="single" w:sz="4" w:space="0" w:color="auto"/>
            </w:tcBorders>
          </w:tcPr>
          <w:p w14:paraId="365E06FD" w14:textId="77777777" w:rsidR="002F2700" w:rsidRPr="008C292A" w:rsidRDefault="002F2700" w:rsidP="00EA3B01">
            <w:pPr>
              <w:rPr>
                <w:sz w:val="16"/>
                <w:szCs w:val="16"/>
              </w:rPr>
            </w:pPr>
            <w:r w:rsidRPr="008C292A">
              <w:rPr>
                <w:sz w:val="16"/>
                <w:szCs w:val="16"/>
              </w:rPr>
              <w:t>4.5</w:t>
            </w:r>
          </w:p>
        </w:tc>
        <w:tc>
          <w:tcPr>
            <w:tcW w:w="587" w:type="dxa"/>
            <w:tcBorders>
              <w:top w:val="single" w:sz="4" w:space="0" w:color="auto"/>
            </w:tcBorders>
          </w:tcPr>
          <w:p w14:paraId="503EEB61" w14:textId="77777777" w:rsidR="002F2700" w:rsidRPr="008C292A" w:rsidRDefault="002F2700" w:rsidP="00EA3B01">
            <w:pPr>
              <w:rPr>
                <w:sz w:val="16"/>
                <w:szCs w:val="16"/>
              </w:rPr>
            </w:pPr>
            <w:r w:rsidRPr="008C292A">
              <w:rPr>
                <w:sz w:val="16"/>
                <w:szCs w:val="16"/>
              </w:rPr>
              <w:t>4.8</w:t>
            </w:r>
          </w:p>
        </w:tc>
        <w:tc>
          <w:tcPr>
            <w:tcW w:w="552" w:type="dxa"/>
            <w:tcBorders>
              <w:top w:val="single" w:sz="4" w:space="0" w:color="auto"/>
            </w:tcBorders>
          </w:tcPr>
          <w:p w14:paraId="18D8CF6B" w14:textId="77777777" w:rsidR="002F2700" w:rsidRPr="008C292A" w:rsidRDefault="002F2700" w:rsidP="00EA3B01">
            <w:pPr>
              <w:rPr>
                <w:sz w:val="16"/>
                <w:szCs w:val="16"/>
              </w:rPr>
            </w:pPr>
            <w:r w:rsidRPr="008C292A">
              <w:rPr>
                <w:sz w:val="16"/>
                <w:szCs w:val="16"/>
              </w:rPr>
              <w:t>3.5</w:t>
            </w:r>
          </w:p>
        </w:tc>
        <w:tc>
          <w:tcPr>
            <w:tcW w:w="668" w:type="dxa"/>
            <w:tcBorders>
              <w:top w:val="single" w:sz="4" w:space="0" w:color="auto"/>
            </w:tcBorders>
          </w:tcPr>
          <w:p w14:paraId="5099F3EB" w14:textId="77777777" w:rsidR="002F2700" w:rsidRPr="008C292A" w:rsidRDefault="002F2700" w:rsidP="00EA3B01">
            <w:pPr>
              <w:rPr>
                <w:sz w:val="16"/>
                <w:szCs w:val="16"/>
              </w:rPr>
            </w:pPr>
            <w:r w:rsidRPr="008C292A">
              <w:rPr>
                <w:sz w:val="16"/>
                <w:szCs w:val="16"/>
              </w:rPr>
              <w:t>3.7</w:t>
            </w:r>
          </w:p>
        </w:tc>
      </w:tr>
      <w:tr w:rsidR="002F2700" w:rsidRPr="008C292A" w14:paraId="1757C423" w14:textId="77777777" w:rsidTr="002F2700">
        <w:tc>
          <w:tcPr>
            <w:tcW w:w="650" w:type="dxa"/>
          </w:tcPr>
          <w:p w14:paraId="5B946A15" w14:textId="77777777" w:rsidR="002F2700" w:rsidRPr="008C292A" w:rsidRDefault="002F2700" w:rsidP="00EA3B01">
            <w:pPr>
              <w:rPr>
                <w:sz w:val="16"/>
                <w:szCs w:val="16"/>
              </w:rPr>
            </w:pPr>
            <w:proofErr w:type="spellStart"/>
            <w:r w:rsidRPr="008C292A">
              <w:rPr>
                <w:sz w:val="16"/>
                <w:szCs w:val="16"/>
              </w:rPr>
              <w:t>Dilithium</w:t>
            </w:r>
            <w:proofErr w:type="spellEnd"/>
          </w:p>
        </w:tc>
        <w:tc>
          <w:tcPr>
            <w:tcW w:w="783" w:type="dxa"/>
          </w:tcPr>
          <w:p w14:paraId="67B68CB4" w14:textId="77777777" w:rsidR="002F2700" w:rsidRPr="008C292A" w:rsidRDefault="002F2700" w:rsidP="00EA3B01">
            <w:pPr>
              <w:rPr>
                <w:sz w:val="16"/>
                <w:szCs w:val="16"/>
              </w:rPr>
            </w:pPr>
            <w:r w:rsidRPr="008C292A">
              <w:rPr>
                <w:sz w:val="16"/>
                <w:szCs w:val="16"/>
              </w:rPr>
              <w:t>3.0</w:t>
            </w:r>
          </w:p>
        </w:tc>
        <w:tc>
          <w:tcPr>
            <w:tcW w:w="761" w:type="dxa"/>
          </w:tcPr>
          <w:p w14:paraId="6140D6DD" w14:textId="77777777" w:rsidR="002F2700" w:rsidRPr="008C292A" w:rsidRDefault="002F2700" w:rsidP="00EA3B01">
            <w:pPr>
              <w:rPr>
                <w:sz w:val="16"/>
                <w:szCs w:val="16"/>
              </w:rPr>
            </w:pPr>
            <w:r w:rsidRPr="008C292A">
              <w:rPr>
                <w:sz w:val="16"/>
                <w:szCs w:val="16"/>
              </w:rPr>
              <w:t>4.2</w:t>
            </w:r>
          </w:p>
        </w:tc>
        <w:tc>
          <w:tcPr>
            <w:tcW w:w="865" w:type="dxa"/>
          </w:tcPr>
          <w:p w14:paraId="0F7FD7B2" w14:textId="77777777" w:rsidR="002F2700" w:rsidRPr="008C292A" w:rsidRDefault="002F2700" w:rsidP="00EA3B01">
            <w:pPr>
              <w:rPr>
                <w:sz w:val="16"/>
                <w:szCs w:val="16"/>
              </w:rPr>
            </w:pPr>
            <w:r w:rsidRPr="008C292A">
              <w:rPr>
                <w:sz w:val="16"/>
                <w:szCs w:val="16"/>
              </w:rPr>
              <w:t>4.3</w:t>
            </w:r>
          </w:p>
        </w:tc>
        <w:tc>
          <w:tcPr>
            <w:tcW w:w="587" w:type="dxa"/>
          </w:tcPr>
          <w:p w14:paraId="3682815C" w14:textId="77777777" w:rsidR="002F2700" w:rsidRPr="008C292A" w:rsidRDefault="002F2700" w:rsidP="00EA3B01">
            <w:pPr>
              <w:rPr>
                <w:sz w:val="16"/>
                <w:szCs w:val="16"/>
              </w:rPr>
            </w:pPr>
            <w:r w:rsidRPr="008C292A">
              <w:rPr>
                <w:sz w:val="16"/>
                <w:szCs w:val="16"/>
              </w:rPr>
              <w:t>4.9</w:t>
            </w:r>
          </w:p>
        </w:tc>
        <w:tc>
          <w:tcPr>
            <w:tcW w:w="552" w:type="dxa"/>
          </w:tcPr>
          <w:p w14:paraId="47A97B04" w14:textId="77777777" w:rsidR="002F2700" w:rsidRPr="008C292A" w:rsidRDefault="002F2700" w:rsidP="00EA3B01">
            <w:pPr>
              <w:rPr>
                <w:sz w:val="16"/>
                <w:szCs w:val="16"/>
              </w:rPr>
            </w:pPr>
            <w:r w:rsidRPr="008C292A">
              <w:rPr>
                <w:sz w:val="16"/>
                <w:szCs w:val="16"/>
              </w:rPr>
              <w:t>4.0</w:t>
            </w:r>
          </w:p>
        </w:tc>
        <w:tc>
          <w:tcPr>
            <w:tcW w:w="668" w:type="dxa"/>
          </w:tcPr>
          <w:p w14:paraId="4BE12510" w14:textId="77777777" w:rsidR="002F2700" w:rsidRPr="008C292A" w:rsidRDefault="002F2700" w:rsidP="00EA3B01">
            <w:pPr>
              <w:rPr>
                <w:sz w:val="16"/>
                <w:szCs w:val="16"/>
              </w:rPr>
            </w:pPr>
            <w:r w:rsidRPr="008C292A">
              <w:rPr>
                <w:sz w:val="16"/>
                <w:szCs w:val="16"/>
              </w:rPr>
              <w:t>4.1</w:t>
            </w:r>
          </w:p>
        </w:tc>
      </w:tr>
      <w:tr w:rsidR="002F2700" w:rsidRPr="008C292A" w14:paraId="7AA628E2" w14:textId="77777777" w:rsidTr="002F2700">
        <w:tc>
          <w:tcPr>
            <w:tcW w:w="650" w:type="dxa"/>
          </w:tcPr>
          <w:p w14:paraId="1D0C26B8" w14:textId="77777777" w:rsidR="002F2700" w:rsidRPr="008C292A" w:rsidRDefault="002F2700" w:rsidP="00EA3B01">
            <w:pPr>
              <w:rPr>
                <w:sz w:val="16"/>
                <w:szCs w:val="16"/>
              </w:rPr>
            </w:pPr>
            <w:r w:rsidRPr="008C292A">
              <w:rPr>
                <w:sz w:val="16"/>
                <w:szCs w:val="16"/>
              </w:rPr>
              <w:t>Kyber</w:t>
            </w:r>
          </w:p>
        </w:tc>
        <w:tc>
          <w:tcPr>
            <w:tcW w:w="783" w:type="dxa"/>
          </w:tcPr>
          <w:p w14:paraId="76361690" w14:textId="77777777" w:rsidR="002F2700" w:rsidRPr="008C292A" w:rsidRDefault="002F2700" w:rsidP="00EA3B01">
            <w:pPr>
              <w:rPr>
                <w:sz w:val="16"/>
                <w:szCs w:val="16"/>
              </w:rPr>
            </w:pPr>
            <w:r w:rsidRPr="008C292A">
              <w:rPr>
                <w:sz w:val="16"/>
                <w:szCs w:val="16"/>
              </w:rPr>
              <w:t>2.8</w:t>
            </w:r>
          </w:p>
        </w:tc>
        <w:tc>
          <w:tcPr>
            <w:tcW w:w="761" w:type="dxa"/>
          </w:tcPr>
          <w:p w14:paraId="140C9B96" w14:textId="77777777" w:rsidR="002F2700" w:rsidRPr="008C292A" w:rsidRDefault="002F2700" w:rsidP="00EA3B01">
            <w:pPr>
              <w:rPr>
                <w:sz w:val="16"/>
                <w:szCs w:val="16"/>
              </w:rPr>
            </w:pPr>
            <w:r w:rsidRPr="008C292A">
              <w:rPr>
                <w:sz w:val="16"/>
                <w:szCs w:val="16"/>
              </w:rPr>
              <w:t>4.5</w:t>
            </w:r>
          </w:p>
        </w:tc>
        <w:tc>
          <w:tcPr>
            <w:tcW w:w="865" w:type="dxa"/>
          </w:tcPr>
          <w:p w14:paraId="42B973FA" w14:textId="77777777" w:rsidR="002F2700" w:rsidRPr="008C292A" w:rsidRDefault="002F2700" w:rsidP="00EA3B01">
            <w:pPr>
              <w:rPr>
                <w:sz w:val="16"/>
                <w:szCs w:val="16"/>
              </w:rPr>
            </w:pPr>
            <w:r w:rsidRPr="008C292A">
              <w:rPr>
                <w:sz w:val="16"/>
                <w:szCs w:val="16"/>
              </w:rPr>
              <w:t>4.7</w:t>
            </w:r>
          </w:p>
        </w:tc>
        <w:tc>
          <w:tcPr>
            <w:tcW w:w="587" w:type="dxa"/>
          </w:tcPr>
          <w:p w14:paraId="5FA31748" w14:textId="77777777" w:rsidR="002F2700" w:rsidRPr="008C292A" w:rsidRDefault="002F2700" w:rsidP="00EA3B01">
            <w:pPr>
              <w:rPr>
                <w:sz w:val="16"/>
                <w:szCs w:val="16"/>
              </w:rPr>
            </w:pPr>
            <w:r w:rsidRPr="008C292A">
              <w:rPr>
                <w:sz w:val="16"/>
                <w:szCs w:val="16"/>
              </w:rPr>
              <w:t>4.9</w:t>
            </w:r>
          </w:p>
        </w:tc>
        <w:tc>
          <w:tcPr>
            <w:tcW w:w="552" w:type="dxa"/>
          </w:tcPr>
          <w:p w14:paraId="0EC120B7" w14:textId="77777777" w:rsidR="002F2700" w:rsidRPr="008C292A" w:rsidRDefault="002F2700" w:rsidP="00EA3B01">
            <w:pPr>
              <w:rPr>
                <w:sz w:val="16"/>
                <w:szCs w:val="16"/>
              </w:rPr>
            </w:pPr>
            <w:r w:rsidRPr="008C292A">
              <w:rPr>
                <w:sz w:val="16"/>
                <w:szCs w:val="16"/>
              </w:rPr>
              <w:t>3.8</w:t>
            </w:r>
          </w:p>
        </w:tc>
        <w:tc>
          <w:tcPr>
            <w:tcW w:w="668" w:type="dxa"/>
          </w:tcPr>
          <w:p w14:paraId="2210D41D" w14:textId="77777777" w:rsidR="002F2700" w:rsidRPr="008C292A" w:rsidRDefault="002F2700" w:rsidP="00EA3B01">
            <w:pPr>
              <w:rPr>
                <w:sz w:val="16"/>
                <w:szCs w:val="16"/>
              </w:rPr>
            </w:pPr>
            <w:r w:rsidRPr="008C292A">
              <w:rPr>
                <w:sz w:val="16"/>
                <w:szCs w:val="16"/>
              </w:rPr>
              <w:t>4.1</w:t>
            </w:r>
          </w:p>
        </w:tc>
      </w:tr>
      <w:tr w:rsidR="002F2700" w:rsidRPr="008C292A" w14:paraId="2AAEC372" w14:textId="77777777" w:rsidTr="002F2700">
        <w:tc>
          <w:tcPr>
            <w:tcW w:w="650" w:type="dxa"/>
          </w:tcPr>
          <w:p w14:paraId="537B69D3" w14:textId="77777777" w:rsidR="002F2700" w:rsidRPr="008C292A" w:rsidRDefault="002F2700" w:rsidP="00EA3B01">
            <w:pPr>
              <w:rPr>
                <w:sz w:val="16"/>
                <w:szCs w:val="16"/>
              </w:rPr>
            </w:pPr>
            <w:r w:rsidRPr="008C292A">
              <w:rPr>
                <w:sz w:val="16"/>
                <w:szCs w:val="16"/>
              </w:rPr>
              <w:t>Rainbow</w:t>
            </w:r>
          </w:p>
        </w:tc>
        <w:tc>
          <w:tcPr>
            <w:tcW w:w="783" w:type="dxa"/>
          </w:tcPr>
          <w:p w14:paraId="4097AA14" w14:textId="77777777" w:rsidR="002F2700" w:rsidRPr="008C292A" w:rsidRDefault="002F2700" w:rsidP="00EA3B01">
            <w:pPr>
              <w:rPr>
                <w:sz w:val="16"/>
                <w:szCs w:val="16"/>
              </w:rPr>
            </w:pPr>
            <w:r w:rsidRPr="008C292A">
              <w:rPr>
                <w:sz w:val="16"/>
                <w:szCs w:val="16"/>
              </w:rPr>
              <w:t>3.2</w:t>
            </w:r>
          </w:p>
        </w:tc>
        <w:tc>
          <w:tcPr>
            <w:tcW w:w="761" w:type="dxa"/>
          </w:tcPr>
          <w:p w14:paraId="1564A6B9" w14:textId="77777777" w:rsidR="002F2700" w:rsidRPr="008C292A" w:rsidRDefault="002F2700" w:rsidP="00EA3B01">
            <w:pPr>
              <w:rPr>
                <w:sz w:val="16"/>
                <w:szCs w:val="16"/>
              </w:rPr>
            </w:pPr>
            <w:r w:rsidRPr="008C292A">
              <w:rPr>
                <w:sz w:val="16"/>
                <w:szCs w:val="16"/>
              </w:rPr>
              <w:t>2.8</w:t>
            </w:r>
          </w:p>
        </w:tc>
        <w:tc>
          <w:tcPr>
            <w:tcW w:w="865" w:type="dxa"/>
          </w:tcPr>
          <w:p w14:paraId="515CB86F" w14:textId="77777777" w:rsidR="002F2700" w:rsidRPr="008C292A" w:rsidRDefault="002F2700" w:rsidP="00EA3B01">
            <w:pPr>
              <w:rPr>
                <w:sz w:val="16"/>
                <w:szCs w:val="16"/>
              </w:rPr>
            </w:pPr>
            <w:r w:rsidRPr="008C292A">
              <w:rPr>
                <w:sz w:val="16"/>
                <w:szCs w:val="16"/>
              </w:rPr>
              <w:t>3.9</w:t>
            </w:r>
          </w:p>
        </w:tc>
        <w:tc>
          <w:tcPr>
            <w:tcW w:w="587" w:type="dxa"/>
          </w:tcPr>
          <w:p w14:paraId="6D1C6120" w14:textId="77777777" w:rsidR="002F2700" w:rsidRPr="008C292A" w:rsidRDefault="002F2700" w:rsidP="00EA3B01">
            <w:pPr>
              <w:rPr>
                <w:sz w:val="16"/>
                <w:szCs w:val="16"/>
              </w:rPr>
            </w:pPr>
            <w:r w:rsidRPr="008C292A">
              <w:rPr>
                <w:sz w:val="16"/>
                <w:szCs w:val="16"/>
              </w:rPr>
              <w:t>3.2</w:t>
            </w:r>
          </w:p>
        </w:tc>
        <w:tc>
          <w:tcPr>
            <w:tcW w:w="552" w:type="dxa"/>
          </w:tcPr>
          <w:p w14:paraId="74C6EA8E" w14:textId="77777777" w:rsidR="002F2700" w:rsidRPr="008C292A" w:rsidRDefault="002F2700" w:rsidP="00EA3B01">
            <w:pPr>
              <w:rPr>
                <w:sz w:val="16"/>
                <w:szCs w:val="16"/>
              </w:rPr>
            </w:pPr>
            <w:r w:rsidRPr="008C292A">
              <w:rPr>
                <w:sz w:val="16"/>
                <w:szCs w:val="16"/>
              </w:rPr>
              <w:t>2.5</w:t>
            </w:r>
          </w:p>
        </w:tc>
        <w:tc>
          <w:tcPr>
            <w:tcW w:w="668" w:type="dxa"/>
          </w:tcPr>
          <w:p w14:paraId="0E213303" w14:textId="77777777" w:rsidR="002F2700" w:rsidRPr="008C292A" w:rsidRDefault="002F2700" w:rsidP="00EA3B01">
            <w:pPr>
              <w:rPr>
                <w:sz w:val="16"/>
                <w:szCs w:val="16"/>
              </w:rPr>
            </w:pPr>
            <w:r w:rsidRPr="008C292A">
              <w:rPr>
                <w:sz w:val="16"/>
                <w:szCs w:val="16"/>
              </w:rPr>
              <w:t>3.1</w:t>
            </w:r>
          </w:p>
        </w:tc>
      </w:tr>
    </w:tbl>
    <w:p w14:paraId="7E0E535F" w14:textId="77777777" w:rsidR="002F2700" w:rsidRPr="008C292A" w:rsidRDefault="002F2700" w:rsidP="009C464D">
      <w:pPr>
        <w:pStyle w:val="BodyText"/>
        <w:rPr>
          <w:color w:val="000000" w:themeColor="text1"/>
          <w:lang w:val="en-US"/>
        </w:rPr>
      </w:pPr>
    </w:p>
    <w:p w14:paraId="4F0FA5BA" w14:textId="43E5561D" w:rsidR="009C464D" w:rsidRPr="008C292A" w:rsidRDefault="009C464D" w:rsidP="009C464D">
      <w:pPr>
        <w:pStyle w:val="BodyText"/>
        <w:rPr>
          <w:color w:val="000000" w:themeColor="text1"/>
          <w:lang w:val="en-US"/>
        </w:rPr>
      </w:pPr>
      <w:r w:rsidRPr="008C292A">
        <w:rPr>
          <w:color w:val="000000" w:themeColor="text1"/>
          <w:lang w:val="en-US"/>
        </w:rPr>
        <w:t xml:space="preserve">Figure </w:t>
      </w:r>
      <w:r w:rsidR="002F2700" w:rsidRPr="008C292A">
        <w:rPr>
          <w:color w:val="000000" w:themeColor="text1"/>
          <w:lang w:val="en-US"/>
        </w:rPr>
        <w:t>3</w:t>
      </w:r>
      <w:r w:rsidRPr="008C292A">
        <w:rPr>
          <w:color w:val="000000" w:themeColor="text1"/>
          <w:lang w:val="en-US"/>
        </w:rPr>
        <w:t>. Ethical Scores Across Dimensions</w:t>
      </w:r>
      <w:r w:rsidRPr="008C292A">
        <w:rPr>
          <w:color w:val="000000" w:themeColor="text1"/>
          <w:lang w:val="en-US"/>
        </w:rPr>
        <w:br/>
        <w:t>Each dimension on X-axis, average score across algorithms on Y-axis. Transparency is lowest overall, while long-term viability scores highest.</w:t>
      </w:r>
    </w:p>
    <w:p w14:paraId="114FFBC4" w14:textId="77777777" w:rsidR="00246A0C" w:rsidRPr="008C292A" w:rsidRDefault="00246A0C" w:rsidP="00246A0C">
      <w:pPr>
        <w:pStyle w:val="BodyText"/>
        <w:keepNext/>
        <w:jc w:val="center"/>
      </w:pPr>
      <w:r w:rsidRPr="008C292A">
        <w:rPr>
          <w:noProof/>
          <w:lang w:val="en-US" w:eastAsia="en-US"/>
        </w:rPr>
        <w:drawing>
          <wp:inline distT="0" distB="0" distL="0" distR="0" wp14:anchorId="32CE8C9B" wp14:editId="234BBC1A">
            <wp:extent cx="2985477" cy="2239108"/>
            <wp:effectExtent l="0" t="0" r="5715"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3.png"/>
                    <pic:cNvPicPr/>
                  </pic:nvPicPr>
                  <pic:blipFill>
                    <a:blip r:embed="rId13"/>
                    <a:stretch>
                      <a:fillRect/>
                    </a:stretch>
                  </pic:blipFill>
                  <pic:spPr>
                    <a:xfrm>
                      <a:off x="0" y="0"/>
                      <a:ext cx="2988794" cy="2241596"/>
                    </a:xfrm>
                    <a:prstGeom prst="rect">
                      <a:avLst/>
                    </a:prstGeom>
                  </pic:spPr>
                </pic:pic>
              </a:graphicData>
            </a:graphic>
          </wp:inline>
        </w:drawing>
      </w:r>
    </w:p>
    <w:p w14:paraId="447A5276" w14:textId="576E6399" w:rsidR="00246A0C" w:rsidRPr="008C292A" w:rsidRDefault="00246A0C" w:rsidP="00246A0C">
      <w:pPr>
        <w:pStyle w:val="Caption"/>
      </w:pPr>
      <w:r w:rsidRPr="008C292A">
        <w:t>Figure 3 ethical scores across dimensions</w:t>
      </w:r>
    </w:p>
    <w:p w14:paraId="1F2E329C" w14:textId="348299B8" w:rsidR="006A4DAA" w:rsidRPr="008C292A" w:rsidRDefault="009C464D" w:rsidP="00246A0C">
      <w:pPr>
        <w:pStyle w:val="BodyText"/>
        <w:ind w:firstLine="0"/>
        <w:rPr>
          <w:color w:val="000000" w:themeColor="text1"/>
          <w:lang w:val="en-US"/>
        </w:rPr>
      </w:pPr>
      <w:r w:rsidRPr="008C292A">
        <w:rPr>
          <w:color w:val="000000" w:themeColor="text1"/>
          <w:lang w:val="en-US"/>
        </w:rPr>
        <w:t xml:space="preserve">Finding 1: Larger key/signature sizes (e.g., Falcon’s </w:t>
      </w:r>
      <w:r w:rsidRPr="008C292A">
        <w:rPr>
          <w:rFonts w:ascii="Cambria Math" w:hAnsi="Cambria Math" w:cs="Cambria Math"/>
          <w:color w:val="000000" w:themeColor="text1"/>
          <w:lang w:val="en-US"/>
        </w:rPr>
        <w:t>∼</w:t>
      </w:r>
      <w:r w:rsidRPr="008C292A">
        <w:rPr>
          <w:color w:val="000000" w:themeColor="text1"/>
          <w:lang w:val="en-US"/>
        </w:rPr>
        <w:t>1KB signature vs. ECDSA’s 64B) raise GDPR proportionality concerns.</w:t>
      </w:r>
    </w:p>
    <w:p w14:paraId="2655BC65" w14:textId="3B798E3F" w:rsidR="009C464D" w:rsidRPr="008C292A" w:rsidRDefault="009C464D" w:rsidP="00246A0C">
      <w:pPr>
        <w:pStyle w:val="BodyText"/>
        <w:ind w:firstLine="0"/>
        <w:rPr>
          <w:color w:val="000000" w:themeColor="text1"/>
          <w:lang w:val="en-US"/>
        </w:rPr>
      </w:pPr>
      <w:r w:rsidRPr="008C292A">
        <w:rPr>
          <w:color w:val="000000" w:themeColor="text1"/>
          <w:lang w:val="en-US"/>
        </w:rPr>
        <w:t>Finding 2: Computational intensity may hinder IoT deployment under GDPR Art. 32.</w:t>
      </w:r>
      <w:r w:rsidR="006A4DAA" w:rsidRPr="008C292A">
        <w:rPr>
          <w:color w:val="000000" w:themeColor="text1"/>
          <w:lang w:val="en-US"/>
        </w:rPr>
        <w:t xml:space="preserve"> </w:t>
      </w:r>
      <w:r w:rsidRPr="008C292A">
        <w:rPr>
          <w:color w:val="000000" w:themeColor="text1"/>
          <w:lang w:val="en-US"/>
        </w:rPr>
        <w:t>Finding 3: Ethical trade-offs exist between transparency (low for lattice-based schemes) and long-term viability (high).</w:t>
      </w:r>
    </w:p>
    <w:p w14:paraId="422930C7" w14:textId="4152D8A2" w:rsidR="009C464D" w:rsidRPr="008C292A" w:rsidRDefault="009C464D" w:rsidP="009C464D">
      <w:pPr>
        <w:pStyle w:val="BodyText"/>
        <w:rPr>
          <w:color w:val="000000" w:themeColor="text1"/>
          <w:lang w:val="en-US"/>
        </w:rPr>
      </w:pPr>
    </w:p>
    <w:p w14:paraId="41412413" w14:textId="77777777" w:rsidR="009C464D" w:rsidRPr="008C292A" w:rsidRDefault="009C464D" w:rsidP="006A4DAA">
      <w:pPr>
        <w:pStyle w:val="BodyText"/>
        <w:rPr>
          <w:i/>
          <w:iCs/>
          <w:color w:val="000000" w:themeColor="text1"/>
          <w:lang w:val="en-US"/>
        </w:rPr>
      </w:pPr>
      <w:r w:rsidRPr="008C292A">
        <w:rPr>
          <w:i/>
          <w:iCs/>
          <w:color w:val="000000" w:themeColor="text1"/>
          <w:lang w:val="en-US"/>
        </w:rPr>
        <w:t>D. Case Study Highlights</w:t>
      </w:r>
    </w:p>
    <w:p w14:paraId="7B11C850" w14:textId="77777777" w:rsidR="009C464D" w:rsidRPr="008C292A" w:rsidRDefault="009C464D" w:rsidP="009C464D">
      <w:pPr>
        <w:pStyle w:val="BodyText"/>
        <w:numPr>
          <w:ilvl w:val="0"/>
          <w:numId w:val="26"/>
        </w:numPr>
        <w:rPr>
          <w:color w:val="000000" w:themeColor="text1"/>
          <w:lang w:val="en-US"/>
        </w:rPr>
      </w:pPr>
      <w:r w:rsidRPr="008C292A">
        <w:rPr>
          <w:color w:val="000000" w:themeColor="text1"/>
          <w:lang w:val="en-US"/>
        </w:rPr>
        <w:t>Financial Services: Kyber integration supported high transaction throughput (≥150k ops/sec), meeting GDPR Art. 32 requirements.</w:t>
      </w:r>
    </w:p>
    <w:p w14:paraId="743E95FA" w14:textId="77777777" w:rsidR="009C464D" w:rsidRPr="008C292A" w:rsidRDefault="009C464D" w:rsidP="009C464D">
      <w:pPr>
        <w:pStyle w:val="BodyText"/>
        <w:numPr>
          <w:ilvl w:val="0"/>
          <w:numId w:val="26"/>
        </w:numPr>
        <w:rPr>
          <w:color w:val="000000" w:themeColor="text1"/>
          <w:lang w:val="en-US"/>
        </w:rPr>
      </w:pPr>
      <w:r w:rsidRPr="008C292A">
        <w:rPr>
          <w:color w:val="000000" w:themeColor="text1"/>
          <w:lang w:val="en-US"/>
        </w:rPr>
        <w:t xml:space="preserve">Healthcare: </w:t>
      </w:r>
      <w:proofErr w:type="spellStart"/>
      <w:r w:rsidRPr="008C292A">
        <w:rPr>
          <w:color w:val="000000" w:themeColor="text1"/>
          <w:lang w:val="en-US"/>
        </w:rPr>
        <w:t>Dilithium</w:t>
      </w:r>
      <w:proofErr w:type="spellEnd"/>
      <w:r w:rsidRPr="008C292A">
        <w:rPr>
          <w:color w:val="000000" w:themeColor="text1"/>
          <w:lang w:val="en-US"/>
        </w:rPr>
        <w:t xml:space="preserve"> balanced compliance and ethical concerns, offering strong interoperability across systems.</w:t>
      </w:r>
    </w:p>
    <w:p w14:paraId="1CAA0184" w14:textId="224D9F36" w:rsidR="009C464D" w:rsidRPr="008C292A" w:rsidRDefault="009C464D" w:rsidP="006A4DAA">
      <w:pPr>
        <w:pStyle w:val="BodyText"/>
        <w:numPr>
          <w:ilvl w:val="0"/>
          <w:numId w:val="26"/>
        </w:numPr>
        <w:rPr>
          <w:color w:val="000000" w:themeColor="text1"/>
          <w:lang w:val="en-US"/>
        </w:rPr>
      </w:pPr>
      <w:r w:rsidRPr="008C292A">
        <w:rPr>
          <w:color w:val="000000" w:themeColor="text1"/>
          <w:lang w:val="en-US"/>
        </w:rPr>
        <w:t>IoT Systems: Falcon struggled due to metadata storage overhead, highlighting accessibility issues for resource-constrained devices.</w:t>
      </w:r>
    </w:p>
    <w:p w14:paraId="4108F653" w14:textId="177D5223" w:rsidR="009C464D" w:rsidRPr="008C292A" w:rsidRDefault="00246A0C" w:rsidP="00246A0C">
      <w:pPr>
        <w:pStyle w:val="BodyText"/>
        <w:rPr>
          <w:i/>
          <w:iCs/>
          <w:color w:val="000000" w:themeColor="text1"/>
          <w:lang w:val="en-US"/>
        </w:rPr>
      </w:pPr>
      <w:r w:rsidRPr="008C292A">
        <w:rPr>
          <w:i/>
          <w:iCs/>
          <w:color w:val="000000" w:themeColor="text1"/>
          <w:lang w:val="en-US"/>
        </w:rPr>
        <w:t>E</w:t>
      </w:r>
      <w:r w:rsidR="006A4DAA" w:rsidRPr="008C292A">
        <w:rPr>
          <w:i/>
          <w:iCs/>
          <w:color w:val="000000" w:themeColor="text1"/>
          <w:lang w:val="en-US"/>
        </w:rPr>
        <w:t>.</w:t>
      </w:r>
      <w:r w:rsidR="009C464D" w:rsidRPr="008C292A">
        <w:rPr>
          <w:i/>
          <w:iCs/>
          <w:color w:val="000000" w:themeColor="text1"/>
          <w:lang w:val="en-US"/>
        </w:rPr>
        <w:t xml:space="preserve"> Recommendations and Implications</w:t>
      </w:r>
    </w:p>
    <w:p w14:paraId="0FDEB209" w14:textId="77777777" w:rsidR="009C464D" w:rsidRPr="008C292A" w:rsidRDefault="009C464D" w:rsidP="009C464D">
      <w:pPr>
        <w:pStyle w:val="BodyText"/>
        <w:numPr>
          <w:ilvl w:val="0"/>
          <w:numId w:val="27"/>
        </w:numPr>
        <w:rPr>
          <w:color w:val="000000" w:themeColor="text1"/>
          <w:lang w:val="en-US"/>
        </w:rPr>
      </w:pPr>
      <w:r w:rsidRPr="008C292A">
        <w:rPr>
          <w:color w:val="000000" w:themeColor="text1"/>
          <w:lang w:val="en-US"/>
        </w:rPr>
        <w:t>Policy – Issue quantum-specific compliance guidance, enable safe harbors during transition.</w:t>
      </w:r>
    </w:p>
    <w:p w14:paraId="6D60BB9D" w14:textId="77777777" w:rsidR="009C464D" w:rsidRPr="008C292A" w:rsidRDefault="009C464D" w:rsidP="009C464D">
      <w:pPr>
        <w:pStyle w:val="BodyText"/>
        <w:numPr>
          <w:ilvl w:val="0"/>
          <w:numId w:val="27"/>
        </w:numPr>
        <w:rPr>
          <w:color w:val="000000" w:themeColor="text1"/>
          <w:lang w:val="en-US"/>
        </w:rPr>
      </w:pPr>
      <w:r w:rsidRPr="008C292A">
        <w:rPr>
          <w:color w:val="000000" w:themeColor="text1"/>
          <w:lang w:val="en-US"/>
        </w:rPr>
        <w:t>Organizations – Implement crypto-agile systems supporting multiple PQC algorithms.</w:t>
      </w:r>
    </w:p>
    <w:p w14:paraId="330A66A7" w14:textId="77777777" w:rsidR="009C464D" w:rsidRPr="008C292A" w:rsidRDefault="009C464D" w:rsidP="009C464D">
      <w:pPr>
        <w:pStyle w:val="BodyText"/>
        <w:numPr>
          <w:ilvl w:val="0"/>
          <w:numId w:val="27"/>
        </w:numPr>
        <w:rPr>
          <w:color w:val="000000" w:themeColor="text1"/>
          <w:lang w:val="en-US"/>
        </w:rPr>
      </w:pPr>
      <w:r w:rsidRPr="008C292A">
        <w:rPr>
          <w:color w:val="000000" w:themeColor="text1"/>
          <w:lang w:val="en-US"/>
        </w:rPr>
        <w:lastRenderedPageBreak/>
        <w:t>Ethics – Conduct algorithmic impact assessments and document cryptographic decisions.</w:t>
      </w:r>
    </w:p>
    <w:p w14:paraId="3110EECF" w14:textId="04A79805" w:rsidR="009C464D" w:rsidRPr="008C292A" w:rsidRDefault="009C464D" w:rsidP="009C464D">
      <w:pPr>
        <w:pStyle w:val="BodyText"/>
        <w:rPr>
          <w:color w:val="000000" w:themeColor="text1"/>
          <w:lang w:val="en-US"/>
        </w:rPr>
      </w:pPr>
    </w:p>
    <w:p w14:paraId="71A64261" w14:textId="1A29CBA5" w:rsidR="009C464D" w:rsidRPr="008C292A" w:rsidRDefault="009C464D" w:rsidP="006A4DAA">
      <w:pPr>
        <w:pStyle w:val="BodyText"/>
        <w:numPr>
          <w:ilvl w:val="0"/>
          <w:numId w:val="8"/>
        </w:numPr>
        <w:rPr>
          <w:i/>
          <w:iCs/>
          <w:color w:val="000000" w:themeColor="text1"/>
          <w:lang w:val="en-US"/>
        </w:rPr>
      </w:pPr>
      <w:r w:rsidRPr="008C292A">
        <w:rPr>
          <w:i/>
          <w:iCs/>
          <w:color w:val="000000" w:themeColor="text1"/>
          <w:lang w:val="en-US"/>
        </w:rPr>
        <w:t>Conclusion</w:t>
      </w:r>
    </w:p>
    <w:p w14:paraId="736493B8" w14:textId="6109F020" w:rsidR="00246A0C" w:rsidRPr="008C292A" w:rsidRDefault="00246A0C" w:rsidP="00246A0C">
      <w:pPr>
        <w:pStyle w:val="BodyText"/>
        <w:ind w:firstLine="0"/>
        <w:rPr>
          <w:color w:val="000000" w:themeColor="text1"/>
        </w:rPr>
      </w:pPr>
      <w:r w:rsidRPr="008C292A">
        <w:rPr>
          <w:color w:val="000000" w:themeColor="text1"/>
        </w:rPr>
        <w:t xml:space="preserve">While all PQC algorithms improve quantum resistance, this validation shows that </w:t>
      </w:r>
      <w:proofErr w:type="spellStart"/>
      <w:r w:rsidRPr="008C292A">
        <w:rPr>
          <w:color w:val="000000" w:themeColor="text1"/>
        </w:rPr>
        <w:t>Dilithium</w:t>
      </w:r>
      <w:proofErr w:type="spellEnd"/>
      <w:r w:rsidRPr="008C292A">
        <w:rPr>
          <w:color w:val="000000" w:themeColor="text1"/>
        </w:rPr>
        <w:t xml:space="preserve"> and Kyber are the most well-rounded in terms of technological, legal, and ethical considerations. While Rainbow performs poorly overall, Falcon is excellent at long-term viability but has GDPR proportionality issues. For governments and businesses getting ready for PQC transitions, the framework offers a scalable, multidimensional validation approach.</w:t>
      </w:r>
    </w:p>
    <w:p w14:paraId="6BA81F61" w14:textId="6F745621" w:rsidR="00F46935" w:rsidRPr="008C292A" w:rsidRDefault="00F46935" w:rsidP="006A4DAA">
      <w:pPr>
        <w:pStyle w:val="Heading1"/>
        <w:ind w:firstLine="0"/>
        <w:rPr>
          <w:color w:val="000000" w:themeColor="text1"/>
        </w:rPr>
      </w:pPr>
      <w:r w:rsidRPr="008C292A">
        <w:rPr>
          <w:color w:val="000000" w:themeColor="text1"/>
        </w:rPr>
        <w:t>VI. Conclusion and Future Work</w:t>
      </w:r>
    </w:p>
    <w:p w14:paraId="24C8409E" w14:textId="6F7B34D8" w:rsidR="00DD3508" w:rsidRPr="008C292A" w:rsidRDefault="00DD3508" w:rsidP="006A4DAA">
      <w:pPr>
        <w:pStyle w:val="Heading2"/>
      </w:pPr>
      <w:r w:rsidRPr="008C292A">
        <w:t>Conclusion</w:t>
      </w:r>
    </w:p>
    <w:p w14:paraId="5C276833" w14:textId="77777777" w:rsidR="00221E4D" w:rsidRPr="008C292A" w:rsidRDefault="00221E4D" w:rsidP="00221E4D">
      <w:pPr>
        <w:pStyle w:val="BodyText"/>
        <w:ind w:firstLine="0"/>
        <w:rPr>
          <w:color w:val="000000" w:themeColor="text1"/>
        </w:rPr>
      </w:pPr>
      <w:r w:rsidRPr="008C292A">
        <w:rPr>
          <w:color w:val="000000" w:themeColor="text1"/>
        </w:rPr>
        <w:t>More than just a technological security enhancement, the shift to post-quantum encryption calls for a complete rethinking of how we safeguard data in the age of quantum computing. Based on our findings, technical security, legal compliance, and ethical considerations must all be carefully considered in order to deploy PQC successfully. The time for proactive planning is running out; therefore, everyone involved needs to act quickly.</w:t>
      </w:r>
    </w:p>
    <w:p w14:paraId="56A0DD3A" w14:textId="08CD1D8D" w:rsidR="00DD3508" w:rsidRPr="008C292A" w:rsidRDefault="00DD3508" w:rsidP="006A4DAA">
      <w:pPr>
        <w:pStyle w:val="Heading2"/>
      </w:pPr>
      <w:r w:rsidRPr="008C292A">
        <w:t>Future Research Directions</w:t>
      </w:r>
    </w:p>
    <w:p w14:paraId="5F451711" w14:textId="77777777" w:rsidR="00221E4D" w:rsidRPr="008C292A" w:rsidRDefault="00221E4D" w:rsidP="00221E4D">
      <w:pPr>
        <w:pStyle w:val="BodyText"/>
        <w:numPr>
          <w:ilvl w:val="0"/>
          <w:numId w:val="32"/>
        </w:numPr>
        <w:rPr>
          <w:color w:val="000000" w:themeColor="text1"/>
        </w:rPr>
      </w:pPr>
      <w:r w:rsidRPr="008C292A">
        <w:rPr>
          <w:color w:val="000000" w:themeColor="text1"/>
        </w:rPr>
        <w:t xml:space="preserve">Exploring the Impact of Quantum Machine Learning on Data Anonymization Techniques </w:t>
      </w:r>
    </w:p>
    <w:p w14:paraId="6ECF5E5F" w14:textId="77777777" w:rsidR="00221E4D" w:rsidRPr="008C292A" w:rsidRDefault="00221E4D" w:rsidP="00221E4D">
      <w:pPr>
        <w:pStyle w:val="BodyText"/>
        <w:numPr>
          <w:ilvl w:val="0"/>
          <w:numId w:val="32"/>
        </w:numPr>
        <w:rPr>
          <w:color w:val="000000" w:themeColor="text1"/>
        </w:rPr>
      </w:pPr>
      <w:r w:rsidRPr="008C292A">
        <w:rPr>
          <w:color w:val="000000" w:themeColor="text1"/>
        </w:rPr>
        <w:t xml:space="preserve">Hybrid Cryptographic Methods: Studies integrating key aspects of classical and quantum cryptography </w:t>
      </w:r>
    </w:p>
    <w:p w14:paraId="437F42F6" w14:textId="77777777" w:rsidR="00221E4D" w:rsidRPr="008C292A" w:rsidRDefault="00221E4D" w:rsidP="00221E4D">
      <w:pPr>
        <w:pStyle w:val="BodyText"/>
        <w:numPr>
          <w:ilvl w:val="0"/>
          <w:numId w:val="32"/>
        </w:numPr>
        <w:rPr>
          <w:color w:val="000000" w:themeColor="text1"/>
        </w:rPr>
      </w:pPr>
      <w:r w:rsidRPr="008C292A">
        <w:rPr>
          <w:color w:val="000000" w:themeColor="text1"/>
        </w:rPr>
        <w:t xml:space="preserve">Building test environments for data safety in the quantum era: regulatory sandboxes </w:t>
      </w:r>
    </w:p>
    <w:p w14:paraId="09C2A089" w14:textId="77777777" w:rsidR="00221E4D" w:rsidRPr="008C292A" w:rsidRDefault="00221E4D" w:rsidP="00221E4D">
      <w:pPr>
        <w:pStyle w:val="BodyText"/>
        <w:numPr>
          <w:ilvl w:val="0"/>
          <w:numId w:val="32"/>
        </w:numPr>
        <w:rPr>
          <w:color w:val="000000" w:themeColor="text1"/>
        </w:rPr>
      </w:pPr>
      <w:r w:rsidRPr="008C292A">
        <w:rPr>
          <w:color w:val="000000" w:themeColor="text1"/>
        </w:rPr>
        <w:t>In the long run, Frameworks for Ethics: Development of new moral standards in light of the advent of quantum computing</w:t>
      </w:r>
    </w:p>
    <w:p w14:paraId="1F2ACDF1" w14:textId="77777777" w:rsidR="00221E4D" w:rsidRPr="008C292A" w:rsidRDefault="00221E4D" w:rsidP="00221E4D">
      <w:pPr>
        <w:pStyle w:val="BodyText"/>
        <w:ind w:left="360" w:firstLine="0"/>
        <w:rPr>
          <w:color w:val="000000" w:themeColor="text1"/>
        </w:rPr>
      </w:pPr>
    </w:p>
    <w:p w14:paraId="2ACF3586" w14:textId="0A955D59" w:rsidR="00DD3508" w:rsidRPr="008C292A" w:rsidRDefault="00DD3508" w:rsidP="00221E4D">
      <w:pPr>
        <w:pStyle w:val="BodyText"/>
        <w:ind w:left="360" w:firstLine="0"/>
        <w:rPr>
          <w:smallCaps/>
          <w:noProof/>
          <w:color w:val="000000" w:themeColor="text1"/>
          <w:spacing w:val="0"/>
          <w:lang w:val="en-US" w:eastAsia="en-US"/>
        </w:rPr>
      </w:pPr>
      <w:r w:rsidRPr="008C292A">
        <w:rPr>
          <w:smallCaps/>
          <w:noProof/>
          <w:color w:val="000000" w:themeColor="text1"/>
          <w:spacing w:val="0"/>
          <w:lang w:val="en-US" w:eastAsia="en-US"/>
        </w:rPr>
        <w:t>References</w:t>
      </w:r>
    </w:p>
    <w:p w14:paraId="6A452D91" w14:textId="77777777" w:rsidR="00DD3508" w:rsidRPr="008C292A" w:rsidRDefault="00DD3508" w:rsidP="00221E4D">
      <w:pPr>
        <w:pStyle w:val="references"/>
        <w:rPr>
          <w:color w:val="0F1115"/>
          <w:shd w:val="clear" w:color="auto" w:fill="FFFFFF"/>
        </w:rPr>
      </w:pPr>
      <w:r w:rsidRPr="008C292A">
        <w:rPr>
          <w:color w:val="0F1115"/>
          <w:shd w:val="clear" w:color="auto" w:fill="FFFFFF"/>
        </w:rPr>
        <w:t>[1] M. Mosca, "Cybersecurity in an era with quantum computers: will we be ready?," IEEE Security &amp; Privacy, 2018.</w:t>
      </w:r>
    </w:p>
    <w:p w14:paraId="7AF21659" w14:textId="77777777" w:rsidR="00DD3508" w:rsidRPr="008C292A" w:rsidRDefault="00DD3508" w:rsidP="00221E4D">
      <w:pPr>
        <w:pStyle w:val="references"/>
        <w:rPr>
          <w:color w:val="0F1115"/>
          <w:shd w:val="clear" w:color="auto" w:fill="FFFFFF"/>
        </w:rPr>
      </w:pPr>
      <w:r w:rsidRPr="008C292A">
        <w:rPr>
          <w:color w:val="0F1115"/>
          <w:shd w:val="clear" w:color="auto" w:fill="FFFFFF"/>
        </w:rPr>
        <w:t>[2] P. W. Shor, "Polynomial-time algorithms for prime factorization and discrete logarithms on a quantum computer," SIAM Review, 1999.</w:t>
      </w:r>
    </w:p>
    <w:p w14:paraId="34504C25" w14:textId="77777777" w:rsidR="00DD3508" w:rsidRPr="008C292A" w:rsidRDefault="00DD3508" w:rsidP="00221E4D">
      <w:pPr>
        <w:pStyle w:val="references"/>
        <w:rPr>
          <w:color w:val="0F1115"/>
          <w:shd w:val="clear" w:color="auto" w:fill="FFFFFF"/>
        </w:rPr>
      </w:pPr>
      <w:r w:rsidRPr="008C292A">
        <w:rPr>
          <w:color w:val="0F1115"/>
          <w:shd w:val="clear" w:color="auto" w:fill="FFFFFF"/>
        </w:rPr>
        <w:t>[3] L. K. Grover, "A fast quantum mechanical algorithm for database search," Proceedings of STOC, 1996.</w:t>
      </w:r>
    </w:p>
    <w:p w14:paraId="0785EC01" w14:textId="77777777" w:rsidR="00DD3508" w:rsidRPr="008C292A" w:rsidRDefault="00DD3508" w:rsidP="00221E4D">
      <w:pPr>
        <w:pStyle w:val="references"/>
        <w:rPr>
          <w:color w:val="0F1115"/>
          <w:shd w:val="clear" w:color="auto" w:fill="FFFFFF"/>
        </w:rPr>
      </w:pPr>
      <w:r w:rsidRPr="008C292A">
        <w:rPr>
          <w:color w:val="0F1115"/>
          <w:shd w:val="clear" w:color="auto" w:fill="FFFFFF"/>
        </w:rPr>
        <w:t>[4] Regulation (EU) 2016/679, "General Data Protection Regulation (GDPR)," Official Journal of the European Union, 2016.</w:t>
      </w:r>
    </w:p>
    <w:p w14:paraId="37BB9D8F" w14:textId="77777777" w:rsidR="00DD3508" w:rsidRPr="008C292A" w:rsidRDefault="00DD3508" w:rsidP="00221E4D">
      <w:pPr>
        <w:pStyle w:val="references"/>
        <w:rPr>
          <w:color w:val="0F1115"/>
          <w:shd w:val="clear" w:color="auto" w:fill="FFFFFF"/>
        </w:rPr>
      </w:pPr>
      <w:r w:rsidRPr="008C292A">
        <w:rPr>
          <w:color w:val="0F1115"/>
          <w:shd w:val="clear" w:color="auto" w:fill="FFFFFF"/>
        </w:rPr>
        <w:t>[5] California Civil Code, "California Consumer Privacy Act (CCPA)," 2018.</w:t>
      </w:r>
    </w:p>
    <w:p w14:paraId="33983D75" w14:textId="77777777" w:rsidR="00DD3508" w:rsidRPr="008C292A" w:rsidRDefault="00DD3508" w:rsidP="00221E4D">
      <w:pPr>
        <w:pStyle w:val="references"/>
        <w:rPr>
          <w:color w:val="0F1115"/>
          <w:shd w:val="clear" w:color="auto" w:fill="FFFFFF"/>
        </w:rPr>
      </w:pPr>
      <w:r w:rsidRPr="008C292A">
        <w:rPr>
          <w:color w:val="0F1115"/>
          <w:shd w:val="clear" w:color="auto" w:fill="FFFFFF"/>
        </w:rPr>
        <w:t>[6] J. Hoffstein, J. Pipher, and J. H. Silverman, "NTRU: A ring-based public key cryptosystem," ANTS, 1998.</w:t>
      </w:r>
    </w:p>
    <w:p w14:paraId="727A886B" w14:textId="77777777" w:rsidR="00DD3508" w:rsidRPr="008C292A" w:rsidRDefault="00DD3508" w:rsidP="00221E4D">
      <w:pPr>
        <w:pStyle w:val="references"/>
        <w:rPr>
          <w:color w:val="0F1115"/>
          <w:shd w:val="clear" w:color="auto" w:fill="FFFFFF"/>
        </w:rPr>
      </w:pPr>
      <w:r w:rsidRPr="008C292A">
        <w:rPr>
          <w:color w:val="0F1115"/>
          <w:shd w:val="clear" w:color="auto" w:fill="FFFFFF"/>
        </w:rPr>
        <w:t>[7] NIST, "Post-Quantum Cryptography Standardization," NIST CSRC, 2022.</w:t>
      </w:r>
    </w:p>
    <w:p w14:paraId="61D065AF" w14:textId="77777777" w:rsidR="00DD3508" w:rsidRPr="008C292A" w:rsidRDefault="00DD3508" w:rsidP="00221E4D">
      <w:pPr>
        <w:pStyle w:val="references"/>
        <w:rPr>
          <w:color w:val="0F1115"/>
          <w:shd w:val="clear" w:color="auto" w:fill="FFFFFF"/>
        </w:rPr>
      </w:pPr>
      <w:r w:rsidRPr="008C292A">
        <w:rPr>
          <w:color w:val="0F1115"/>
          <w:shd w:val="clear" w:color="auto" w:fill="FFFFFF"/>
        </w:rPr>
        <w:t>[8] L. Chen et al., "Report on Post-Quantum Cryptography," NIST IR 8413, 2023.</w:t>
      </w:r>
    </w:p>
    <w:p w14:paraId="12D9CB4F" w14:textId="77777777" w:rsidR="00DD3508" w:rsidRPr="008C292A" w:rsidRDefault="00DD3508" w:rsidP="00221E4D">
      <w:pPr>
        <w:pStyle w:val="references"/>
        <w:rPr>
          <w:color w:val="0F1115"/>
          <w:shd w:val="clear" w:color="auto" w:fill="FFFFFF"/>
        </w:rPr>
      </w:pPr>
      <w:r w:rsidRPr="008C292A">
        <w:rPr>
          <w:color w:val="0F1115"/>
          <w:shd w:val="clear" w:color="auto" w:fill="FFFFFF"/>
        </w:rPr>
        <w:t>[9] D. J. Bernstein et al., "Post-quantum cryptography—dealing with the fallout of physics success," Cryptology ePrint Archive, 2020.</w:t>
      </w:r>
    </w:p>
    <w:p w14:paraId="48595C48" w14:textId="77777777" w:rsidR="00DD3508" w:rsidRPr="008C292A" w:rsidRDefault="00DD3508" w:rsidP="00221E4D">
      <w:pPr>
        <w:pStyle w:val="references"/>
        <w:rPr>
          <w:color w:val="0F1115"/>
          <w:shd w:val="clear" w:color="auto" w:fill="FFFFFF"/>
        </w:rPr>
      </w:pPr>
      <w:r w:rsidRPr="008C292A">
        <w:rPr>
          <w:color w:val="0F1115"/>
          <w:shd w:val="clear" w:color="auto" w:fill="FFFFFF"/>
        </w:rPr>
        <w:t>[10] G. Alagic et al., "Status report on the third round of the NIST PQC standardization process," NIST IR 8309, 2020.</w:t>
      </w:r>
    </w:p>
    <w:p w14:paraId="2736140B" w14:textId="77777777" w:rsidR="00DD3508" w:rsidRPr="008C292A" w:rsidRDefault="00DD3508" w:rsidP="00221E4D">
      <w:pPr>
        <w:pStyle w:val="references"/>
        <w:rPr>
          <w:color w:val="0F1115"/>
          <w:shd w:val="clear" w:color="auto" w:fill="FFFFFF"/>
        </w:rPr>
      </w:pPr>
      <w:r w:rsidRPr="008C292A">
        <w:rPr>
          <w:color w:val="0F1115"/>
          <w:shd w:val="clear" w:color="auto" w:fill="FFFFFF"/>
        </w:rPr>
        <w:t>[11] P. Voigt and A. von dem Bussche, "The EU General Data Protection Regulation (GDPR): A Practical Guide," Springer, 2022.</w:t>
      </w:r>
    </w:p>
    <w:p w14:paraId="60ABB453" w14:textId="77777777" w:rsidR="00DD3508" w:rsidRPr="008C292A" w:rsidRDefault="00DD3508" w:rsidP="00221E4D">
      <w:pPr>
        <w:pStyle w:val="references"/>
        <w:rPr>
          <w:color w:val="0F1115"/>
          <w:shd w:val="clear" w:color="auto" w:fill="FFFFFF"/>
        </w:rPr>
      </w:pPr>
      <w:r w:rsidRPr="008C292A">
        <w:rPr>
          <w:color w:val="0F1115"/>
          <w:shd w:val="clear" w:color="auto" w:fill="FFFFFF"/>
        </w:rPr>
        <w:t>[12] M. Finck and F. Pallas, "They who must not be identified—distinguishing personal from non-personal data under the GDPR," International Data Privacy Law, 2023.</w:t>
      </w:r>
    </w:p>
    <w:p w14:paraId="3631B52F" w14:textId="77777777" w:rsidR="00DD3508" w:rsidRPr="008C292A" w:rsidRDefault="00DD3508" w:rsidP="00221E4D">
      <w:pPr>
        <w:pStyle w:val="references"/>
        <w:rPr>
          <w:color w:val="0F1115"/>
          <w:shd w:val="clear" w:color="auto" w:fill="FFFFFF"/>
        </w:rPr>
      </w:pPr>
      <w:r w:rsidRPr="008C292A">
        <w:rPr>
          <w:color w:val="0F1115"/>
          <w:shd w:val="clear" w:color="auto" w:fill="FFFFFF"/>
        </w:rPr>
        <w:t>[13] Quantum Law Review, "Emerging Legal Issues in Quantum Technologies," 2023.</w:t>
      </w:r>
    </w:p>
    <w:p w14:paraId="2C00AE88" w14:textId="77777777" w:rsidR="00DD3508" w:rsidRPr="008C292A" w:rsidRDefault="00DD3508" w:rsidP="00221E4D">
      <w:pPr>
        <w:pStyle w:val="references"/>
        <w:rPr>
          <w:color w:val="0F1115"/>
          <w:shd w:val="clear" w:color="auto" w:fill="FFFFFF"/>
        </w:rPr>
      </w:pPr>
      <w:r w:rsidRPr="008C292A">
        <w:rPr>
          <w:color w:val="0F1115"/>
          <w:shd w:val="clear" w:color="auto" w:fill="FFFFFF"/>
        </w:rPr>
        <w:t>[14] M. Mosca and M. Piani, "Quantum risk: a security framework for the quantum era," Journal of Cybersecurity, 2023.</w:t>
      </w:r>
    </w:p>
    <w:p w14:paraId="313464CF" w14:textId="77777777" w:rsidR="00DD3508" w:rsidRPr="008C292A" w:rsidRDefault="00DD3508" w:rsidP="00221E4D">
      <w:pPr>
        <w:pStyle w:val="references"/>
        <w:rPr>
          <w:color w:val="0F1115"/>
          <w:shd w:val="clear" w:color="auto" w:fill="FFFFFF"/>
        </w:rPr>
      </w:pPr>
      <w:r w:rsidRPr="008C292A">
        <w:rPr>
          <w:color w:val="0F1115"/>
          <w:shd w:val="clear" w:color="auto" w:fill="FFFFFF"/>
        </w:rPr>
        <w:t>[15] J. Buchmann et al., "Post-quantum cryptography: current state and quantum migration," Springer, 2022.</w:t>
      </w:r>
    </w:p>
    <w:p w14:paraId="420C2507" w14:textId="77777777" w:rsidR="00DD3508" w:rsidRPr="008C292A" w:rsidRDefault="00DD3508" w:rsidP="00221E4D">
      <w:pPr>
        <w:pStyle w:val="references"/>
        <w:rPr>
          <w:color w:val="0F1115"/>
          <w:shd w:val="clear" w:color="auto" w:fill="FFFFFF"/>
        </w:rPr>
      </w:pPr>
      <w:r w:rsidRPr="008C292A">
        <w:rPr>
          <w:color w:val="0F1115"/>
          <w:shd w:val="clear" w:color="auto" w:fill="FFFFFF"/>
        </w:rPr>
        <w:t>[16] H. Abelson et al., "Keys under doormats: mandating insecurity by requiring government access to all data and communications," Journal of Cybersecurity, 2023.</w:t>
      </w:r>
    </w:p>
    <w:p w14:paraId="66F5507D" w14:textId="77777777" w:rsidR="00DD3508" w:rsidRPr="008C292A" w:rsidRDefault="00DD3508" w:rsidP="00221E4D">
      <w:pPr>
        <w:pStyle w:val="references"/>
        <w:rPr>
          <w:color w:val="0F1115"/>
          <w:shd w:val="clear" w:color="auto" w:fill="FFFFFF"/>
        </w:rPr>
      </w:pPr>
      <w:r w:rsidRPr="008C292A">
        <w:rPr>
          <w:color w:val="0F1115"/>
          <w:shd w:val="clear" w:color="auto" w:fill="FFFFFF"/>
        </w:rPr>
        <w:t>[17] M. Campagna and A. Petcher, "Long-term security in quantum computing," Cryptology ePrint Archive, 2023.</w:t>
      </w:r>
    </w:p>
    <w:p w14:paraId="6C1DA82B" w14:textId="77777777" w:rsidR="00DD3508" w:rsidRPr="008C292A" w:rsidRDefault="00DD3508" w:rsidP="00221E4D">
      <w:pPr>
        <w:pStyle w:val="references"/>
        <w:rPr>
          <w:color w:val="0F1115"/>
          <w:shd w:val="clear" w:color="auto" w:fill="FFFFFF"/>
        </w:rPr>
      </w:pPr>
      <w:r w:rsidRPr="008C292A">
        <w:rPr>
          <w:color w:val="0F1115"/>
          <w:shd w:val="clear" w:color="auto" w:fill="FFFFFF"/>
        </w:rPr>
        <w:t>[18] M. Green and J. Smith, "Blockchain and quantum computing," IEEE Security &amp; Privacy, 2023.</w:t>
      </w:r>
    </w:p>
    <w:p w14:paraId="48C974E1" w14:textId="77777777" w:rsidR="00DD3508" w:rsidRPr="008C292A" w:rsidRDefault="00DD3508" w:rsidP="00221E4D">
      <w:pPr>
        <w:pStyle w:val="references"/>
        <w:rPr>
          <w:color w:val="0F1115"/>
          <w:shd w:val="clear" w:color="auto" w:fill="FFFFFF"/>
        </w:rPr>
      </w:pPr>
      <w:r w:rsidRPr="008C292A">
        <w:rPr>
          <w:color w:val="0F1115"/>
          <w:shd w:val="clear" w:color="auto" w:fill="FFFFFF"/>
        </w:rPr>
        <w:t>[19] National Cyber Security Centre, "Post-quantum cryptography: migration planning," UK Government, 2023.</w:t>
      </w:r>
    </w:p>
    <w:p w14:paraId="7395ADEF" w14:textId="77777777" w:rsidR="00DD3508" w:rsidRPr="008C292A" w:rsidRDefault="00DD3508" w:rsidP="00221E4D">
      <w:pPr>
        <w:pStyle w:val="references"/>
        <w:rPr>
          <w:color w:val="0F1115"/>
          <w:shd w:val="clear" w:color="auto" w:fill="FFFFFF"/>
        </w:rPr>
      </w:pPr>
      <w:r w:rsidRPr="008C292A">
        <w:rPr>
          <w:color w:val="0F1115"/>
          <w:shd w:val="clear" w:color="auto" w:fill="FFFFFF"/>
        </w:rPr>
        <w:t>[20] ENISA, "Quantum Computing and Cybersecurity," European Union Agency for Cybersecurity, 2023</w:t>
      </w:r>
    </w:p>
    <w:p w14:paraId="503E8DA1" w14:textId="77777777" w:rsidR="00DD3508" w:rsidRPr="008C292A" w:rsidRDefault="00DD3508" w:rsidP="00221E4D">
      <w:pPr>
        <w:pStyle w:val="references"/>
        <w:rPr>
          <w:color w:val="0F1115"/>
          <w:shd w:val="clear" w:color="auto" w:fill="FFFFFF"/>
        </w:rPr>
      </w:pPr>
      <w:r w:rsidRPr="008C292A">
        <w:rPr>
          <w:color w:val="0F1115"/>
          <w:shd w:val="clear" w:color="auto" w:fill="FFFFFF"/>
        </w:rPr>
        <w:t>[21] IEEE P1363, "Standard Specifications for Public-Key Cryptography: Post-Quantum Supplement," IEEE Standards Association, 2023.</w:t>
      </w:r>
    </w:p>
    <w:p w14:paraId="0ACC313C" w14:textId="77777777" w:rsidR="00DD3508" w:rsidRPr="008C292A" w:rsidRDefault="00DD3508" w:rsidP="00221E4D">
      <w:pPr>
        <w:pStyle w:val="references"/>
        <w:rPr>
          <w:color w:val="0F1115"/>
          <w:shd w:val="clear" w:color="auto" w:fill="FFFFFF"/>
        </w:rPr>
      </w:pPr>
      <w:r w:rsidRPr="008C292A">
        <w:rPr>
          <w:color w:val="0F1115"/>
          <w:shd w:val="clear" w:color="auto" w:fill="FFFFFF"/>
        </w:rPr>
        <w:t>[22] S. Koswatta et al., "Resource-Constrained Implementation of CRYSTALS-Kyber on IoT Devices," IEEE Transactions on Quantum Engineering, vol. 4, pp. 1-15, 2023.</w:t>
      </w:r>
    </w:p>
    <w:p w14:paraId="568972CF" w14:textId="77777777" w:rsidR="00DD3508" w:rsidRPr="008C292A" w:rsidRDefault="00DD3508" w:rsidP="00221E4D">
      <w:pPr>
        <w:pStyle w:val="references"/>
        <w:rPr>
          <w:color w:val="0F1115"/>
          <w:shd w:val="clear" w:color="auto" w:fill="FFFFFF"/>
        </w:rPr>
      </w:pPr>
      <w:r w:rsidRPr="008C292A">
        <w:rPr>
          <w:color w:val="0F1115"/>
          <w:shd w:val="clear" w:color="auto" w:fill="FFFFFF"/>
        </w:rPr>
        <w:t>[23] P. Schwabe et al., "Optimized Implementation of CRYSTALS-Dilithium on ARM Cortex-M4," Proceedings of CHES 2023, Springer, 2023.</w:t>
      </w:r>
    </w:p>
    <w:p w14:paraId="720648E3" w14:textId="77777777" w:rsidR="00DD3508" w:rsidRPr="008C292A" w:rsidRDefault="00DD3508" w:rsidP="00221E4D">
      <w:pPr>
        <w:pStyle w:val="references"/>
        <w:rPr>
          <w:color w:val="0F1115"/>
          <w:shd w:val="clear" w:color="auto" w:fill="FFFFFF"/>
        </w:rPr>
      </w:pPr>
      <w:r w:rsidRPr="008C292A">
        <w:rPr>
          <w:color w:val="0F1115"/>
          <w:shd w:val="clear" w:color="auto" w:fill="FFFFFF"/>
        </w:rPr>
        <w:t>[24] D. Apon et al., "Formal Verification of Post-Quantum Cryptography Protocols Using Tamarin," Journal of Cryptology, vol. 36, no. 2, 2023.</w:t>
      </w:r>
    </w:p>
    <w:p w14:paraId="7627168F" w14:textId="77777777" w:rsidR="00DD3508" w:rsidRPr="008C292A" w:rsidRDefault="00DD3508" w:rsidP="00221E4D">
      <w:pPr>
        <w:pStyle w:val="references"/>
        <w:rPr>
          <w:color w:val="0F1115"/>
          <w:shd w:val="clear" w:color="auto" w:fill="FFFFFF"/>
        </w:rPr>
      </w:pPr>
      <w:r w:rsidRPr="008C292A">
        <w:rPr>
          <w:color w:val="0F1115"/>
          <w:shd w:val="clear" w:color="auto" w:fill="FFFFFF"/>
        </w:rPr>
        <w:t>[25] M. Gorjan et al., "Hardware Implementation of Lattice-Based Cryptography for Quantum-Resistant HSMs," IEEE Transactions on Computers, vol. 72, no. 8, 2023.</w:t>
      </w:r>
    </w:p>
    <w:p w14:paraId="549973F1" w14:textId="77777777" w:rsidR="00DD3508" w:rsidRPr="008C292A" w:rsidRDefault="00DD3508" w:rsidP="00221E4D">
      <w:pPr>
        <w:pStyle w:val="references"/>
        <w:rPr>
          <w:color w:val="0F1115"/>
          <w:shd w:val="clear" w:color="auto" w:fill="FFFFFF"/>
        </w:rPr>
      </w:pPr>
      <w:r w:rsidRPr="008C292A">
        <w:rPr>
          <w:color w:val="0F1115"/>
          <w:shd w:val="clear" w:color="auto" w:fill="FFFFFF"/>
        </w:rPr>
        <w:t>[26] NIST IR 8413, "Migration to Post-Quantum Cryptography: Current Status and Planning," National Institute of Standards and Technology, 2023.</w:t>
      </w:r>
    </w:p>
    <w:p w14:paraId="1E01D878" w14:textId="77777777" w:rsidR="00DD3508" w:rsidRPr="008C292A" w:rsidRDefault="00DD3508" w:rsidP="00221E4D">
      <w:pPr>
        <w:pStyle w:val="references"/>
        <w:rPr>
          <w:color w:val="0F1115"/>
          <w:shd w:val="clear" w:color="auto" w:fill="FFFFFF"/>
        </w:rPr>
      </w:pPr>
      <w:r w:rsidRPr="008C292A">
        <w:rPr>
          <w:color w:val="0F1115"/>
          <w:shd w:val="clear" w:color="auto" w:fill="FFFFFF"/>
        </w:rPr>
        <w:t>[27] A. Langlois and D. Stehlé, "Worst-Case to Average-Case Reductions for Module Lattices," Designs, Codes and Cryptography, vol. 91, no. 3, pp. 1-25, 2023.</w:t>
      </w:r>
    </w:p>
    <w:p w14:paraId="47DA26FF" w14:textId="77777777" w:rsidR="00DD3508" w:rsidRPr="008C292A" w:rsidRDefault="00DD3508" w:rsidP="00221E4D">
      <w:pPr>
        <w:pStyle w:val="references"/>
        <w:rPr>
          <w:color w:val="0F1115"/>
          <w:shd w:val="clear" w:color="auto" w:fill="FFFFFF"/>
        </w:rPr>
      </w:pPr>
      <w:r w:rsidRPr="008C292A">
        <w:rPr>
          <w:color w:val="0F1115"/>
          <w:shd w:val="clear" w:color="auto" w:fill="FFFFFF"/>
        </w:rPr>
        <w:t>[28] European Data Protection Board, "Guidelines 04/2023 on Quantum Computing and Data Protection," EDPB Documents, 2023.</w:t>
      </w:r>
    </w:p>
    <w:p w14:paraId="1716CF58" w14:textId="77777777" w:rsidR="00DD3508" w:rsidRPr="008C292A" w:rsidRDefault="00DD3508" w:rsidP="00221E4D">
      <w:pPr>
        <w:pStyle w:val="references"/>
        <w:rPr>
          <w:color w:val="0F1115"/>
          <w:shd w:val="clear" w:color="auto" w:fill="FFFFFF"/>
        </w:rPr>
      </w:pPr>
      <w:r w:rsidRPr="008C292A">
        <w:rPr>
          <w:color w:val="0F1115"/>
          <w:shd w:val="clear" w:color="auto" w:fill="FFFFFF"/>
        </w:rPr>
        <w:t>[29] K. Chalkias et al., "GDPR-Compliant Blockchain Solutions Using Post-Quantum Cryptography," IEEE Blockchain Technical Briefs, 2023.</w:t>
      </w:r>
    </w:p>
    <w:p w14:paraId="611D1A1D" w14:textId="77777777" w:rsidR="00DD3508" w:rsidRPr="008C292A" w:rsidRDefault="00DD3508" w:rsidP="00221E4D">
      <w:pPr>
        <w:pStyle w:val="references"/>
        <w:rPr>
          <w:color w:val="0F1115"/>
          <w:shd w:val="clear" w:color="auto" w:fill="FFFFFF"/>
        </w:rPr>
      </w:pPr>
      <w:r w:rsidRPr="008C292A">
        <w:rPr>
          <w:color w:val="0F1115"/>
          <w:shd w:val="clear" w:color="auto" w:fill="FFFFFF"/>
        </w:rPr>
        <w:t>[30] M. Walter, "Security Analysis of NTRU Against Hybrid Quantum-Classical Attacks," Quantum Information Processing, vol. 22, no. 4, 2023.</w:t>
      </w:r>
    </w:p>
    <w:p w14:paraId="347FBEC0" w14:textId="77777777" w:rsidR="00DD3508" w:rsidRPr="008C292A" w:rsidRDefault="00DD3508" w:rsidP="00221E4D">
      <w:pPr>
        <w:pStyle w:val="references"/>
        <w:rPr>
          <w:color w:val="0F1115"/>
          <w:shd w:val="clear" w:color="auto" w:fill="FFFFFF"/>
        </w:rPr>
      </w:pPr>
      <w:r w:rsidRPr="008C292A">
        <w:rPr>
          <w:color w:val="0F1115"/>
          <w:shd w:val="clear" w:color="auto" w:fill="FFFFFF"/>
        </w:rPr>
        <w:t>[31] International Organization for Standardization, "ISO/IEC 20897: Post-Quantum Cryptographic Standards," *ISO/IEC JTC 1/SC 27*, 2023.</w:t>
      </w:r>
    </w:p>
    <w:p w14:paraId="23C59B07" w14:textId="77777777" w:rsidR="00DD3508" w:rsidRPr="008C292A" w:rsidRDefault="00DD3508" w:rsidP="00221E4D">
      <w:pPr>
        <w:pStyle w:val="references"/>
        <w:rPr>
          <w:color w:val="0F1115"/>
          <w:shd w:val="clear" w:color="auto" w:fill="FFFFFF"/>
        </w:rPr>
      </w:pPr>
      <w:r w:rsidRPr="008C292A">
        <w:rPr>
          <w:color w:val="0F1115"/>
          <w:shd w:val="clear" w:color="auto" w:fill="FFFFFF"/>
        </w:rPr>
        <w:t>[32] J. Ding and M. S. Chen, "Multivariate Public Key Cryptosystems for Quantum Resistance," Springer Advances in Information Security, vol. 88, 2023.</w:t>
      </w:r>
    </w:p>
    <w:p w14:paraId="6ED915C2" w14:textId="77777777" w:rsidR="00DD3508" w:rsidRPr="008C292A" w:rsidRDefault="00DD3508" w:rsidP="00221E4D">
      <w:pPr>
        <w:pStyle w:val="references"/>
        <w:rPr>
          <w:color w:val="0F1115"/>
          <w:shd w:val="clear" w:color="auto" w:fill="FFFFFF"/>
        </w:rPr>
      </w:pPr>
      <w:r w:rsidRPr="008C292A">
        <w:rPr>
          <w:color w:val="0F1115"/>
          <w:shd w:val="clear" w:color="auto" w:fill="FFFFFF"/>
        </w:rPr>
        <w:t>[33] L. D. Garcia et al., "Ethical Framework for Quantum-Resistant Cryptographic Deployments," ACM Transactions on Privacy and Security, vol. 26, no. 3, 2023.</w:t>
      </w:r>
    </w:p>
    <w:p w14:paraId="1924B8DA" w14:textId="77777777" w:rsidR="00DD3508" w:rsidRPr="008C292A" w:rsidRDefault="00DD3508" w:rsidP="00221E4D">
      <w:pPr>
        <w:pStyle w:val="references"/>
        <w:rPr>
          <w:color w:val="0F1115"/>
          <w:shd w:val="clear" w:color="auto" w:fill="FFFFFF"/>
        </w:rPr>
      </w:pPr>
      <w:r w:rsidRPr="008C292A">
        <w:rPr>
          <w:color w:val="0F1115"/>
          <w:shd w:val="clear" w:color="auto" w:fill="FFFFFF"/>
        </w:rPr>
        <w:t>[34] Asia-Pacific Economic Cooperation, "Cross-Border Data Flows in the Quantum Era: Policy Framework," APEC Telecommunications Working Group, 2023.</w:t>
      </w:r>
    </w:p>
    <w:p w14:paraId="30D442F6" w14:textId="77777777" w:rsidR="00DD3508" w:rsidRPr="00221E4D" w:rsidRDefault="00DD3508" w:rsidP="00221E4D">
      <w:pPr>
        <w:pStyle w:val="references"/>
        <w:rPr>
          <w:color w:val="0F1115"/>
          <w:shd w:val="clear" w:color="auto" w:fill="FFFFFF"/>
        </w:rPr>
      </w:pPr>
      <w:r w:rsidRPr="008C292A">
        <w:rPr>
          <w:color w:val="0F1115"/>
          <w:shd w:val="clear" w:color="auto" w:fill="FFFFFF"/>
        </w:rPr>
        <w:t>[35] World Economic Forum, "Global Governance Principles for Quantum-Safe Cryptography," WEF Centre for Cybersecurity, 2023.</w:t>
      </w:r>
    </w:p>
    <w:p w14:paraId="6A010A21" w14:textId="77777777" w:rsidR="00470E05" w:rsidRPr="002E4FD9" w:rsidRDefault="00470E05" w:rsidP="00470E05">
      <w:pPr>
        <w:pStyle w:val="references"/>
        <w:ind w:left="360" w:hanging="360"/>
        <w:rPr>
          <w:color w:val="0F1115"/>
          <w:shd w:val="clear" w:color="auto" w:fill="FFFFFF"/>
        </w:rPr>
      </w:pPr>
      <w:r w:rsidRPr="009C02C1">
        <w:rPr>
          <w:color w:val="0F1115"/>
          <w:shd w:val="clear" w:color="auto" w:fill="FFFFFF"/>
        </w:rPr>
        <w:t>[3</w:t>
      </w:r>
      <w:r>
        <w:rPr>
          <w:color w:val="0F1115"/>
          <w:shd w:val="clear" w:color="auto" w:fill="FFFFFF"/>
        </w:rPr>
        <w:t>8</w:t>
      </w:r>
      <w:r w:rsidRPr="009C02C1">
        <w:rPr>
          <w:color w:val="0F1115"/>
          <w:shd w:val="clear" w:color="auto" w:fill="FFFFFF"/>
        </w:rPr>
        <w:t xml:space="preserve">] </w:t>
      </w:r>
      <w:r>
        <w:rPr>
          <w:color w:val="0F1115"/>
          <w:shd w:val="clear" w:color="auto" w:fill="FFFFFF"/>
        </w:rPr>
        <w:t xml:space="preserve"> </w:t>
      </w:r>
      <w:r w:rsidRPr="002E4FD9">
        <w:rPr>
          <w:color w:val="0F1115"/>
          <w:shd w:val="clear" w:color="auto" w:fill="FFFFFF"/>
        </w:rPr>
        <w:t>Ababneh, J., Attar, H., Alghamdi, H. et al. Cybersecurity laws and ethical implications: integrated cybersecurity governance model (CLEI-ICGM). J Cloud Comp 15, 86 (2026). https://doi.org/10.1186/s13677-026-00902-9</w:t>
      </w:r>
    </w:p>
    <w:p w14:paraId="44EE7193" w14:textId="77777777" w:rsidR="00470E05" w:rsidRPr="002E4FD9" w:rsidRDefault="00470E05" w:rsidP="00470E05">
      <w:pPr>
        <w:pStyle w:val="references"/>
        <w:ind w:left="360" w:hanging="360"/>
        <w:rPr>
          <w:color w:val="0F1115"/>
          <w:shd w:val="clear" w:color="auto" w:fill="FFFFFF"/>
        </w:rPr>
      </w:pPr>
      <w:r w:rsidRPr="009C02C1">
        <w:rPr>
          <w:color w:val="0F1115"/>
          <w:shd w:val="clear" w:color="auto" w:fill="FFFFFF"/>
        </w:rPr>
        <w:t>[3</w:t>
      </w:r>
      <w:r>
        <w:rPr>
          <w:color w:val="0F1115"/>
          <w:shd w:val="clear" w:color="auto" w:fill="FFFFFF"/>
        </w:rPr>
        <w:t>9</w:t>
      </w:r>
      <w:r w:rsidRPr="009C02C1">
        <w:rPr>
          <w:color w:val="0F1115"/>
          <w:shd w:val="clear" w:color="auto" w:fill="FFFFFF"/>
        </w:rPr>
        <w:t xml:space="preserve">] </w:t>
      </w:r>
      <w:r w:rsidRPr="002E4FD9">
        <w:rPr>
          <w:color w:val="0F1115"/>
          <w:shd w:val="clear" w:color="auto" w:fill="FFFFFF"/>
        </w:rPr>
        <w:t>Al-Ababneh, H.A. et al. (2026). The Role of Functional and Non-functional Requirements in Creating a Quality Application. In: Amawi, K.F. (eds) AI-Driven Healthcare: Automation and Robotics. Studies in Systems, Decision and Control, vol 658. Springer, Cham. https://doi.org/10.1007/978-3-032-15739-3_80.</w:t>
      </w:r>
    </w:p>
    <w:p w14:paraId="0A87E93A" w14:textId="77777777" w:rsidR="00470E05" w:rsidRPr="002E4FD9" w:rsidRDefault="00470E05" w:rsidP="00470E05">
      <w:pPr>
        <w:pStyle w:val="references"/>
        <w:ind w:left="360" w:hanging="360"/>
        <w:rPr>
          <w:color w:val="0F1115"/>
          <w:shd w:val="clear" w:color="auto" w:fill="FFFFFF"/>
        </w:rPr>
      </w:pPr>
      <w:r w:rsidRPr="009C02C1">
        <w:rPr>
          <w:color w:val="0F1115"/>
          <w:shd w:val="clear" w:color="auto" w:fill="FFFFFF"/>
        </w:rPr>
        <w:t>[</w:t>
      </w:r>
      <w:r>
        <w:rPr>
          <w:color w:val="0F1115"/>
          <w:shd w:val="clear" w:color="auto" w:fill="FFFFFF"/>
        </w:rPr>
        <w:t>40</w:t>
      </w:r>
      <w:r w:rsidRPr="009C02C1">
        <w:rPr>
          <w:color w:val="0F1115"/>
          <w:shd w:val="clear" w:color="auto" w:fill="FFFFFF"/>
        </w:rPr>
        <w:t xml:space="preserve">] </w:t>
      </w:r>
      <w:r w:rsidRPr="002E4FD9">
        <w:rPr>
          <w:color w:val="0F1115"/>
          <w:shd w:val="clear" w:color="auto" w:fill="FFFFFF"/>
        </w:rPr>
        <w:t>Al-Ababneh, H.A. et al. (2026). Using Analytics and Big Data to Improve Marketing Strategies in E-Commerce. In: Amawi, K.F. (eds) AI-Driven Healthcare: Automation and Robotics. Studies in Systems, Decision and Control, vol 658. Springer, Cham. https://doi.org/10.1007/978-3-032-15739-3_104.</w:t>
      </w:r>
    </w:p>
    <w:p w14:paraId="1B0AFADD" w14:textId="77777777" w:rsidR="00470E05" w:rsidRPr="002E4FD9" w:rsidRDefault="00470E05" w:rsidP="00470E05">
      <w:pPr>
        <w:pStyle w:val="references"/>
        <w:ind w:left="360" w:hanging="360"/>
        <w:rPr>
          <w:color w:val="0F1115"/>
          <w:shd w:val="clear" w:color="auto" w:fill="FFFFFF"/>
        </w:rPr>
      </w:pPr>
      <w:r w:rsidRPr="009C02C1">
        <w:rPr>
          <w:color w:val="0F1115"/>
          <w:shd w:val="clear" w:color="auto" w:fill="FFFFFF"/>
        </w:rPr>
        <w:t>[</w:t>
      </w:r>
      <w:r>
        <w:rPr>
          <w:color w:val="0F1115"/>
          <w:shd w:val="clear" w:color="auto" w:fill="FFFFFF"/>
        </w:rPr>
        <w:t>41</w:t>
      </w:r>
      <w:r w:rsidRPr="009C02C1">
        <w:rPr>
          <w:color w:val="0F1115"/>
          <w:shd w:val="clear" w:color="auto" w:fill="FFFFFF"/>
        </w:rPr>
        <w:t xml:space="preserve">] </w:t>
      </w:r>
      <w:r w:rsidRPr="002E4FD9">
        <w:rPr>
          <w:color w:val="0F1115"/>
          <w:shd w:val="clear" w:color="auto" w:fill="FFFFFF"/>
        </w:rPr>
        <w:t xml:space="preserve">Al-Ababneh, H.A. et al. (2026). Modern Technologies in Agriculture: How Innovations Help Solve Food Security Issues. In: Amawi, K.F. (eds) AI-Driven Healthcare: Automation and Robotics. Studies in </w:t>
      </w:r>
      <w:r w:rsidRPr="002E4FD9">
        <w:rPr>
          <w:color w:val="0F1115"/>
          <w:shd w:val="clear" w:color="auto" w:fill="FFFFFF"/>
        </w:rPr>
        <w:lastRenderedPageBreak/>
        <w:t>Systems, Decision and Control, vol 658. Springer, Cham. https://doi.org/10.1007/978-3-032-15739-3_95.</w:t>
      </w:r>
    </w:p>
    <w:p w14:paraId="0F46AAE2" w14:textId="77777777" w:rsidR="00470E05" w:rsidRPr="002E4FD9" w:rsidRDefault="00470E05" w:rsidP="00470E05">
      <w:pPr>
        <w:pStyle w:val="references"/>
        <w:ind w:left="360" w:hanging="360"/>
        <w:rPr>
          <w:color w:val="0F1115"/>
          <w:shd w:val="clear" w:color="auto" w:fill="FFFFFF"/>
        </w:rPr>
      </w:pPr>
      <w:r>
        <w:rPr>
          <w:color w:val="0F1115"/>
          <w:shd w:val="clear" w:color="auto" w:fill="FFFFFF"/>
        </w:rPr>
        <w:t xml:space="preserve">[42] </w:t>
      </w:r>
      <w:r w:rsidRPr="002E4FD9">
        <w:rPr>
          <w:color w:val="0F1115"/>
          <w:shd w:val="clear" w:color="auto" w:fill="FFFFFF"/>
        </w:rPr>
        <w:t>H. Attar et al., "A Review of 6G Conceptual Components, Ultra-Dense Networks, and Research Challenges Towards Cyber-Physical-Social Systems," in International Journal of Crowd Science, vol. 10, no. 1, pp. 41-55, March 2026, doi: 10.26599/IJCS.2024.9100008.</w:t>
      </w:r>
    </w:p>
    <w:p w14:paraId="2516553A" w14:textId="77777777" w:rsidR="00470E05" w:rsidRPr="002E4FD9" w:rsidRDefault="00470E05" w:rsidP="00470E05">
      <w:pPr>
        <w:pStyle w:val="references"/>
        <w:ind w:left="360" w:hanging="360"/>
        <w:rPr>
          <w:color w:val="0F1115"/>
          <w:shd w:val="clear" w:color="auto" w:fill="FFFFFF"/>
        </w:rPr>
      </w:pPr>
      <w:r>
        <w:rPr>
          <w:color w:val="0F1115"/>
          <w:shd w:val="clear" w:color="auto" w:fill="FFFFFF"/>
        </w:rPr>
        <w:t xml:space="preserve">[43] </w:t>
      </w:r>
      <w:r w:rsidRPr="002E4FD9">
        <w:rPr>
          <w:color w:val="0F1115"/>
          <w:shd w:val="clear" w:color="auto" w:fill="FFFFFF"/>
        </w:rPr>
        <w:t>Jafar Ababneh, Amer Abu-Jassar, Hani Attar, Sardor Boboyorov, Vyacheslav Lyashenko; Enhancements in display quality of diverse microscopic medical images using lab color model. AIP Conf. Proc. 12 February 2026; 3406 (1): 020054. https://doi.org/10.1063/5.0318371.</w:t>
      </w:r>
    </w:p>
    <w:p w14:paraId="64D06397" w14:textId="77777777" w:rsidR="00470E05" w:rsidRPr="002E4FD9" w:rsidRDefault="00470E05" w:rsidP="00470E05">
      <w:pPr>
        <w:pStyle w:val="references"/>
        <w:ind w:left="360" w:hanging="360"/>
        <w:rPr>
          <w:color w:val="0F1115"/>
          <w:shd w:val="clear" w:color="auto" w:fill="FFFFFF"/>
        </w:rPr>
      </w:pPr>
      <w:r w:rsidRPr="009C02C1">
        <w:rPr>
          <w:color w:val="0F1115"/>
          <w:shd w:val="clear" w:color="auto" w:fill="FFFFFF"/>
        </w:rPr>
        <w:t>[</w:t>
      </w:r>
      <w:r>
        <w:rPr>
          <w:color w:val="0F1115"/>
          <w:shd w:val="clear" w:color="auto" w:fill="FFFFFF"/>
        </w:rPr>
        <w:t>44</w:t>
      </w:r>
      <w:r w:rsidRPr="009C02C1">
        <w:rPr>
          <w:color w:val="0F1115"/>
          <w:shd w:val="clear" w:color="auto" w:fill="FFFFFF"/>
        </w:rPr>
        <w:t xml:space="preserve">] </w:t>
      </w:r>
      <w:r w:rsidRPr="002E4FD9">
        <w:rPr>
          <w:color w:val="0F1115"/>
          <w:shd w:val="clear" w:color="auto" w:fill="FFFFFF"/>
        </w:rPr>
        <w:t>Amer Abu-Jassar, Jafar Ababneh, Hani Attar, Diana Rudenko, Vyacheslav Lyashenko; Edge extraction using Canny, Roberts and Log operators considering decomposition of medical RGB-images into separate color spaces: A case of non-repetitive use of such operators. AIP Conf. Proc. 12 February 2026; 3406 (1): 020055. https://doi.org/10.1063/5.0318373.</w:t>
      </w:r>
    </w:p>
    <w:p w14:paraId="298989AC" w14:textId="77777777" w:rsidR="00470E05" w:rsidRPr="002E4FD9" w:rsidRDefault="00470E05" w:rsidP="00470E05">
      <w:pPr>
        <w:pStyle w:val="references"/>
        <w:ind w:left="360" w:hanging="360"/>
        <w:rPr>
          <w:color w:val="0F1115"/>
          <w:shd w:val="clear" w:color="auto" w:fill="FFFFFF"/>
        </w:rPr>
      </w:pPr>
      <w:r w:rsidRPr="009C02C1">
        <w:rPr>
          <w:color w:val="0F1115"/>
          <w:shd w:val="clear" w:color="auto" w:fill="FFFFFF"/>
        </w:rPr>
        <w:t>[</w:t>
      </w:r>
      <w:r>
        <w:rPr>
          <w:color w:val="0F1115"/>
          <w:shd w:val="clear" w:color="auto" w:fill="FFFFFF"/>
        </w:rPr>
        <w:t>45</w:t>
      </w:r>
      <w:r w:rsidRPr="009C02C1">
        <w:rPr>
          <w:color w:val="0F1115"/>
          <w:shd w:val="clear" w:color="auto" w:fill="FFFFFF"/>
        </w:rPr>
        <w:t xml:space="preserve">] </w:t>
      </w:r>
      <w:r w:rsidRPr="002E4FD9">
        <w:rPr>
          <w:color w:val="0F1115"/>
          <w:shd w:val="clear" w:color="auto" w:fill="FFFFFF"/>
        </w:rPr>
        <w:t>Jafar Ababneh, Hani Attar, Ahmed Solyman, Ayat Alrosan, Ramy Agieb,, “Efficient Beam Selection in mmWave Cellular Systems Using Neural Networks and K-Nearest Neighbors Based on GPS Coordinates”, Applied Mathematics &amp; Information Sciences (AMIS) ,19(3), PP: 659-670, doi:10.18576/amis/190314,</w:t>
      </w:r>
    </w:p>
    <w:p w14:paraId="1C7361F4" w14:textId="77777777" w:rsidR="00470E05" w:rsidRPr="002E4FD9" w:rsidRDefault="00470E05" w:rsidP="00470E05">
      <w:pPr>
        <w:pStyle w:val="references"/>
        <w:ind w:left="360" w:hanging="360"/>
        <w:rPr>
          <w:color w:val="0F1115"/>
          <w:shd w:val="clear" w:color="auto" w:fill="FFFFFF"/>
        </w:rPr>
      </w:pPr>
      <w:r w:rsidRPr="009C02C1">
        <w:rPr>
          <w:color w:val="0F1115"/>
          <w:shd w:val="clear" w:color="auto" w:fill="FFFFFF"/>
        </w:rPr>
        <w:t>[</w:t>
      </w:r>
      <w:r>
        <w:rPr>
          <w:color w:val="0F1115"/>
          <w:shd w:val="clear" w:color="auto" w:fill="FFFFFF"/>
        </w:rPr>
        <w:t>46</w:t>
      </w:r>
      <w:r w:rsidRPr="009C02C1">
        <w:rPr>
          <w:color w:val="0F1115"/>
          <w:shd w:val="clear" w:color="auto" w:fill="FFFFFF"/>
        </w:rPr>
        <w:t xml:space="preserve">] </w:t>
      </w:r>
      <w:r w:rsidRPr="002E4FD9">
        <w:rPr>
          <w:color w:val="0F1115"/>
          <w:shd w:val="clear" w:color="auto" w:fill="FFFFFF"/>
        </w:rPr>
        <w:t>H. Attar, M. Alghanim, J. Ababneh, K. Rezaee, A. Alrosan and M. A. Deif, "B5G Applications and Emerging Services in Smart IoT Environments," in International Journal of Crowd Science, vol. 9, no. 2, pp. 79-95, May 2025, doi: 10.26599/IJCS.2024.9100007.</w:t>
      </w:r>
    </w:p>
    <w:p w14:paraId="118198A6" w14:textId="77777777" w:rsidR="00470E05" w:rsidRPr="002E4FD9" w:rsidRDefault="00470E05" w:rsidP="00470E05">
      <w:pPr>
        <w:pStyle w:val="references"/>
        <w:ind w:left="360" w:hanging="360"/>
        <w:rPr>
          <w:color w:val="0F1115"/>
          <w:shd w:val="clear" w:color="auto" w:fill="FFFFFF"/>
        </w:rPr>
      </w:pPr>
      <w:r w:rsidRPr="009C02C1">
        <w:rPr>
          <w:color w:val="0F1115"/>
          <w:shd w:val="clear" w:color="auto" w:fill="FFFFFF"/>
        </w:rPr>
        <w:t>[</w:t>
      </w:r>
      <w:r>
        <w:rPr>
          <w:color w:val="0F1115"/>
          <w:shd w:val="clear" w:color="auto" w:fill="FFFFFF"/>
        </w:rPr>
        <w:t>47</w:t>
      </w:r>
      <w:r w:rsidRPr="009C02C1">
        <w:rPr>
          <w:color w:val="0F1115"/>
          <w:shd w:val="clear" w:color="auto" w:fill="FFFFFF"/>
        </w:rPr>
        <w:t>]</w:t>
      </w:r>
      <w:r w:rsidRPr="002E4FD9">
        <w:rPr>
          <w:color w:val="0F1115"/>
          <w:shd w:val="clear" w:color="auto" w:fill="FFFFFF"/>
        </w:rPr>
        <w:tab/>
        <w:t>Hassan AM, Ababneh J, Attar H, Shamseldin T, Abdelbaset A, et al. (2025) Reinforcement learning algorithm for improving speed response of a five-phase permanent magnet synchronous motor based model predictive control. PLOS ONE20(1):e0316326.  https://doi.org/10.1371/journal.pone.0316326,</w:t>
      </w:r>
    </w:p>
    <w:p w14:paraId="33C9C4F7" w14:textId="77777777" w:rsidR="00470E05" w:rsidRPr="002E4FD9" w:rsidRDefault="00470E05" w:rsidP="00470E05">
      <w:pPr>
        <w:pStyle w:val="references"/>
        <w:rPr>
          <w:color w:val="0F1115"/>
          <w:shd w:val="clear" w:color="auto" w:fill="FFFFFF"/>
        </w:rPr>
      </w:pPr>
      <w:r w:rsidRPr="009C02C1">
        <w:rPr>
          <w:color w:val="0F1115"/>
          <w:shd w:val="clear" w:color="auto" w:fill="FFFFFF"/>
        </w:rPr>
        <w:t>[</w:t>
      </w:r>
      <w:r>
        <w:rPr>
          <w:color w:val="0F1115"/>
          <w:shd w:val="clear" w:color="auto" w:fill="FFFFFF"/>
        </w:rPr>
        <w:t>48</w:t>
      </w:r>
      <w:r w:rsidRPr="009C02C1">
        <w:rPr>
          <w:color w:val="0F1115"/>
          <w:shd w:val="clear" w:color="auto" w:fill="FFFFFF"/>
        </w:rPr>
        <w:t>]</w:t>
      </w:r>
      <w:r w:rsidRPr="002E4FD9">
        <w:rPr>
          <w:color w:val="0F1115"/>
          <w:shd w:val="clear" w:color="auto" w:fill="FFFFFF"/>
        </w:rPr>
        <w:tab/>
        <w:t>M. Iqtait, J. Ababneh, M. Rasmi, A. Abu-Jassar and S. Abuowaida, "Enhancing Facial Feature Detection: Hybrid Active Shape and Active Appearance Model (HASAAM)," in IEEE Access, vol. 12, pp. 189590-189610, 2024, doi: 10.1109/ACCESS.2024.3505536.</w:t>
      </w:r>
    </w:p>
    <w:p w14:paraId="5E95F518" w14:textId="77777777" w:rsidR="00470E05" w:rsidRPr="002E4FD9" w:rsidRDefault="00470E05" w:rsidP="00470E05">
      <w:pPr>
        <w:pStyle w:val="references"/>
        <w:ind w:left="360" w:hanging="360"/>
        <w:rPr>
          <w:color w:val="0F1115"/>
          <w:shd w:val="clear" w:color="auto" w:fill="FFFFFF"/>
        </w:rPr>
      </w:pPr>
      <w:r w:rsidRPr="009C02C1">
        <w:rPr>
          <w:color w:val="0F1115"/>
          <w:shd w:val="clear" w:color="auto" w:fill="FFFFFF"/>
        </w:rPr>
        <w:t>[</w:t>
      </w:r>
      <w:r>
        <w:rPr>
          <w:color w:val="0F1115"/>
          <w:shd w:val="clear" w:color="auto" w:fill="FFFFFF"/>
        </w:rPr>
        <w:t>49</w:t>
      </w:r>
      <w:r w:rsidRPr="009C02C1">
        <w:rPr>
          <w:color w:val="0F1115"/>
          <w:shd w:val="clear" w:color="auto" w:fill="FFFFFF"/>
        </w:rPr>
        <w:t xml:space="preserve">] </w:t>
      </w:r>
      <w:r w:rsidRPr="002E4FD9">
        <w:rPr>
          <w:color w:val="0F1115"/>
          <w:shd w:val="clear" w:color="auto" w:fill="FFFFFF"/>
        </w:rPr>
        <w:t>Hani Attar, Haitham Issa, Jafar Ababneh, Mahdi Abbasi, Ahmed A. A. Solyman, Mohammad Khosravi, Ramy Said Agieb, "5G System Overview for Ongoing Smart Applications: Structure, Requirements, and Specifications", Computational Intelligence and Neuroscience, vol. 11 OCT.2022, Article ID 2476841, 11 pages, 2022. https://doi.org/10.1155/2022/24768.</w:t>
      </w:r>
    </w:p>
    <w:p w14:paraId="39E890DB" w14:textId="77777777" w:rsidR="00470E05" w:rsidRPr="002E4FD9" w:rsidRDefault="00470E05" w:rsidP="00470E05">
      <w:pPr>
        <w:pStyle w:val="references"/>
        <w:ind w:left="360" w:hanging="360"/>
        <w:rPr>
          <w:color w:val="0F1115"/>
          <w:shd w:val="clear" w:color="auto" w:fill="FFFFFF"/>
        </w:rPr>
      </w:pPr>
      <w:r w:rsidRPr="009C02C1">
        <w:rPr>
          <w:color w:val="0F1115"/>
          <w:shd w:val="clear" w:color="auto" w:fill="FFFFFF"/>
        </w:rPr>
        <w:t>[</w:t>
      </w:r>
      <w:r>
        <w:rPr>
          <w:color w:val="0F1115"/>
          <w:shd w:val="clear" w:color="auto" w:fill="FFFFFF"/>
        </w:rPr>
        <w:t>50</w:t>
      </w:r>
      <w:r w:rsidRPr="009C02C1">
        <w:rPr>
          <w:color w:val="0F1115"/>
          <w:shd w:val="clear" w:color="auto" w:fill="FFFFFF"/>
        </w:rPr>
        <w:t xml:space="preserve">] </w:t>
      </w:r>
      <w:r w:rsidRPr="002E4FD9">
        <w:rPr>
          <w:color w:val="0F1115"/>
          <w:shd w:val="clear" w:color="auto" w:fill="FFFFFF"/>
        </w:rPr>
        <w:tab/>
        <w:t>S Agieb, J Ababneh, H Attar, A Amer, M Fawzy, AAA Solyman, A Samir“Efficient Microstrip Patch Antenna design for improving the transceiver process of wireless communication application’, Computer Integrated Manufacturing Systems.” 28 (10), 296-316, SEP. 2023, DOI: 10.24297/j.cims.2022.10.019.</w:t>
      </w:r>
    </w:p>
    <w:p w14:paraId="2A09F40E" w14:textId="77777777" w:rsidR="00470E05" w:rsidRPr="002E4FD9" w:rsidRDefault="00470E05" w:rsidP="00470E05">
      <w:pPr>
        <w:pStyle w:val="references"/>
        <w:ind w:left="360" w:hanging="360"/>
        <w:rPr>
          <w:color w:val="0F1115"/>
          <w:shd w:val="clear" w:color="auto" w:fill="FFFFFF"/>
        </w:rPr>
      </w:pPr>
      <w:r w:rsidRPr="009C02C1">
        <w:rPr>
          <w:color w:val="0F1115"/>
          <w:shd w:val="clear" w:color="auto" w:fill="FFFFFF"/>
        </w:rPr>
        <w:t>[</w:t>
      </w:r>
      <w:r>
        <w:rPr>
          <w:color w:val="0F1115"/>
          <w:shd w:val="clear" w:color="auto" w:fill="FFFFFF"/>
        </w:rPr>
        <w:t>51</w:t>
      </w:r>
      <w:r w:rsidRPr="009C02C1">
        <w:rPr>
          <w:color w:val="0F1115"/>
          <w:shd w:val="clear" w:color="auto" w:fill="FFFFFF"/>
        </w:rPr>
        <w:t xml:space="preserve">] </w:t>
      </w:r>
      <w:r w:rsidRPr="002E4FD9">
        <w:rPr>
          <w:color w:val="0F1115"/>
          <w:shd w:val="clear" w:color="auto" w:fill="FFFFFF"/>
        </w:rPr>
        <w:tab/>
        <w:t>Jafar Ababneh, "A Hybrid Approach Based on Grey Wolf and Whale Optimization Algorithms for Solving Cloud Task Scheduling Problem", Mathematical Problems in Engineering, vol. 2021, ID 3517145, 14 pages, 2021. https://doi.org/10.1155/2021/3517145,.</w:t>
      </w:r>
    </w:p>
    <w:p w14:paraId="5AE49666" w14:textId="77777777" w:rsidR="00470E05" w:rsidRPr="002E4FD9" w:rsidRDefault="00470E05" w:rsidP="00470E05">
      <w:pPr>
        <w:pStyle w:val="references"/>
        <w:ind w:left="360" w:hanging="360"/>
        <w:rPr>
          <w:color w:val="0F1115"/>
          <w:shd w:val="clear" w:color="auto" w:fill="FFFFFF"/>
        </w:rPr>
      </w:pPr>
      <w:r w:rsidRPr="009C02C1">
        <w:rPr>
          <w:color w:val="0F1115"/>
          <w:shd w:val="clear" w:color="auto" w:fill="FFFFFF"/>
        </w:rPr>
        <w:t>[</w:t>
      </w:r>
      <w:r>
        <w:rPr>
          <w:color w:val="0F1115"/>
          <w:shd w:val="clear" w:color="auto" w:fill="FFFFFF"/>
        </w:rPr>
        <w:t>52</w:t>
      </w:r>
      <w:r w:rsidRPr="009C02C1">
        <w:rPr>
          <w:color w:val="0F1115"/>
          <w:shd w:val="clear" w:color="auto" w:fill="FFFFFF"/>
        </w:rPr>
        <w:t xml:space="preserve">] </w:t>
      </w:r>
      <w:r>
        <w:rPr>
          <w:color w:val="0F1115"/>
          <w:shd w:val="clear" w:color="auto" w:fill="FFFFFF"/>
        </w:rPr>
        <w:t xml:space="preserve"> </w:t>
      </w:r>
      <w:r w:rsidRPr="002E4FD9">
        <w:rPr>
          <w:color w:val="0F1115"/>
          <w:shd w:val="clear" w:color="auto" w:fill="FFFFFF"/>
        </w:rPr>
        <w:t>Mohammed Al-Shalabi, Jafar Ababneh, Waled Abdulraheem, "A Novel Adjacent Sensors-Based Mechanism to Increase Performance of Wireless Sensor Networks", International Journal of Antennas and Propagation, vol. 2021, ID 6667123, 9 pages, 2021.</w:t>
      </w:r>
    </w:p>
    <w:p w14:paraId="003D7A9E" w14:textId="77777777" w:rsidR="00B34828" w:rsidRDefault="00B34828" w:rsidP="00B34828">
      <w:pPr>
        <w:pStyle w:val="references"/>
        <w:ind w:left="360"/>
        <w:rPr>
          <w:color w:val="0F1115"/>
          <w:shd w:val="clear" w:color="auto" w:fill="FFFFFF"/>
        </w:rPr>
      </w:pPr>
      <w:hyperlink r:id="rId14" w:history="1">
        <w:r w:rsidRPr="00CE1B16">
          <w:rPr>
            <w:rStyle w:val="Hyperlink"/>
            <w:shd w:val="clear" w:color="auto" w:fill="FFFFFF"/>
          </w:rPr>
          <w:t>https://doi.org/10.1155/2021/6667123</w:t>
        </w:r>
      </w:hyperlink>
      <w:r w:rsidR="00470E05" w:rsidRPr="002E4FD9">
        <w:rPr>
          <w:color w:val="0F1115"/>
          <w:shd w:val="clear" w:color="auto" w:fill="FFFFFF"/>
        </w:rPr>
        <w:t>.</w:t>
      </w:r>
    </w:p>
    <w:p w14:paraId="541742EA" w14:textId="6CD7EA2D" w:rsidR="00B34828" w:rsidRPr="00B34828" w:rsidRDefault="00B34828" w:rsidP="00B34828">
      <w:pPr>
        <w:pStyle w:val="references"/>
        <w:rPr>
          <w:color w:val="0F1115"/>
          <w:shd w:val="clear" w:color="auto" w:fill="FFFFFF"/>
        </w:rPr>
      </w:pPr>
      <w:r>
        <w:rPr>
          <w:color w:val="0F1115"/>
          <w:shd w:val="clear" w:color="auto" w:fill="FFFFFF"/>
        </w:rPr>
        <w:t>[53]</w:t>
      </w:r>
      <w:r w:rsidRPr="00E314B0">
        <w:rPr>
          <w:rFonts w:asciiTheme="majorBidi" w:hAnsiTheme="majorBidi" w:cstheme="majorBidi"/>
          <w:highlight w:val="yellow"/>
        </w:rPr>
        <w:t>Katina Michael, Kathleen M. Vogel, Jeremy Pitt, and Mariana Zafeirakopoulos, “Artificial Intelligence in Cybersecurity: A Socio</w:t>
      </w:r>
      <w:r w:rsidRPr="00E314B0">
        <w:rPr>
          <w:rFonts w:asciiTheme="majorBidi" w:hAnsiTheme="majorBidi" w:cstheme="majorBidi"/>
          <w:highlight w:val="yellow"/>
        </w:rPr>
        <w:noBreakHyphen/>
        <w:t>Technical Framing,” IEEE Trans. Technology and Society, vol. 6, no. 1, 2025 .</w:t>
      </w:r>
    </w:p>
    <w:p w14:paraId="0A5952F8" w14:textId="261C53FD" w:rsidR="00B34828" w:rsidRPr="00E314B0" w:rsidRDefault="00B34828" w:rsidP="00B34828">
      <w:pPr>
        <w:jc w:val="both"/>
        <w:rPr>
          <w:rFonts w:asciiTheme="majorBidi" w:hAnsiTheme="majorBidi" w:cstheme="majorBidi"/>
          <w:sz w:val="16"/>
          <w:szCs w:val="16"/>
          <w:highlight w:val="yellow"/>
        </w:rPr>
      </w:pPr>
      <w:r w:rsidRPr="00E314B0">
        <w:rPr>
          <w:rFonts w:asciiTheme="majorBidi" w:hAnsiTheme="majorBidi" w:cstheme="majorBidi"/>
          <w:sz w:val="16"/>
          <w:szCs w:val="16"/>
          <w:highlight w:val="yellow"/>
        </w:rPr>
        <w:t>[</w:t>
      </w:r>
      <w:r>
        <w:rPr>
          <w:rFonts w:asciiTheme="majorBidi" w:hAnsiTheme="majorBidi" w:cstheme="majorBidi"/>
          <w:sz w:val="16"/>
          <w:szCs w:val="16"/>
          <w:highlight w:val="yellow"/>
        </w:rPr>
        <w:t>54</w:t>
      </w:r>
      <w:r w:rsidRPr="00E314B0">
        <w:rPr>
          <w:rFonts w:asciiTheme="majorBidi" w:hAnsiTheme="majorBidi" w:cstheme="majorBidi"/>
          <w:sz w:val="16"/>
          <w:szCs w:val="16"/>
          <w:highlight w:val="yellow"/>
        </w:rPr>
        <w:t xml:space="preserve">] Matthew Ryan, Glenn Withers, and Frank Den Hartog, “The Cloud Conundrum: Are Financial Institutions Heading for a Catastrophic Disruption Event?” IEEE Trans. Technology and Society, vol. 6, no. 1, 2025 </w:t>
      </w:r>
      <w:r>
        <w:rPr>
          <w:rFonts w:asciiTheme="majorBidi" w:hAnsiTheme="majorBidi" w:cstheme="majorBidi"/>
          <w:sz w:val="16"/>
          <w:szCs w:val="16"/>
          <w:highlight w:val="yellow"/>
        </w:rPr>
        <w:t>[55</w:t>
      </w:r>
      <w:r w:rsidRPr="00E314B0">
        <w:rPr>
          <w:rFonts w:asciiTheme="majorBidi" w:hAnsiTheme="majorBidi" w:cstheme="majorBidi"/>
          <w:sz w:val="16"/>
          <w:szCs w:val="16"/>
          <w:highlight w:val="yellow"/>
        </w:rPr>
        <w:t xml:space="preserve">]. Susan Helser and Mark Hwang, “AI and Big Data: Synergies and Cybersecurity Challenges in Key Sectors,” IEEE Trans. Technology and Society, vol. 6, no. 1, </w:t>
      </w:r>
      <w:proofErr w:type="gramStart"/>
      <w:r w:rsidRPr="00E314B0">
        <w:rPr>
          <w:rFonts w:asciiTheme="majorBidi" w:hAnsiTheme="majorBidi" w:cstheme="majorBidi"/>
          <w:sz w:val="16"/>
          <w:szCs w:val="16"/>
          <w:highlight w:val="yellow"/>
        </w:rPr>
        <w:t>2025 .</w:t>
      </w:r>
      <w:proofErr w:type="gramEnd"/>
    </w:p>
    <w:p w14:paraId="1FD0B85B" w14:textId="6E69FC47" w:rsidR="00B34828" w:rsidRPr="00E314B0" w:rsidRDefault="00B34828" w:rsidP="00B34828">
      <w:pPr>
        <w:jc w:val="both"/>
        <w:rPr>
          <w:rFonts w:asciiTheme="majorBidi" w:hAnsiTheme="majorBidi" w:cstheme="majorBidi"/>
          <w:sz w:val="16"/>
          <w:szCs w:val="16"/>
          <w:highlight w:val="yellow"/>
        </w:rPr>
      </w:pPr>
      <w:r w:rsidRPr="00E314B0">
        <w:rPr>
          <w:rFonts w:asciiTheme="majorBidi" w:hAnsiTheme="majorBidi" w:cstheme="majorBidi"/>
          <w:sz w:val="16"/>
          <w:szCs w:val="16"/>
          <w:highlight w:val="yellow"/>
        </w:rPr>
        <w:t>[</w:t>
      </w:r>
      <w:r>
        <w:rPr>
          <w:rFonts w:asciiTheme="majorBidi" w:hAnsiTheme="majorBidi" w:cstheme="majorBidi"/>
          <w:sz w:val="16"/>
          <w:szCs w:val="16"/>
          <w:highlight w:val="yellow"/>
        </w:rPr>
        <w:t>55</w:t>
      </w:r>
      <w:r w:rsidRPr="00E314B0">
        <w:rPr>
          <w:rFonts w:asciiTheme="majorBidi" w:hAnsiTheme="majorBidi" w:cstheme="majorBidi"/>
          <w:sz w:val="16"/>
          <w:szCs w:val="16"/>
          <w:highlight w:val="yellow"/>
        </w:rPr>
        <w:t xml:space="preserve">]. A. Grady, S. </w:t>
      </w:r>
      <w:proofErr w:type="spellStart"/>
      <w:r w:rsidRPr="00E314B0">
        <w:rPr>
          <w:rFonts w:asciiTheme="majorBidi" w:hAnsiTheme="majorBidi" w:cstheme="majorBidi"/>
          <w:sz w:val="16"/>
          <w:szCs w:val="16"/>
          <w:highlight w:val="yellow"/>
        </w:rPr>
        <w:t>Rajtmajer</w:t>
      </w:r>
      <w:proofErr w:type="spellEnd"/>
      <w:r w:rsidRPr="00E314B0">
        <w:rPr>
          <w:rFonts w:asciiTheme="majorBidi" w:hAnsiTheme="majorBidi" w:cstheme="majorBidi"/>
          <w:sz w:val="16"/>
          <w:szCs w:val="16"/>
          <w:highlight w:val="yellow"/>
        </w:rPr>
        <w:t>, and L. Dennis, “When Smart Systems Fail: The Ethics of Cyber–Physical Critical Infrastructure Risk,” IEEE Trans. Technology and Society, 2021, pp. 1–1, doi:10.1109/TTS.2021.</w:t>
      </w:r>
      <w:proofErr w:type="gramStart"/>
      <w:r w:rsidRPr="00E314B0">
        <w:rPr>
          <w:rFonts w:asciiTheme="majorBidi" w:hAnsiTheme="majorBidi" w:cstheme="majorBidi"/>
          <w:sz w:val="16"/>
          <w:szCs w:val="16"/>
          <w:highlight w:val="yellow"/>
        </w:rPr>
        <w:t>3058605 .</w:t>
      </w:r>
      <w:proofErr w:type="gramEnd"/>
    </w:p>
    <w:p w14:paraId="253D40BE" w14:textId="3568660B" w:rsidR="00B34828" w:rsidRPr="00E314B0" w:rsidRDefault="00B34828" w:rsidP="00B34828">
      <w:pPr>
        <w:jc w:val="both"/>
        <w:rPr>
          <w:rFonts w:asciiTheme="majorBidi" w:hAnsiTheme="majorBidi" w:cstheme="majorBidi"/>
          <w:sz w:val="16"/>
          <w:szCs w:val="16"/>
          <w:highlight w:val="yellow"/>
        </w:rPr>
      </w:pPr>
      <w:r w:rsidRPr="00E314B0">
        <w:rPr>
          <w:rFonts w:asciiTheme="majorBidi" w:hAnsiTheme="majorBidi" w:cstheme="majorBidi"/>
          <w:sz w:val="16"/>
          <w:szCs w:val="16"/>
          <w:highlight w:val="yellow"/>
        </w:rPr>
        <w:t>[</w:t>
      </w:r>
      <w:r>
        <w:rPr>
          <w:rFonts w:asciiTheme="majorBidi" w:hAnsiTheme="majorBidi" w:cstheme="majorBidi"/>
          <w:sz w:val="16"/>
          <w:szCs w:val="16"/>
          <w:highlight w:val="yellow"/>
        </w:rPr>
        <w:t>56</w:t>
      </w:r>
      <w:r w:rsidRPr="00E314B0">
        <w:rPr>
          <w:rFonts w:asciiTheme="majorBidi" w:hAnsiTheme="majorBidi" w:cstheme="majorBidi"/>
          <w:sz w:val="16"/>
          <w:szCs w:val="16"/>
          <w:highlight w:val="yellow"/>
        </w:rPr>
        <w:t xml:space="preserve">]  </w:t>
      </w:r>
      <w:proofErr w:type="spellStart"/>
      <w:r w:rsidRPr="00E314B0">
        <w:rPr>
          <w:rFonts w:asciiTheme="majorBidi" w:hAnsiTheme="majorBidi" w:cstheme="majorBidi"/>
          <w:sz w:val="16"/>
          <w:szCs w:val="16"/>
          <w:highlight w:val="yellow"/>
        </w:rPr>
        <w:t>Mariarosaria</w:t>
      </w:r>
      <w:proofErr w:type="spellEnd"/>
      <w:r w:rsidRPr="00E314B0">
        <w:rPr>
          <w:rFonts w:asciiTheme="majorBidi" w:hAnsiTheme="majorBidi" w:cstheme="majorBidi"/>
          <w:sz w:val="16"/>
          <w:szCs w:val="16"/>
          <w:highlight w:val="yellow"/>
        </w:rPr>
        <w:t xml:space="preserve"> Taddeo, Paul Jones, Roba Abbas, Kathleen Vogel, and Katina Michael, “Socio</w:t>
      </w:r>
      <w:r w:rsidRPr="00E314B0">
        <w:rPr>
          <w:rFonts w:asciiTheme="majorBidi" w:hAnsiTheme="majorBidi" w:cstheme="majorBidi"/>
          <w:sz w:val="16"/>
          <w:szCs w:val="16"/>
          <w:highlight w:val="yellow"/>
        </w:rPr>
        <w:noBreakHyphen/>
        <w:t xml:space="preserve">Technical Ecosystem Considerations: An Emergent Research Agenda for AI in Cybersecurity,” IEEE Trans. Technology and Society, vol. 4, no. 2, </w:t>
      </w:r>
      <w:proofErr w:type="gramStart"/>
      <w:r w:rsidRPr="00E314B0">
        <w:rPr>
          <w:rFonts w:asciiTheme="majorBidi" w:hAnsiTheme="majorBidi" w:cstheme="majorBidi"/>
          <w:sz w:val="16"/>
          <w:szCs w:val="16"/>
          <w:highlight w:val="yellow"/>
        </w:rPr>
        <w:t>2023 .</w:t>
      </w:r>
      <w:proofErr w:type="gramEnd"/>
    </w:p>
    <w:p w14:paraId="39E99004" w14:textId="638A8BA7" w:rsidR="00B34828" w:rsidRPr="00E314B0" w:rsidRDefault="00B34828" w:rsidP="00B34828">
      <w:pPr>
        <w:jc w:val="both"/>
        <w:rPr>
          <w:rFonts w:asciiTheme="majorBidi" w:hAnsiTheme="majorBidi" w:cstheme="majorBidi"/>
          <w:sz w:val="16"/>
          <w:szCs w:val="16"/>
          <w:highlight w:val="yellow"/>
        </w:rPr>
      </w:pPr>
      <w:r w:rsidRPr="00E314B0">
        <w:rPr>
          <w:rFonts w:asciiTheme="majorBidi" w:hAnsiTheme="majorBidi" w:cstheme="majorBidi"/>
          <w:sz w:val="16"/>
          <w:szCs w:val="16"/>
          <w:highlight w:val="yellow"/>
        </w:rPr>
        <w:t>[</w:t>
      </w:r>
      <w:r>
        <w:rPr>
          <w:rFonts w:asciiTheme="majorBidi" w:hAnsiTheme="majorBidi" w:cstheme="majorBidi"/>
          <w:sz w:val="16"/>
          <w:szCs w:val="16"/>
          <w:highlight w:val="yellow"/>
        </w:rPr>
        <w:t>57</w:t>
      </w:r>
      <w:r w:rsidRPr="00E314B0">
        <w:rPr>
          <w:rFonts w:asciiTheme="majorBidi" w:hAnsiTheme="majorBidi" w:cstheme="majorBidi"/>
          <w:sz w:val="16"/>
          <w:szCs w:val="16"/>
          <w:highlight w:val="yellow"/>
        </w:rPr>
        <w:t xml:space="preserve">] M. Ryan, G. Withers, and F. Den Hartog, “The Cloud Conundrum: Are Financial Institutions Heading for a Catastrophic Disruption </w:t>
      </w:r>
      <w:proofErr w:type="gramStart"/>
      <w:r w:rsidRPr="00E314B0">
        <w:rPr>
          <w:rFonts w:asciiTheme="majorBidi" w:hAnsiTheme="majorBidi" w:cstheme="majorBidi"/>
          <w:sz w:val="16"/>
          <w:szCs w:val="16"/>
          <w:highlight w:val="yellow"/>
        </w:rPr>
        <w:t>Event?,</w:t>
      </w:r>
      <w:proofErr w:type="gramEnd"/>
      <w:r w:rsidRPr="00E314B0">
        <w:rPr>
          <w:rFonts w:asciiTheme="majorBidi" w:hAnsiTheme="majorBidi" w:cstheme="majorBidi"/>
          <w:sz w:val="16"/>
          <w:szCs w:val="16"/>
          <w:highlight w:val="yellow"/>
        </w:rPr>
        <w:t xml:space="preserve">” IEEE Trans. Technology and Society, vol. 6, no. 1, </w:t>
      </w:r>
      <w:proofErr w:type="gramStart"/>
      <w:r w:rsidRPr="00E314B0">
        <w:rPr>
          <w:rFonts w:asciiTheme="majorBidi" w:hAnsiTheme="majorBidi" w:cstheme="majorBidi"/>
          <w:sz w:val="16"/>
          <w:szCs w:val="16"/>
          <w:highlight w:val="yellow"/>
        </w:rPr>
        <w:t>2025 .</w:t>
      </w:r>
      <w:proofErr w:type="gramEnd"/>
    </w:p>
    <w:p w14:paraId="5046BEDF" w14:textId="04DACE5B" w:rsidR="00B34828" w:rsidRPr="00E314B0" w:rsidRDefault="00B34828" w:rsidP="00B34828">
      <w:pPr>
        <w:jc w:val="both"/>
        <w:rPr>
          <w:rFonts w:asciiTheme="majorBidi" w:hAnsiTheme="majorBidi" w:cstheme="majorBidi"/>
          <w:sz w:val="16"/>
          <w:szCs w:val="16"/>
          <w:highlight w:val="yellow"/>
        </w:rPr>
      </w:pPr>
      <w:r w:rsidRPr="00E314B0">
        <w:rPr>
          <w:rFonts w:asciiTheme="majorBidi" w:hAnsiTheme="majorBidi" w:cstheme="majorBidi"/>
          <w:sz w:val="16"/>
          <w:szCs w:val="16"/>
          <w:highlight w:val="yellow"/>
        </w:rPr>
        <w:t>[</w:t>
      </w:r>
      <w:r>
        <w:rPr>
          <w:rFonts w:asciiTheme="majorBidi" w:hAnsiTheme="majorBidi" w:cstheme="majorBidi"/>
          <w:sz w:val="16"/>
          <w:szCs w:val="16"/>
          <w:highlight w:val="yellow"/>
        </w:rPr>
        <w:t>58</w:t>
      </w:r>
      <w:r w:rsidRPr="00E314B0">
        <w:rPr>
          <w:rFonts w:asciiTheme="majorBidi" w:hAnsiTheme="majorBidi" w:cstheme="majorBidi"/>
          <w:sz w:val="16"/>
          <w:szCs w:val="16"/>
          <w:highlight w:val="yellow"/>
        </w:rPr>
        <w:t xml:space="preserve">] S. L. Dorton, G. J. Lematta, and K. J. Neville, “The Tough Sell of Resilience Engineering,” IEEE Trans. Technology and Society, vol. 6, no. 1, </w:t>
      </w:r>
      <w:proofErr w:type="gramStart"/>
      <w:r w:rsidRPr="00E314B0">
        <w:rPr>
          <w:rFonts w:asciiTheme="majorBidi" w:hAnsiTheme="majorBidi" w:cstheme="majorBidi"/>
          <w:sz w:val="16"/>
          <w:szCs w:val="16"/>
          <w:highlight w:val="yellow"/>
        </w:rPr>
        <w:t>2025 .</w:t>
      </w:r>
      <w:proofErr w:type="gramEnd"/>
    </w:p>
    <w:p w14:paraId="45154D8C" w14:textId="04C57350" w:rsidR="00B34828" w:rsidRPr="00E314B0" w:rsidRDefault="00B34828" w:rsidP="00B34828">
      <w:pPr>
        <w:jc w:val="both"/>
        <w:rPr>
          <w:rFonts w:asciiTheme="majorBidi" w:hAnsiTheme="majorBidi" w:cstheme="majorBidi"/>
          <w:sz w:val="16"/>
          <w:szCs w:val="16"/>
          <w:highlight w:val="yellow"/>
        </w:rPr>
      </w:pPr>
      <w:r w:rsidRPr="00E314B0">
        <w:rPr>
          <w:rFonts w:asciiTheme="majorBidi" w:hAnsiTheme="majorBidi" w:cstheme="majorBidi"/>
          <w:sz w:val="16"/>
          <w:szCs w:val="16"/>
          <w:highlight w:val="yellow"/>
        </w:rPr>
        <w:t>[</w:t>
      </w:r>
      <w:r>
        <w:rPr>
          <w:rFonts w:asciiTheme="majorBidi" w:hAnsiTheme="majorBidi" w:cstheme="majorBidi"/>
          <w:sz w:val="16"/>
          <w:szCs w:val="16"/>
          <w:highlight w:val="yellow"/>
        </w:rPr>
        <w:t>59</w:t>
      </w:r>
      <w:r w:rsidRPr="00E314B0">
        <w:rPr>
          <w:rFonts w:asciiTheme="majorBidi" w:hAnsiTheme="majorBidi" w:cstheme="majorBidi"/>
          <w:sz w:val="16"/>
          <w:szCs w:val="16"/>
          <w:highlight w:val="yellow"/>
        </w:rPr>
        <w:t xml:space="preserve">] R. Wigan, “Cyber Security and Securing Subjective Patient Quality Engagements in Medical Applications: AI and Vulnerabilities,” in IEEE Trans. Technology and Society, vol. 3, no. 3, </w:t>
      </w:r>
      <w:proofErr w:type="gramStart"/>
      <w:r w:rsidRPr="00E314B0">
        <w:rPr>
          <w:rFonts w:asciiTheme="majorBidi" w:hAnsiTheme="majorBidi" w:cstheme="majorBidi"/>
          <w:sz w:val="16"/>
          <w:szCs w:val="16"/>
          <w:highlight w:val="yellow"/>
        </w:rPr>
        <w:t>2022 .</w:t>
      </w:r>
      <w:proofErr w:type="gramEnd"/>
    </w:p>
    <w:p w14:paraId="5D4CDA36" w14:textId="53DDD942" w:rsidR="00B34828" w:rsidRDefault="00B34828" w:rsidP="00B34828">
      <w:pPr>
        <w:jc w:val="both"/>
      </w:pPr>
      <w:r w:rsidRPr="00E314B0">
        <w:rPr>
          <w:rFonts w:asciiTheme="majorBidi" w:hAnsiTheme="majorBidi" w:cstheme="majorBidi"/>
          <w:sz w:val="16"/>
          <w:szCs w:val="16"/>
          <w:highlight w:val="yellow"/>
        </w:rPr>
        <w:t>[</w:t>
      </w:r>
      <w:r>
        <w:rPr>
          <w:rFonts w:asciiTheme="majorBidi" w:hAnsiTheme="majorBidi" w:cstheme="majorBidi"/>
          <w:sz w:val="16"/>
          <w:szCs w:val="16"/>
          <w:highlight w:val="yellow"/>
        </w:rPr>
        <w:t>60</w:t>
      </w:r>
      <w:r w:rsidRPr="00E314B0">
        <w:rPr>
          <w:rFonts w:asciiTheme="majorBidi" w:hAnsiTheme="majorBidi" w:cstheme="majorBidi"/>
          <w:sz w:val="16"/>
          <w:szCs w:val="16"/>
          <w:highlight w:val="yellow"/>
        </w:rPr>
        <w:t xml:space="preserve">] J. R. Schoenherr, “Insider Threats and Individual Differences: Intention and Unintentional Motivations,” IEEE Trans. Technology and Society, vol. 3, no. 3, </w:t>
      </w:r>
      <w:proofErr w:type="gramStart"/>
      <w:r w:rsidRPr="00E314B0">
        <w:rPr>
          <w:rFonts w:asciiTheme="majorBidi" w:hAnsiTheme="majorBidi" w:cstheme="majorBidi"/>
          <w:sz w:val="16"/>
          <w:szCs w:val="16"/>
          <w:highlight w:val="yellow"/>
        </w:rPr>
        <w:t>2022 .</w:t>
      </w:r>
      <w:proofErr w:type="gramEnd"/>
    </w:p>
    <w:p w14:paraId="49969ABD" w14:textId="77777777" w:rsidR="00B34828" w:rsidRPr="002E4FD9" w:rsidRDefault="00B34828" w:rsidP="00470E05">
      <w:pPr>
        <w:pStyle w:val="references"/>
        <w:ind w:left="360"/>
        <w:rPr>
          <w:color w:val="0F1115"/>
          <w:shd w:val="clear" w:color="auto" w:fill="FFFFFF"/>
        </w:rPr>
      </w:pPr>
    </w:p>
    <w:p w14:paraId="2EA220B9" w14:textId="77777777" w:rsidR="00470E05" w:rsidRPr="002E4FD9" w:rsidRDefault="00470E05" w:rsidP="00470E05">
      <w:pPr>
        <w:pStyle w:val="references"/>
        <w:ind w:left="360"/>
        <w:rPr>
          <w:color w:val="0F1115"/>
          <w:shd w:val="clear" w:color="auto" w:fill="FFFFFF"/>
        </w:rPr>
      </w:pPr>
    </w:p>
    <w:p w14:paraId="484A6DF9" w14:textId="77777777" w:rsidR="00FC7E69" w:rsidRPr="00DD3508" w:rsidRDefault="00FC7E69" w:rsidP="00221E4D">
      <w:pPr>
        <w:pStyle w:val="references"/>
        <w:rPr>
          <w:color w:val="0F1115"/>
          <w:shd w:val="clear" w:color="auto" w:fill="FFFFFF"/>
          <w:rtl/>
        </w:rPr>
      </w:pPr>
    </w:p>
    <w:sectPr w:rsidR="00FC7E69" w:rsidRPr="00DD3508" w:rsidSect="00765772">
      <w:type w:val="continuous"/>
      <w:pgSz w:w="11906" w:h="16838" w:code="9"/>
      <w:pgMar w:top="1080" w:right="907" w:bottom="1440" w:left="907" w:header="720" w:footer="720" w:gutter="0"/>
      <w:cols w:num="2" w:space="3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EDD1EA" w14:textId="77777777" w:rsidR="009751CB" w:rsidRDefault="009751CB" w:rsidP="001A3B3D">
      <w:r>
        <w:separator/>
      </w:r>
    </w:p>
  </w:endnote>
  <w:endnote w:type="continuationSeparator" w:id="0">
    <w:p w14:paraId="02DC5999" w14:textId="77777777" w:rsidR="009751CB" w:rsidRDefault="009751CB" w:rsidP="001A3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DF3E9" w14:textId="77777777" w:rsidR="001D5E48" w:rsidRPr="006F6D3D" w:rsidRDefault="001D5E48" w:rsidP="0056610F">
    <w:pPr>
      <w:pStyle w:val="Footer"/>
      <w:jc w:val="left"/>
      <w:rPr>
        <w:sz w:val="16"/>
        <w:szCs w:val="16"/>
      </w:rPr>
    </w:pPr>
    <w:r w:rsidRPr="006F6D3D">
      <w:rPr>
        <w:sz w:val="16"/>
        <w:szCs w:val="16"/>
      </w:rPr>
      <w:t>XXX-X-XXXX-XXXX-X/XX/$XX.00 ©20XX IEEE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CC3535" w14:textId="77777777" w:rsidR="009751CB" w:rsidRDefault="009751CB" w:rsidP="001A3B3D">
      <w:r>
        <w:separator/>
      </w:r>
    </w:p>
  </w:footnote>
  <w:footnote w:type="continuationSeparator" w:id="0">
    <w:p w14:paraId="10543324" w14:textId="77777777" w:rsidR="009751CB" w:rsidRDefault="009751CB" w:rsidP="001A3B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1" w15:restartNumberingAfterBreak="0">
    <w:nsid w:val="00002B33"/>
    <w:multiLevelType w:val="multilevel"/>
    <w:tmpl w:val="0EBC9F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7B08F6"/>
    <w:multiLevelType w:val="multilevel"/>
    <w:tmpl w:val="E1B68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7E5A95"/>
    <w:multiLevelType w:val="multilevel"/>
    <w:tmpl w:val="8E92F4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BC91CB4"/>
    <w:multiLevelType w:val="hybridMultilevel"/>
    <w:tmpl w:val="EFAC1B10"/>
    <w:lvl w:ilvl="0" w:tplc="04090015">
      <w:start w:val="1"/>
      <w:numFmt w:val="upperLetter"/>
      <w:lvlText w:val="%1."/>
      <w:lvlJc w:val="left"/>
      <w:pPr>
        <w:ind w:left="648" w:hanging="360"/>
      </w:p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15:restartNumberingAfterBreak="0">
    <w:nsid w:val="1BC9252C"/>
    <w:multiLevelType w:val="multilevel"/>
    <w:tmpl w:val="8A7085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C6202E"/>
    <w:multiLevelType w:val="multilevel"/>
    <w:tmpl w:val="924ACA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E013795"/>
    <w:multiLevelType w:val="multilevel"/>
    <w:tmpl w:val="26DC17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FA77DC8"/>
    <w:multiLevelType w:val="multilevel"/>
    <w:tmpl w:val="905C91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1074E61"/>
    <w:multiLevelType w:val="multilevel"/>
    <w:tmpl w:val="6B1212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2474703"/>
    <w:multiLevelType w:val="multilevel"/>
    <w:tmpl w:val="FA74BC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2" w15:restartNumberingAfterBreak="0">
    <w:nsid w:val="332F56DF"/>
    <w:multiLevelType w:val="multilevel"/>
    <w:tmpl w:val="F362B2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6E24CF9"/>
    <w:multiLevelType w:val="multilevel"/>
    <w:tmpl w:val="62F4B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660336"/>
    <w:multiLevelType w:val="hybridMultilevel"/>
    <w:tmpl w:val="754EAC84"/>
    <w:lvl w:ilvl="0" w:tplc="C46877EA">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B530EBF"/>
    <w:multiLevelType w:val="multilevel"/>
    <w:tmpl w:val="E1A4E8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189603E"/>
    <w:multiLevelType w:val="multilevel"/>
    <w:tmpl w:val="0AB06E12"/>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rPr>
    </w:lvl>
    <w:lvl w:ilvl="3">
      <w:start w:val="1"/>
      <w:numFmt w:val="lowerLetter"/>
      <w:pStyle w:val="Heading4"/>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7" w15:restartNumberingAfterBreak="0">
    <w:nsid w:val="493C3F76"/>
    <w:multiLevelType w:val="hybridMultilevel"/>
    <w:tmpl w:val="9A9E418C"/>
    <w:lvl w:ilvl="0" w:tplc="2C18EFA4">
      <w:start w:val="1"/>
      <w:numFmt w:val="lowerLetter"/>
      <w:pStyle w:val="tablefootnote"/>
      <w:lvlText w:val="%1."/>
      <w:lvlJc w:val="right"/>
      <w:pPr>
        <w:ind w:left="418" w:hanging="360"/>
      </w:pPr>
      <w:rPr>
        <w:rFonts w:ascii="Times New Roman" w:hAnsi="Times New Roman" w:hint="default"/>
        <w:b w:val="0"/>
        <w:i w:val="0"/>
        <w:caps w:val="0"/>
        <w:strike w:val="0"/>
        <w:dstrike w:val="0"/>
        <w:vanish w:val="0"/>
        <w:color w:val="auto"/>
        <w:spacing w:val="0"/>
        <w:w w:val="100"/>
        <w:kern w:val="0"/>
        <w:position w:val="0"/>
        <w:sz w:val="16"/>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CA544A"/>
    <w:multiLevelType w:val="singleLevel"/>
    <w:tmpl w:val="5A34E25E"/>
    <w:lvl w:ilvl="0">
      <w:start w:val="1"/>
      <w:numFmt w:val="decimal"/>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9" w15:restartNumberingAfterBreak="0">
    <w:nsid w:val="538B3862"/>
    <w:multiLevelType w:val="multilevel"/>
    <w:tmpl w:val="7EA4D2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55F4284"/>
    <w:multiLevelType w:val="multilevel"/>
    <w:tmpl w:val="248A1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78242E5"/>
    <w:multiLevelType w:val="multilevel"/>
    <w:tmpl w:val="90B046DE"/>
    <w:lvl w:ilvl="0">
      <w:start w:val="1"/>
      <w:numFmt w:val="bullet"/>
      <w:lvlText w:val=""/>
      <w:lvlJc w:val="left"/>
      <w:pPr>
        <w:tabs>
          <w:tab w:val="num" w:pos="720"/>
        </w:tabs>
        <w:ind w:left="720" w:hanging="360"/>
      </w:pPr>
      <w:rPr>
        <w:rFonts w:ascii="Symbol" w:hAnsi="Symbol" w:hint="default"/>
        <w:sz w:val="20"/>
      </w:rPr>
    </w:lvl>
    <w:lvl w:ilvl="1">
      <w:start w:val="2"/>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C402C58"/>
    <w:multiLevelType w:val="hybridMultilevel"/>
    <w:tmpl w:val="9A1CA078"/>
    <w:lvl w:ilvl="0" w:tplc="C8D6570A">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3" w15:restartNumberingAfterBreak="0">
    <w:nsid w:val="6C8F6FE0"/>
    <w:multiLevelType w:val="multilevel"/>
    <w:tmpl w:val="488806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CD32DA8"/>
    <w:multiLevelType w:val="singleLevel"/>
    <w:tmpl w:val="3D962D90"/>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25" w15:restartNumberingAfterBreak="0">
    <w:nsid w:val="70500C1B"/>
    <w:multiLevelType w:val="hybridMultilevel"/>
    <w:tmpl w:val="117055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514347481">
    <w:abstractNumId w:val="14"/>
  </w:num>
  <w:num w:numId="2" w16cid:durableId="294679155">
    <w:abstractNumId w:val="22"/>
  </w:num>
  <w:num w:numId="3" w16cid:durableId="1389188306">
    <w:abstractNumId w:val="11"/>
  </w:num>
  <w:num w:numId="4" w16cid:durableId="228467704">
    <w:abstractNumId w:val="16"/>
  </w:num>
  <w:num w:numId="5" w16cid:durableId="33576510">
    <w:abstractNumId w:val="18"/>
  </w:num>
  <w:num w:numId="6" w16cid:durableId="693193753">
    <w:abstractNumId w:val="24"/>
  </w:num>
  <w:num w:numId="7" w16cid:durableId="1205751512">
    <w:abstractNumId w:val="17"/>
  </w:num>
  <w:num w:numId="8" w16cid:durableId="317734565">
    <w:abstractNumId w:val="4"/>
  </w:num>
  <w:num w:numId="9" w16cid:durableId="801197548">
    <w:abstractNumId w:val="2"/>
  </w:num>
  <w:num w:numId="10" w16cid:durableId="1724405878">
    <w:abstractNumId w:val="13"/>
  </w:num>
  <w:num w:numId="11" w16cid:durableId="248778027">
    <w:abstractNumId w:val="10"/>
  </w:num>
  <w:num w:numId="12" w16cid:durableId="1690108285">
    <w:abstractNumId w:val="21"/>
  </w:num>
  <w:num w:numId="13" w16cid:durableId="578322262">
    <w:abstractNumId w:val="0"/>
  </w:num>
  <w:num w:numId="14" w16cid:durableId="8400429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27340811">
    <w:abstractNumId w:val="19"/>
  </w:num>
  <w:num w:numId="16" w16cid:durableId="328482150">
    <w:abstractNumId w:val="8"/>
  </w:num>
  <w:num w:numId="17" w16cid:durableId="1455907988">
    <w:abstractNumId w:val="9"/>
  </w:num>
  <w:num w:numId="18" w16cid:durableId="550729952">
    <w:abstractNumId w:val="23"/>
  </w:num>
  <w:num w:numId="19" w16cid:durableId="1231578103">
    <w:abstractNumId w:val="12"/>
  </w:num>
  <w:num w:numId="20" w16cid:durableId="1419641532">
    <w:abstractNumId w:val="15"/>
  </w:num>
  <w:num w:numId="21" w16cid:durableId="1579485753">
    <w:abstractNumId w:val="7"/>
  </w:num>
  <w:num w:numId="22" w16cid:durableId="1547060741">
    <w:abstractNumId w:val="5"/>
  </w:num>
  <w:num w:numId="23" w16cid:durableId="672028409">
    <w:abstractNumId w:val="16"/>
  </w:num>
  <w:num w:numId="24" w16cid:durableId="1581017895">
    <w:abstractNumId w:val="1"/>
  </w:num>
  <w:num w:numId="25" w16cid:durableId="269778240">
    <w:abstractNumId w:val="3"/>
  </w:num>
  <w:num w:numId="26" w16cid:durableId="159782814">
    <w:abstractNumId w:val="20"/>
  </w:num>
  <w:num w:numId="27" w16cid:durableId="1546526689">
    <w:abstractNumId w:val="6"/>
  </w:num>
  <w:num w:numId="28" w16cid:durableId="1317806714">
    <w:abstractNumId w:val="16"/>
  </w:num>
  <w:num w:numId="29" w16cid:durableId="1937473505">
    <w:abstractNumId w:val="16"/>
  </w:num>
  <w:num w:numId="30" w16cid:durableId="1825244947">
    <w:abstractNumId w:val="16"/>
  </w:num>
  <w:num w:numId="31" w16cid:durableId="2126650088">
    <w:abstractNumId w:val="16"/>
  </w:num>
  <w:num w:numId="32" w16cid:durableId="1563175882">
    <w:abstractNumId w:val="2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00429"/>
    <w:rsid w:val="000010CF"/>
    <w:rsid w:val="00004CAD"/>
    <w:rsid w:val="00006996"/>
    <w:rsid w:val="00007243"/>
    <w:rsid w:val="00007AAD"/>
    <w:rsid w:val="000102C4"/>
    <w:rsid w:val="0001054C"/>
    <w:rsid w:val="00010809"/>
    <w:rsid w:val="000134B4"/>
    <w:rsid w:val="000170C6"/>
    <w:rsid w:val="00026D56"/>
    <w:rsid w:val="0002738F"/>
    <w:rsid w:val="000342E3"/>
    <w:rsid w:val="00035D68"/>
    <w:rsid w:val="0004547C"/>
    <w:rsid w:val="00046D62"/>
    <w:rsid w:val="0004781E"/>
    <w:rsid w:val="00047A69"/>
    <w:rsid w:val="00051566"/>
    <w:rsid w:val="00053F1E"/>
    <w:rsid w:val="00055580"/>
    <w:rsid w:val="00056139"/>
    <w:rsid w:val="0005663A"/>
    <w:rsid w:val="00057277"/>
    <w:rsid w:val="000609F3"/>
    <w:rsid w:val="00060D44"/>
    <w:rsid w:val="00062B0B"/>
    <w:rsid w:val="00065E58"/>
    <w:rsid w:val="000715DD"/>
    <w:rsid w:val="000779A2"/>
    <w:rsid w:val="0008758A"/>
    <w:rsid w:val="00097982"/>
    <w:rsid w:val="000A1CAA"/>
    <w:rsid w:val="000A2174"/>
    <w:rsid w:val="000A3E89"/>
    <w:rsid w:val="000A7877"/>
    <w:rsid w:val="000C1E68"/>
    <w:rsid w:val="000C6E21"/>
    <w:rsid w:val="000C7B87"/>
    <w:rsid w:val="000D1804"/>
    <w:rsid w:val="000D2794"/>
    <w:rsid w:val="000D50B7"/>
    <w:rsid w:val="000E00D0"/>
    <w:rsid w:val="000E2794"/>
    <w:rsid w:val="000E4146"/>
    <w:rsid w:val="000E5A15"/>
    <w:rsid w:val="000F144D"/>
    <w:rsid w:val="000F1A0E"/>
    <w:rsid w:val="001123B8"/>
    <w:rsid w:val="00120C33"/>
    <w:rsid w:val="00122171"/>
    <w:rsid w:val="0012278D"/>
    <w:rsid w:val="001238A4"/>
    <w:rsid w:val="0012502A"/>
    <w:rsid w:val="00136EF6"/>
    <w:rsid w:val="00137D27"/>
    <w:rsid w:val="001400E8"/>
    <w:rsid w:val="00140A85"/>
    <w:rsid w:val="00141A5B"/>
    <w:rsid w:val="00142A16"/>
    <w:rsid w:val="00144EBA"/>
    <w:rsid w:val="0015555C"/>
    <w:rsid w:val="00156C2B"/>
    <w:rsid w:val="00157873"/>
    <w:rsid w:val="00163879"/>
    <w:rsid w:val="001645D1"/>
    <w:rsid w:val="00165553"/>
    <w:rsid w:val="001709BC"/>
    <w:rsid w:val="00172812"/>
    <w:rsid w:val="001728F8"/>
    <w:rsid w:val="00181BCA"/>
    <w:rsid w:val="00182091"/>
    <w:rsid w:val="0018360F"/>
    <w:rsid w:val="001840F5"/>
    <w:rsid w:val="00187FB2"/>
    <w:rsid w:val="001977E6"/>
    <w:rsid w:val="0019791D"/>
    <w:rsid w:val="001A2ED3"/>
    <w:rsid w:val="001A2EFD"/>
    <w:rsid w:val="001A3B3D"/>
    <w:rsid w:val="001B05B8"/>
    <w:rsid w:val="001B0C42"/>
    <w:rsid w:val="001B2B01"/>
    <w:rsid w:val="001B4579"/>
    <w:rsid w:val="001B4CD4"/>
    <w:rsid w:val="001B67DC"/>
    <w:rsid w:val="001C0E14"/>
    <w:rsid w:val="001C5BBF"/>
    <w:rsid w:val="001D1B87"/>
    <w:rsid w:val="001D4A6D"/>
    <w:rsid w:val="001D5DF0"/>
    <w:rsid w:val="001D5E48"/>
    <w:rsid w:val="001D72A0"/>
    <w:rsid w:val="001E5286"/>
    <w:rsid w:val="001F196B"/>
    <w:rsid w:val="001F27F4"/>
    <w:rsid w:val="001F71C4"/>
    <w:rsid w:val="00200665"/>
    <w:rsid w:val="0020224B"/>
    <w:rsid w:val="0020322D"/>
    <w:rsid w:val="002043E1"/>
    <w:rsid w:val="00206927"/>
    <w:rsid w:val="00207899"/>
    <w:rsid w:val="0020789C"/>
    <w:rsid w:val="00211DBA"/>
    <w:rsid w:val="0021230D"/>
    <w:rsid w:val="00212BCC"/>
    <w:rsid w:val="002156DA"/>
    <w:rsid w:val="002179A3"/>
    <w:rsid w:val="00221E4D"/>
    <w:rsid w:val="00222B92"/>
    <w:rsid w:val="00224DDE"/>
    <w:rsid w:val="002254A9"/>
    <w:rsid w:val="00227046"/>
    <w:rsid w:val="0022768C"/>
    <w:rsid w:val="00233D97"/>
    <w:rsid w:val="002347A2"/>
    <w:rsid w:val="002406DC"/>
    <w:rsid w:val="002466E2"/>
    <w:rsid w:val="00246A0C"/>
    <w:rsid w:val="00247985"/>
    <w:rsid w:val="0025026C"/>
    <w:rsid w:val="00252414"/>
    <w:rsid w:val="00253368"/>
    <w:rsid w:val="00260CA7"/>
    <w:rsid w:val="002634AC"/>
    <w:rsid w:val="002639E2"/>
    <w:rsid w:val="002642D9"/>
    <w:rsid w:val="00264C03"/>
    <w:rsid w:val="00271716"/>
    <w:rsid w:val="00276BF7"/>
    <w:rsid w:val="0028230E"/>
    <w:rsid w:val="00282E67"/>
    <w:rsid w:val="002830B9"/>
    <w:rsid w:val="00283818"/>
    <w:rsid w:val="002850E3"/>
    <w:rsid w:val="002909D3"/>
    <w:rsid w:val="00294806"/>
    <w:rsid w:val="00297216"/>
    <w:rsid w:val="002977CB"/>
    <w:rsid w:val="002A67D3"/>
    <w:rsid w:val="002B45D4"/>
    <w:rsid w:val="002B48E2"/>
    <w:rsid w:val="002B6D54"/>
    <w:rsid w:val="002C0C05"/>
    <w:rsid w:val="002C7FE2"/>
    <w:rsid w:val="002D05E5"/>
    <w:rsid w:val="002D2484"/>
    <w:rsid w:val="002E0059"/>
    <w:rsid w:val="002E1AE0"/>
    <w:rsid w:val="002E4EB2"/>
    <w:rsid w:val="002E7CC5"/>
    <w:rsid w:val="002E7E9A"/>
    <w:rsid w:val="002F02EA"/>
    <w:rsid w:val="002F2700"/>
    <w:rsid w:val="0030418B"/>
    <w:rsid w:val="0030452B"/>
    <w:rsid w:val="003156C4"/>
    <w:rsid w:val="003212C5"/>
    <w:rsid w:val="00323113"/>
    <w:rsid w:val="0032408A"/>
    <w:rsid w:val="003259AE"/>
    <w:rsid w:val="0032640C"/>
    <w:rsid w:val="0033213D"/>
    <w:rsid w:val="003505A6"/>
    <w:rsid w:val="00352FEE"/>
    <w:rsid w:val="00354FCF"/>
    <w:rsid w:val="003553A6"/>
    <w:rsid w:val="00357EF5"/>
    <w:rsid w:val="0037297C"/>
    <w:rsid w:val="00372C21"/>
    <w:rsid w:val="00380B4A"/>
    <w:rsid w:val="00385A17"/>
    <w:rsid w:val="00386BBF"/>
    <w:rsid w:val="00391B5D"/>
    <w:rsid w:val="003A0867"/>
    <w:rsid w:val="003A19E2"/>
    <w:rsid w:val="003A69E8"/>
    <w:rsid w:val="003A6C4F"/>
    <w:rsid w:val="003B2B40"/>
    <w:rsid w:val="003B4E04"/>
    <w:rsid w:val="003B5566"/>
    <w:rsid w:val="003B7868"/>
    <w:rsid w:val="003B7EDA"/>
    <w:rsid w:val="003C63A9"/>
    <w:rsid w:val="003C6889"/>
    <w:rsid w:val="003D0A4E"/>
    <w:rsid w:val="003E3000"/>
    <w:rsid w:val="003E3268"/>
    <w:rsid w:val="003E4AFA"/>
    <w:rsid w:val="003E692B"/>
    <w:rsid w:val="003E6A48"/>
    <w:rsid w:val="003E7DE0"/>
    <w:rsid w:val="003F015A"/>
    <w:rsid w:val="003F1E87"/>
    <w:rsid w:val="003F4407"/>
    <w:rsid w:val="003F5A08"/>
    <w:rsid w:val="003F62BB"/>
    <w:rsid w:val="003F64E8"/>
    <w:rsid w:val="003F66D1"/>
    <w:rsid w:val="00400DFE"/>
    <w:rsid w:val="00402585"/>
    <w:rsid w:val="00412059"/>
    <w:rsid w:val="004134E8"/>
    <w:rsid w:val="00416706"/>
    <w:rsid w:val="0041774E"/>
    <w:rsid w:val="0042039F"/>
    <w:rsid w:val="00420716"/>
    <w:rsid w:val="00423541"/>
    <w:rsid w:val="00423784"/>
    <w:rsid w:val="004243D3"/>
    <w:rsid w:val="0042558C"/>
    <w:rsid w:val="0042630B"/>
    <w:rsid w:val="004320CF"/>
    <w:rsid w:val="004325FB"/>
    <w:rsid w:val="0043732F"/>
    <w:rsid w:val="004432BA"/>
    <w:rsid w:val="0044407E"/>
    <w:rsid w:val="004446C7"/>
    <w:rsid w:val="00447BB9"/>
    <w:rsid w:val="00453355"/>
    <w:rsid w:val="004541B8"/>
    <w:rsid w:val="00454CED"/>
    <w:rsid w:val="00456566"/>
    <w:rsid w:val="00457B74"/>
    <w:rsid w:val="004601CE"/>
    <w:rsid w:val="0046031D"/>
    <w:rsid w:val="00462DC2"/>
    <w:rsid w:val="00463162"/>
    <w:rsid w:val="00464E50"/>
    <w:rsid w:val="00470E05"/>
    <w:rsid w:val="00473AC9"/>
    <w:rsid w:val="00474D85"/>
    <w:rsid w:val="004756E0"/>
    <w:rsid w:val="0048250D"/>
    <w:rsid w:val="00487BD6"/>
    <w:rsid w:val="00494D9C"/>
    <w:rsid w:val="0049736A"/>
    <w:rsid w:val="004A0E8C"/>
    <w:rsid w:val="004A374E"/>
    <w:rsid w:val="004A5020"/>
    <w:rsid w:val="004B08C3"/>
    <w:rsid w:val="004B2907"/>
    <w:rsid w:val="004B69C2"/>
    <w:rsid w:val="004C06B8"/>
    <w:rsid w:val="004C4CDE"/>
    <w:rsid w:val="004C7F8F"/>
    <w:rsid w:val="004D2271"/>
    <w:rsid w:val="004D4249"/>
    <w:rsid w:val="004D4B80"/>
    <w:rsid w:val="004D5478"/>
    <w:rsid w:val="004D72B5"/>
    <w:rsid w:val="004E294D"/>
    <w:rsid w:val="004E47A4"/>
    <w:rsid w:val="004F477D"/>
    <w:rsid w:val="004F56B8"/>
    <w:rsid w:val="004F5D74"/>
    <w:rsid w:val="004F5EBD"/>
    <w:rsid w:val="005009C8"/>
    <w:rsid w:val="0050682E"/>
    <w:rsid w:val="00507762"/>
    <w:rsid w:val="00510084"/>
    <w:rsid w:val="00513927"/>
    <w:rsid w:val="005143D7"/>
    <w:rsid w:val="00515DE3"/>
    <w:rsid w:val="0051715D"/>
    <w:rsid w:val="00530652"/>
    <w:rsid w:val="0054483B"/>
    <w:rsid w:val="00545A48"/>
    <w:rsid w:val="00547F82"/>
    <w:rsid w:val="00551B7F"/>
    <w:rsid w:val="00554E70"/>
    <w:rsid w:val="00560E5C"/>
    <w:rsid w:val="0056610F"/>
    <w:rsid w:val="00566FAF"/>
    <w:rsid w:val="005673C6"/>
    <w:rsid w:val="00575BCA"/>
    <w:rsid w:val="00576173"/>
    <w:rsid w:val="00580DA7"/>
    <w:rsid w:val="00592A56"/>
    <w:rsid w:val="00595AE5"/>
    <w:rsid w:val="005A023B"/>
    <w:rsid w:val="005A3C12"/>
    <w:rsid w:val="005B0344"/>
    <w:rsid w:val="005B520E"/>
    <w:rsid w:val="005C0F9A"/>
    <w:rsid w:val="005C2E9A"/>
    <w:rsid w:val="005C439D"/>
    <w:rsid w:val="005D693A"/>
    <w:rsid w:val="005D790B"/>
    <w:rsid w:val="005E2800"/>
    <w:rsid w:val="005E5DFE"/>
    <w:rsid w:val="005F1436"/>
    <w:rsid w:val="005F32B0"/>
    <w:rsid w:val="005F7323"/>
    <w:rsid w:val="006032AB"/>
    <w:rsid w:val="006039C4"/>
    <w:rsid w:val="00604CCF"/>
    <w:rsid w:val="00605825"/>
    <w:rsid w:val="00607F10"/>
    <w:rsid w:val="00612D9B"/>
    <w:rsid w:val="006133A2"/>
    <w:rsid w:val="00613AC5"/>
    <w:rsid w:val="00614F03"/>
    <w:rsid w:val="006155A7"/>
    <w:rsid w:val="00615C0E"/>
    <w:rsid w:val="00616C13"/>
    <w:rsid w:val="0062074B"/>
    <w:rsid w:val="006239C4"/>
    <w:rsid w:val="0062421C"/>
    <w:rsid w:val="006246AE"/>
    <w:rsid w:val="00626C8E"/>
    <w:rsid w:val="006313DA"/>
    <w:rsid w:val="006342C7"/>
    <w:rsid w:val="00635DCD"/>
    <w:rsid w:val="00642902"/>
    <w:rsid w:val="00643E95"/>
    <w:rsid w:val="006447EA"/>
    <w:rsid w:val="00645D22"/>
    <w:rsid w:val="00651A08"/>
    <w:rsid w:val="00654204"/>
    <w:rsid w:val="00654BCD"/>
    <w:rsid w:val="00655AC9"/>
    <w:rsid w:val="00665E30"/>
    <w:rsid w:val="00670434"/>
    <w:rsid w:val="006706C6"/>
    <w:rsid w:val="006818DD"/>
    <w:rsid w:val="00683EBA"/>
    <w:rsid w:val="006A0F24"/>
    <w:rsid w:val="006A16A9"/>
    <w:rsid w:val="006A212B"/>
    <w:rsid w:val="006A4DAA"/>
    <w:rsid w:val="006A5D82"/>
    <w:rsid w:val="006A62BC"/>
    <w:rsid w:val="006A692C"/>
    <w:rsid w:val="006B6B66"/>
    <w:rsid w:val="006B6CFB"/>
    <w:rsid w:val="006C16C7"/>
    <w:rsid w:val="006C431C"/>
    <w:rsid w:val="006D7E27"/>
    <w:rsid w:val="006E6E28"/>
    <w:rsid w:val="006F4783"/>
    <w:rsid w:val="006F6656"/>
    <w:rsid w:val="006F6D3D"/>
    <w:rsid w:val="00702DEA"/>
    <w:rsid w:val="00705818"/>
    <w:rsid w:val="00710E93"/>
    <w:rsid w:val="00713299"/>
    <w:rsid w:val="007143F5"/>
    <w:rsid w:val="00714E25"/>
    <w:rsid w:val="00715BEA"/>
    <w:rsid w:val="00723796"/>
    <w:rsid w:val="0072389C"/>
    <w:rsid w:val="00725003"/>
    <w:rsid w:val="00725046"/>
    <w:rsid w:val="0072676A"/>
    <w:rsid w:val="00727ECE"/>
    <w:rsid w:val="00730F36"/>
    <w:rsid w:val="00733802"/>
    <w:rsid w:val="0073435C"/>
    <w:rsid w:val="00734CEA"/>
    <w:rsid w:val="00735562"/>
    <w:rsid w:val="00737522"/>
    <w:rsid w:val="00740EEA"/>
    <w:rsid w:val="00753A94"/>
    <w:rsid w:val="00756230"/>
    <w:rsid w:val="00760A17"/>
    <w:rsid w:val="00765772"/>
    <w:rsid w:val="00773967"/>
    <w:rsid w:val="00785B16"/>
    <w:rsid w:val="00787661"/>
    <w:rsid w:val="00790AC9"/>
    <w:rsid w:val="0079107B"/>
    <w:rsid w:val="00794804"/>
    <w:rsid w:val="007A0A26"/>
    <w:rsid w:val="007A4294"/>
    <w:rsid w:val="007A4DCC"/>
    <w:rsid w:val="007B33F1"/>
    <w:rsid w:val="007B6868"/>
    <w:rsid w:val="007B6B70"/>
    <w:rsid w:val="007B6DDA"/>
    <w:rsid w:val="007C0308"/>
    <w:rsid w:val="007C2725"/>
    <w:rsid w:val="007C2FF2"/>
    <w:rsid w:val="007C36DB"/>
    <w:rsid w:val="007C78CB"/>
    <w:rsid w:val="007D025D"/>
    <w:rsid w:val="007D236F"/>
    <w:rsid w:val="007D39D5"/>
    <w:rsid w:val="007D6232"/>
    <w:rsid w:val="007D65B0"/>
    <w:rsid w:val="007D6FB9"/>
    <w:rsid w:val="007E0845"/>
    <w:rsid w:val="007E0FFB"/>
    <w:rsid w:val="007E3831"/>
    <w:rsid w:val="007E38C6"/>
    <w:rsid w:val="007E44A5"/>
    <w:rsid w:val="007E7EB2"/>
    <w:rsid w:val="007F05A3"/>
    <w:rsid w:val="007F1AFB"/>
    <w:rsid w:val="007F1F99"/>
    <w:rsid w:val="007F217B"/>
    <w:rsid w:val="007F50D0"/>
    <w:rsid w:val="007F768F"/>
    <w:rsid w:val="007F7D90"/>
    <w:rsid w:val="0080426F"/>
    <w:rsid w:val="0080791D"/>
    <w:rsid w:val="00814541"/>
    <w:rsid w:val="008147B5"/>
    <w:rsid w:val="008168E1"/>
    <w:rsid w:val="008210F1"/>
    <w:rsid w:val="00822603"/>
    <w:rsid w:val="008270A4"/>
    <w:rsid w:val="008324AB"/>
    <w:rsid w:val="0083281D"/>
    <w:rsid w:val="00836367"/>
    <w:rsid w:val="00840E40"/>
    <w:rsid w:val="0084276E"/>
    <w:rsid w:val="00842E9A"/>
    <w:rsid w:val="0084341B"/>
    <w:rsid w:val="00843846"/>
    <w:rsid w:val="008477B6"/>
    <w:rsid w:val="00850659"/>
    <w:rsid w:val="00850AA3"/>
    <w:rsid w:val="00853A65"/>
    <w:rsid w:val="008619AE"/>
    <w:rsid w:val="00861D84"/>
    <w:rsid w:val="0086588C"/>
    <w:rsid w:val="00873603"/>
    <w:rsid w:val="00874E71"/>
    <w:rsid w:val="00876601"/>
    <w:rsid w:val="0088499B"/>
    <w:rsid w:val="008858D1"/>
    <w:rsid w:val="008878B4"/>
    <w:rsid w:val="00887C6A"/>
    <w:rsid w:val="00893896"/>
    <w:rsid w:val="0089676C"/>
    <w:rsid w:val="0089784D"/>
    <w:rsid w:val="008A237D"/>
    <w:rsid w:val="008A2C7D"/>
    <w:rsid w:val="008B0599"/>
    <w:rsid w:val="008B0866"/>
    <w:rsid w:val="008B40D6"/>
    <w:rsid w:val="008B6075"/>
    <w:rsid w:val="008B6524"/>
    <w:rsid w:val="008C0B4F"/>
    <w:rsid w:val="008C11D5"/>
    <w:rsid w:val="008C18C7"/>
    <w:rsid w:val="008C292A"/>
    <w:rsid w:val="008C4A90"/>
    <w:rsid w:val="008C4B23"/>
    <w:rsid w:val="008C7306"/>
    <w:rsid w:val="008D5249"/>
    <w:rsid w:val="008E2A80"/>
    <w:rsid w:val="008E4BB5"/>
    <w:rsid w:val="008E4E8D"/>
    <w:rsid w:val="008E79C3"/>
    <w:rsid w:val="008F1C81"/>
    <w:rsid w:val="008F2AB0"/>
    <w:rsid w:val="008F433B"/>
    <w:rsid w:val="008F47BE"/>
    <w:rsid w:val="008F59CA"/>
    <w:rsid w:val="008F6E2C"/>
    <w:rsid w:val="009015E8"/>
    <w:rsid w:val="00902150"/>
    <w:rsid w:val="00904997"/>
    <w:rsid w:val="00905CE6"/>
    <w:rsid w:val="00912D17"/>
    <w:rsid w:val="009134B7"/>
    <w:rsid w:val="00913C99"/>
    <w:rsid w:val="00916A54"/>
    <w:rsid w:val="00917E3F"/>
    <w:rsid w:val="00922713"/>
    <w:rsid w:val="009240CC"/>
    <w:rsid w:val="0092564E"/>
    <w:rsid w:val="009303D9"/>
    <w:rsid w:val="009320DD"/>
    <w:rsid w:val="00933C64"/>
    <w:rsid w:val="00943B0A"/>
    <w:rsid w:val="009468DD"/>
    <w:rsid w:val="0095359F"/>
    <w:rsid w:val="0095743E"/>
    <w:rsid w:val="00961B65"/>
    <w:rsid w:val="0096213D"/>
    <w:rsid w:val="00962A49"/>
    <w:rsid w:val="00962F24"/>
    <w:rsid w:val="0096400A"/>
    <w:rsid w:val="00964080"/>
    <w:rsid w:val="00971998"/>
    <w:rsid w:val="00972203"/>
    <w:rsid w:val="00972AB7"/>
    <w:rsid w:val="00972ABC"/>
    <w:rsid w:val="00972B5F"/>
    <w:rsid w:val="009751CB"/>
    <w:rsid w:val="00983F05"/>
    <w:rsid w:val="009858AB"/>
    <w:rsid w:val="00996542"/>
    <w:rsid w:val="009A0F75"/>
    <w:rsid w:val="009B3537"/>
    <w:rsid w:val="009B4208"/>
    <w:rsid w:val="009B7B5B"/>
    <w:rsid w:val="009C07BD"/>
    <w:rsid w:val="009C464D"/>
    <w:rsid w:val="009C628A"/>
    <w:rsid w:val="009D0502"/>
    <w:rsid w:val="009D1CA9"/>
    <w:rsid w:val="009D3629"/>
    <w:rsid w:val="009E2F7C"/>
    <w:rsid w:val="009E4E8A"/>
    <w:rsid w:val="009F1D79"/>
    <w:rsid w:val="009F3566"/>
    <w:rsid w:val="009F48AD"/>
    <w:rsid w:val="009F50AC"/>
    <w:rsid w:val="00A00737"/>
    <w:rsid w:val="00A00D72"/>
    <w:rsid w:val="00A03AF4"/>
    <w:rsid w:val="00A059B3"/>
    <w:rsid w:val="00A13463"/>
    <w:rsid w:val="00A17553"/>
    <w:rsid w:val="00A217FF"/>
    <w:rsid w:val="00A24D90"/>
    <w:rsid w:val="00A255F9"/>
    <w:rsid w:val="00A27E66"/>
    <w:rsid w:val="00A308BF"/>
    <w:rsid w:val="00A31F7C"/>
    <w:rsid w:val="00A3396B"/>
    <w:rsid w:val="00A35F38"/>
    <w:rsid w:val="00A50DD2"/>
    <w:rsid w:val="00A5135F"/>
    <w:rsid w:val="00A51872"/>
    <w:rsid w:val="00A55DF1"/>
    <w:rsid w:val="00A706AF"/>
    <w:rsid w:val="00A739F0"/>
    <w:rsid w:val="00A776A2"/>
    <w:rsid w:val="00A900C3"/>
    <w:rsid w:val="00AB102E"/>
    <w:rsid w:val="00AB19DA"/>
    <w:rsid w:val="00AB35C4"/>
    <w:rsid w:val="00AB3A49"/>
    <w:rsid w:val="00AB652C"/>
    <w:rsid w:val="00AB6C28"/>
    <w:rsid w:val="00AC1330"/>
    <w:rsid w:val="00AC15D5"/>
    <w:rsid w:val="00AD0F7A"/>
    <w:rsid w:val="00AD2D98"/>
    <w:rsid w:val="00AD3DE5"/>
    <w:rsid w:val="00AD4892"/>
    <w:rsid w:val="00AD5951"/>
    <w:rsid w:val="00AE1DC1"/>
    <w:rsid w:val="00AE3409"/>
    <w:rsid w:val="00AF025B"/>
    <w:rsid w:val="00AF27DE"/>
    <w:rsid w:val="00AF29B5"/>
    <w:rsid w:val="00AF4EEF"/>
    <w:rsid w:val="00B00C62"/>
    <w:rsid w:val="00B01F1E"/>
    <w:rsid w:val="00B04BD2"/>
    <w:rsid w:val="00B11A60"/>
    <w:rsid w:val="00B123F3"/>
    <w:rsid w:val="00B16800"/>
    <w:rsid w:val="00B216AF"/>
    <w:rsid w:val="00B22613"/>
    <w:rsid w:val="00B22CAC"/>
    <w:rsid w:val="00B22D51"/>
    <w:rsid w:val="00B24B46"/>
    <w:rsid w:val="00B26FDA"/>
    <w:rsid w:val="00B27DC4"/>
    <w:rsid w:val="00B31452"/>
    <w:rsid w:val="00B3223E"/>
    <w:rsid w:val="00B34828"/>
    <w:rsid w:val="00B362D6"/>
    <w:rsid w:val="00B40672"/>
    <w:rsid w:val="00B44A76"/>
    <w:rsid w:val="00B615D9"/>
    <w:rsid w:val="00B63185"/>
    <w:rsid w:val="00B7237E"/>
    <w:rsid w:val="00B768D1"/>
    <w:rsid w:val="00B83F5B"/>
    <w:rsid w:val="00B84CB1"/>
    <w:rsid w:val="00B87B17"/>
    <w:rsid w:val="00B9081C"/>
    <w:rsid w:val="00B937A5"/>
    <w:rsid w:val="00B94226"/>
    <w:rsid w:val="00B95BDE"/>
    <w:rsid w:val="00BA06E3"/>
    <w:rsid w:val="00BA1025"/>
    <w:rsid w:val="00BA1E28"/>
    <w:rsid w:val="00BA56A4"/>
    <w:rsid w:val="00BB1A5D"/>
    <w:rsid w:val="00BB4807"/>
    <w:rsid w:val="00BC10D8"/>
    <w:rsid w:val="00BC3420"/>
    <w:rsid w:val="00BC6304"/>
    <w:rsid w:val="00BC7081"/>
    <w:rsid w:val="00BD3855"/>
    <w:rsid w:val="00BD670B"/>
    <w:rsid w:val="00BE216D"/>
    <w:rsid w:val="00BE49AA"/>
    <w:rsid w:val="00BE639D"/>
    <w:rsid w:val="00BE7D3C"/>
    <w:rsid w:val="00BF003D"/>
    <w:rsid w:val="00BF3895"/>
    <w:rsid w:val="00BF5FF6"/>
    <w:rsid w:val="00C0207F"/>
    <w:rsid w:val="00C07A6B"/>
    <w:rsid w:val="00C16117"/>
    <w:rsid w:val="00C16EDC"/>
    <w:rsid w:val="00C20F6F"/>
    <w:rsid w:val="00C21BBF"/>
    <w:rsid w:val="00C22CF2"/>
    <w:rsid w:val="00C3075A"/>
    <w:rsid w:val="00C30F3E"/>
    <w:rsid w:val="00C321D7"/>
    <w:rsid w:val="00C342E8"/>
    <w:rsid w:val="00C37AA9"/>
    <w:rsid w:val="00C41F93"/>
    <w:rsid w:val="00C52993"/>
    <w:rsid w:val="00C52B45"/>
    <w:rsid w:val="00C62DEA"/>
    <w:rsid w:val="00C6310A"/>
    <w:rsid w:val="00C63291"/>
    <w:rsid w:val="00C67F2D"/>
    <w:rsid w:val="00C7107D"/>
    <w:rsid w:val="00C75489"/>
    <w:rsid w:val="00C760FD"/>
    <w:rsid w:val="00C765ED"/>
    <w:rsid w:val="00C77901"/>
    <w:rsid w:val="00C8017A"/>
    <w:rsid w:val="00C820DB"/>
    <w:rsid w:val="00C836C0"/>
    <w:rsid w:val="00C83715"/>
    <w:rsid w:val="00C8491F"/>
    <w:rsid w:val="00C856DD"/>
    <w:rsid w:val="00C919A4"/>
    <w:rsid w:val="00CA4392"/>
    <w:rsid w:val="00CA4679"/>
    <w:rsid w:val="00CB0EE2"/>
    <w:rsid w:val="00CB1726"/>
    <w:rsid w:val="00CB3189"/>
    <w:rsid w:val="00CB5E51"/>
    <w:rsid w:val="00CC393F"/>
    <w:rsid w:val="00CC3C87"/>
    <w:rsid w:val="00CC5B8E"/>
    <w:rsid w:val="00CD101F"/>
    <w:rsid w:val="00CD1C18"/>
    <w:rsid w:val="00CD4B6C"/>
    <w:rsid w:val="00CE0065"/>
    <w:rsid w:val="00CE44D8"/>
    <w:rsid w:val="00CF32BA"/>
    <w:rsid w:val="00CF6080"/>
    <w:rsid w:val="00D03E24"/>
    <w:rsid w:val="00D131AF"/>
    <w:rsid w:val="00D15AEC"/>
    <w:rsid w:val="00D17D8A"/>
    <w:rsid w:val="00D20181"/>
    <w:rsid w:val="00D2176E"/>
    <w:rsid w:val="00D317E2"/>
    <w:rsid w:val="00D3251E"/>
    <w:rsid w:val="00D326DC"/>
    <w:rsid w:val="00D33507"/>
    <w:rsid w:val="00D363B3"/>
    <w:rsid w:val="00D41568"/>
    <w:rsid w:val="00D41E39"/>
    <w:rsid w:val="00D45D0D"/>
    <w:rsid w:val="00D46DFE"/>
    <w:rsid w:val="00D47E1C"/>
    <w:rsid w:val="00D503D2"/>
    <w:rsid w:val="00D51BCC"/>
    <w:rsid w:val="00D53A04"/>
    <w:rsid w:val="00D53A33"/>
    <w:rsid w:val="00D53AF7"/>
    <w:rsid w:val="00D54EDD"/>
    <w:rsid w:val="00D632BE"/>
    <w:rsid w:val="00D643AF"/>
    <w:rsid w:val="00D65A5F"/>
    <w:rsid w:val="00D72D06"/>
    <w:rsid w:val="00D73231"/>
    <w:rsid w:val="00D7522C"/>
    <w:rsid w:val="00D7536F"/>
    <w:rsid w:val="00D76668"/>
    <w:rsid w:val="00D7716F"/>
    <w:rsid w:val="00D846A0"/>
    <w:rsid w:val="00D913E5"/>
    <w:rsid w:val="00D92B5D"/>
    <w:rsid w:val="00D95758"/>
    <w:rsid w:val="00DA3348"/>
    <w:rsid w:val="00DA5C82"/>
    <w:rsid w:val="00DB23C6"/>
    <w:rsid w:val="00DB3CB0"/>
    <w:rsid w:val="00DB5521"/>
    <w:rsid w:val="00DB5689"/>
    <w:rsid w:val="00DB6FB0"/>
    <w:rsid w:val="00DB7511"/>
    <w:rsid w:val="00DD3508"/>
    <w:rsid w:val="00DE7D13"/>
    <w:rsid w:val="00DF3C5D"/>
    <w:rsid w:val="00DF7265"/>
    <w:rsid w:val="00E0143E"/>
    <w:rsid w:val="00E07383"/>
    <w:rsid w:val="00E114EF"/>
    <w:rsid w:val="00E165BC"/>
    <w:rsid w:val="00E2573D"/>
    <w:rsid w:val="00E2672D"/>
    <w:rsid w:val="00E31708"/>
    <w:rsid w:val="00E33FD3"/>
    <w:rsid w:val="00E35A55"/>
    <w:rsid w:val="00E35C3D"/>
    <w:rsid w:val="00E50BCD"/>
    <w:rsid w:val="00E55942"/>
    <w:rsid w:val="00E61E12"/>
    <w:rsid w:val="00E61FF2"/>
    <w:rsid w:val="00E678AD"/>
    <w:rsid w:val="00E72CE8"/>
    <w:rsid w:val="00E74551"/>
    <w:rsid w:val="00E755DC"/>
    <w:rsid w:val="00E7596C"/>
    <w:rsid w:val="00E7713B"/>
    <w:rsid w:val="00E80664"/>
    <w:rsid w:val="00E85B55"/>
    <w:rsid w:val="00E87475"/>
    <w:rsid w:val="00E878F2"/>
    <w:rsid w:val="00E90ADF"/>
    <w:rsid w:val="00E94EDA"/>
    <w:rsid w:val="00EA01A7"/>
    <w:rsid w:val="00EA2170"/>
    <w:rsid w:val="00EB3723"/>
    <w:rsid w:val="00EC071E"/>
    <w:rsid w:val="00EC0777"/>
    <w:rsid w:val="00EC1E5F"/>
    <w:rsid w:val="00EC4E4E"/>
    <w:rsid w:val="00EC7793"/>
    <w:rsid w:val="00EC7D57"/>
    <w:rsid w:val="00ED0149"/>
    <w:rsid w:val="00ED12F3"/>
    <w:rsid w:val="00ED3977"/>
    <w:rsid w:val="00ED612E"/>
    <w:rsid w:val="00ED6451"/>
    <w:rsid w:val="00EE65D5"/>
    <w:rsid w:val="00EE6F46"/>
    <w:rsid w:val="00EF0030"/>
    <w:rsid w:val="00EF402E"/>
    <w:rsid w:val="00EF5346"/>
    <w:rsid w:val="00EF6761"/>
    <w:rsid w:val="00EF7DE3"/>
    <w:rsid w:val="00F02F58"/>
    <w:rsid w:val="00F03103"/>
    <w:rsid w:val="00F03139"/>
    <w:rsid w:val="00F15A04"/>
    <w:rsid w:val="00F2021A"/>
    <w:rsid w:val="00F20755"/>
    <w:rsid w:val="00F271DE"/>
    <w:rsid w:val="00F27EB0"/>
    <w:rsid w:val="00F27ED4"/>
    <w:rsid w:val="00F34826"/>
    <w:rsid w:val="00F4137D"/>
    <w:rsid w:val="00F42F69"/>
    <w:rsid w:val="00F43D68"/>
    <w:rsid w:val="00F454E4"/>
    <w:rsid w:val="00F46935"/>
    <w:rsid w:val="00F511D6"/>
    <w:rsid w:val="00F51462"/>
    <w:rsid w:val="00F52965"/>
    <w:rsid w:val="00F52E8B"/>
    <w:rsid w:val="00F54ABE"/>
    <w:rsid w:val="00F55719"/>
    <w:rsid w:val="00F56A1F"/>
    <w:rsid w:val="00F57AFB"/>
    <w:rsid w:val="00F627DA"/>
    <w:rsid w:val="00F632C2"/>
    <w:rsid w:val="00F65893"/>
    <w:rsid w:val="00F66D3D"/>
    <w:rsid w:val="00F674AD"/>
    <w:rsid w:val="00F7288F"/>
    <w:rsid w:val="00F73348"/>
    <w:rsid w:val="00F7736D"/>
    <w:rsid w:val="00F80759"/>
    <w:rsid w:val="00F80D9E"/>
    <w:rsid w:val="00F847A6"/>
    <w:rsid w:val="00F90AFA"/>
    <w:rsid w:val="00F9307F"/>
    <w:rsid w:val="00F9441B"/>
    <w:rsid w:val="00F97193"/>
    <w:rsid w:val="00FA2F18"/>
    <w:rsid w:val="00FA4249"/>
    <w:rsid w:val="00FA42B5"/>
    <w:rsid w:val="00FA48CC"/>
    <w:rsid w:val="00FA4C32"/>
    <w:rsid w:val="00FB0034"/>
    <w:rsid w:val="00FB0372"/>
    <w:rsid w:val="00FB076D"/>
    <w:rsid w:val="00FC08CF"/>
    <w:rsid w:val="00FC351E"/>
    <w:rsid w:val="00FC7E69"/>
    <w:rsid w:val="00FD2435"/>
    <w:rsid w:val="00FD6DBA"/>
    <w:rsid w:val="00FE35BF"/>
    <w:rsid w:val="00FE5981"/>
    <w:rsid w:val="00FE62A4"/>
    <w:rsid w:val="00FE7114"/>
    <w:rsid w:val="00FF3CC8"/>
    <w:rsid w:val="00FF6835"/>
    <w:rsid w:val="00FF7771"/>
    <w:rsid w:val="00FF7D0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06C4C5"/>
  <w15:docId w15:val="{C4613FD6-5B54-4ABA-861E-E59482531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rPr>
      <w:lang w:val="en-US" w:eastAsia="en-US"/>
    </w:rPr>
  </w:style>
  <w:style w:type="paragraph" w:styleId="Heading1">
    <w:name w:val="heading 1"/>
    <w:basedOn w:val="Normal"/>
    <w:next w:val="Normal"/>
    <w:qFormat/>
    <w:rsid w:val="006B6B66"/>
    <w:pPr>
      <w:keepNext/>
      <w:keepLines/>
      <w:numPr>
        <w:numId w:val="4"/>
      </w:numPr>
      <w:tabs>
        <w:tab w:val="left" w:pos="216"/>
      </w:tabs>
      <w:spacing w:before="160" w:after="80"/>
      <w:outlineLvl w:val="0"/>
    </w:pPr>
    <w:rPr>
      <w:smallCaps/>
      <w:noProof/>
    </w:rPr>
  </w:style>
  <w:style w:type="paragraph" w:styleId="Heading2">
    <w:name w:val="heading 2"/>
    <w:basedOn w:val="Normal"/>
    <w:next w:val="Normal"/>
    <w:qFormat/>
    <w:rsid w:val="00ED0149"/>
    <w:pPr>
      <w:keepNext/>
      <w:keepLines/>
      <w:numPr>
        <w:ilvl w:val="1"/>
        <w:numId w:val="4"/>
      </w:numPr>
      <w:spacing w:before="120" w:after="60"/>
      <w:jc w:val="left"/>
      <w:outlineLvl w:val="1"/>
    </w:pPr>
    <w:rPr>
      <w:i/>
      <w:iCs/>
      <w:noProof/>
    </w:rPr>
  </w:style>
  <w:style w:type="paragraph" w:styleId="Heading3">
    <w:name w:val="heading 3"/>
    <w:basedOn w:val="Normal"/>
    <w:next w:val="Normal"/>
    <w:qFormat/>
    <w:rsid w:val="00794804"/>
    <w:pPr>
      <w:numPr>
        <w:ilvl w:val="2"/>
        <w:numId w:val="4"/>
      </w:numPr>
      <w:spacing w:line="240" w:lineRule="exact"/>
      <w:ind w:firstLine="288"/>
      <w:jc w:val="both"/>
      <w:outlineLvl w:val="2"/>
    </w:pPr>
    <w:rPr>
      <w:i/>
      <w:iCs/>
      <w:noProof/>
    </w:rPr>
  </w:style>
  <w:style w:type="paragraph" w:styleId="Heading4">
    <w:name w:val="heading 4"/>
    <w:basedOn w:val="Normal"/>
    <w:next w:val="Normal"/>
    <w:qFormat/>
    <w:rsid w:val="00794804"/>
    <w:pPr>
      <w:numPr>
        <w:ilvl w:val="3"/>
        <w:numId w:val="4"/>
      </w:numPr>
      <w:tabs>
        <w:tab w:val="clear" w:pos="630"/>
        <w:tab w:val="left" w:pos="720"/>
      </w:tabs>
      <w:spacing w:before="40" w:after="40"/>
      <w:ind w:firstLine="504"/>
      <w:jc w:val="both"/>
      <w:outlineLvl w:val="3"/>
    </w:pPr>
    <w:rPr>
      <w:i/>
      <w:iCs/>
      <w:noProof/>
    </w:rPr>
  </w:style>
  <w:style w:type="paragraph" w:styleId="Heading5">
    <w:name w:val="heading 5"/>
    <w:basedOn w:val="Normal"/>
    <w:next w:val="Normal"/>
    <w:qFormat/>
    <w:pPr>
      <w:tabs>
        <w:tab w:val="left" w:pos="360"/>
      </w:tabs>
      <w:spacing w:before="160" w:after="80"/>
      <w:outlineLvl w:val="4"/>
    </w:pPr>
    <w:rPr>
      <w:smallCaps/>
      <w:noProo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rsid w:val="00972203"/>
    <w:pPr>
      <w:spacing w:after="200"/>
      <w:ind w:firstLine="272"/>
      <w:jc w:val="both"/>
    </w:pPr>
    <w:rPr>
      <w:b/>
      <w:bCs/>
      <w:sz w:val="18"/>
      <w:szCs w:val="18"/>
      <w:lang w:val="en-US" w:eastAsia="en-US"/>
    </w:rPr>
  </w:style>
  <w:style w:type="paragraph" w:customStyle="1" w:styleId="Affiliation">
    <w:name w:val="Affiliation"/>
    <w:pPr>
      <w:jc w:val="center"/>
    </w:pPr>
    <w:rPr>
      <w:lang w:val="en-US" w:eastAsia="en-US"/>
    </w:rPr>
  </w:style>
  <w:style w:type="paragraph" w:customStyle="1" w:styleId="Author">
    <w:name w:val="Author"/>
    <w:link w:val="Author0"/>
    <w:pPr>
      <w:spacing w:before="360" w:after="40"/>
      <w:jc w:val="center"/>
    </w:pPr>
    <w:rPr>
      <w:noProof/>
      <w:sz w:val="22"/>
      <w:szCs w:val="22"/>
      <w:lang w:val="en-US" w:eastAsia="en-US"/>
    </w:rPr>
  </w:style>
  <w:style w:type="paragraph" w:styleId="BodyText">
    <w:name w:val="Body Text"/>
    <w:basedOn w:val="Normal"/>
    <w:link w:val="BodyTextChar"/>
    <w:rsid w:val="00E7596C"/>
    <w:pPr>
      <w:tabs>
        <w:tab w:val="left" w:pos="288"/>
      </w:tabs>
      <w:spacing w:after="120" w:line="228" w:lineRule="auto"/>
      <w:ind w:firstLine="288"/>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648"/>
      </w:tabs>
      <w:ind w:left="576" w:hanging="288"/>
    </w:pPr>
  </w:style>
  <w:style w:type="paragraph" w:customStyle="1" w:styleId="equation">
    <w:name w:val="equation"/>
    <w:basedOn w:val="Normal"/>
    <w:rsid w:val="008A2C7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5B0344"/>
    <w:pPr>
      <w:numPr>
        <w:numId w:val="2"/>
      </w:numPr>
      <w:tabs>
        <w:tab w:val="left" w:pos="533"/>
      </w:tabs>
      <w:spacing w:before="80" w:after="200"/>
      <w:ind w:left="0" w:firstLine="0"/>
      <w:jc w:val="both"/>
    </w:pPr>
    <w:rPr>
      <w:noProof/>
      <w:sz w:val="16"/>
      <w:szCs w:val="16"/>
      <w:lang w:val="en-US" w:eastAsia="en-US"/>
    </w:rPr>
  </w:style>
  <w:style w:type="paragraph" w:customStyle="1" w:styleId="footnote">
    <w:name w:val="footnote"/>
    <w:pPr>
      <w:framePr w:hSpace="187" w:vSpace="187" w:wrap="notBeside" w:vAnchor="text" w:hAnchor="page" w:x="6121" w:y="577"/>
      <w:numPr>
        <w:numId w:val="3"/>
      </w:numPr>
      <w:spacing w:after="40"/>
    </w:pPr>
    <w:rPr>
      <w:sz w:val="16"/>
      <w:szCs w:val="16"/>
      <w:lang w:val="en-US" w:eastAsia="en-US"/>
    </w:rPr>
  </w:style>
  <w:style w:type="paragraph" w:customStyle="1" w:styleId="papersubtitle">
    <w:name w:val="paper subtitle"/>
    <w:pPr>
      <w:spacing w:after="120"/>
      <w:jc w:val="center"/>
    </w:pPr>
    <w:rPr>
      <w:rFonts w:eastAsia="MS Mincho"/>
      <w:noProof/>
      <w:sz w:val="28"/>
      <w:szCs w:val="28"/>
      <w:lang w:val="en-US" w:eastAsia="en-US"/>
    </w:rPr>
  </w:style>
  <w:style w:type="paragraph" w:customStyle="1" w:styleId="papertitle">
    <w:name w:val="paper title"/>
    <w:pPr>
      <w:spacing w:after="120"/>
      <w:jc w:val="center"/>
    </w:pPr>
    <w:rPr>
      <w:rFonts w:eastAsia="MS Mincho"/>
      <w:noProof/>
      <w:sz w:val="48"/>
      <w:szCs w:val="48"/>
      <w:lang w:val="en-US" w:eastAsia="en-US"/>
    </w:rPr>
  </w:style>
  <w:style w:type="paragraph" w:customStyle="1" w:styleId="references">
    <w:name w:val="references"/>
    <w:link w:val="references0"/>
    <w:pPr>
      <w:spacing w:after="50" w:line="180" w:lineRule="exact"/>
      <w:jc w:val="both"/>
    </w:pPr>
    <w:rPr>
      <w:rFonts w:eastAsia="MS Mincho"/>
      <w:noProof/>
      <w:sz w:val="16"/>
      <w:szCs w:val="16"/>
      <w:lang w:val="en-US" w:eastAsia="en-US"/>
    </w:rPr>
  </w:style>
  <w:style w:type="paragraph" w:customStyle="1" w:styleId="sponsors">
    <w:name w:val="sponsors"/>
    <w:pPr>
      <w:framePr w:wrap="auto" w:hAnchor="text" w:x="615" w:y="2239"/>
      <w:pBdr>
        <w:top w:val="single" w:sz="4" w:space="2" w:color="auto"/>
      </w:pBdr>
      <w:ind w:firstLine="288"/>
    </w:pPr>
    <w:rPr>
      <w:sz w:val="16"/>
      <w:szCs w:val="16"/>
      <w:lang w:val="en-US" w:eastAsia="en-US"/>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lang w:val="en-US" w:eastAsia="en-US"/>
    </w:rPr>
  </w:style>
  <w:style w:type="paragraph" w:customStyle="1" w:styleId="tablefootnote">
    <w:name w:val="table footnote"/>
    <w:rsid w:val="005E2800"/>
    <w:pPr>
      <w:numPr>
        <w:numId w:val="7"/>
      </w:numPr>
      <w:spacing w:before="60" w:after="30"/>
      <w:ind w:left="58" w:hanging="29"/>
      <w:jc w:val="right"/>
    </w:pPr>
    <w:rPr>
      <w:sz w:val="12"/>
      <w:szCs w:val="12"/>
      <w:lang w:val="en-US" w:eastAsia="en-US"/>
    </w:rPr>
  </w:style>
  <w:style w:type="paragraph" w:customStyle="1" w:styleId="tablehead">
    <w:name w:val="table head"/>
    <w:link w:val="tablehead0"/>
    <w:pPr>
      <w:numPr>
        <w:numId w:val="6"/>
      </w:numPr>
      <w:spacing w:before="240" w:after="120" w:line="216" w:lineRule="auto"/>
      <w:jc w:val="center"/>
    </w:pPr>
    <w:rPr>
      <w:smallCaps/>
      <w:noProof/>
      <w:sz w:val="16"/>
      <w:szCs w:val="16"/>
      <w:lang w:val="en-US" w:eastAsia="en-US"/>
    </w:rPr>
  </w:style>
  <w:style w:type="paragraph" w:customStyle="1" w:styleId="Keywords">
    <w:name w:val="Keywords"/>
    <w:basedOn w:val="Abstract"/>
    <w:qFormat/>
    <w:rsid w:val="00F9441B"/>
    <w:pPr>
      <w:spacing w:after="120"/>
      <w:ind w:firstLine="274"/>
    </w:pPr>
    <w:rPr>
      <w:i/>
    </w:rPr>
  </w:style>
  <w:style w:type="paragraph" w:styleId="Header">
    <w:name w:val="header"/>
    <w:basedOn w:val="Normal"/>
    <w:link w:val="HeaderChar"/>
    <w:rsid w:val="001A3B3D"/>
    <w:pPr>
      <w:tabs>
        <w:tab w:val="center" w:pos="4680"/>
        <w:tab w:val="right" w:pos="9360"/>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4680"/>
        <w:tab w:val="right" w:pos="9360"/>
      </w:tabs>
    </w:pPr>
  </w:style>
  <w:style w:type="character" w:customStyle="1" w:styleId="FooterChar">
    <w:name w:val="Footer Char"/>
    <w:basedOn w:val="DefaultParagraphFont"/>
    <w:link w:val="Footer"/>
    <w:rsid w:val="001A3B3D"/>
  </w:style>
  <w:style w:type="character" w:styleId="Hyperlink">
    <w:name w:val="Hyperlink"/>
    <w:qFormat/>
    <w:rsid w:val="00462DC2"/>
    <w:rPr>
      <w:color w:val="0000FF"/>
      <w:u w:val="single"/>
    </w:rPr>
  </w:style>
  <w:style w:type="table" w:styleId="TableGrid">
    <w:name w:val="Table Grid"/>
    <w:basedOn w:val="TableNormal"/>
    <w:uiPriority w:val="59"/>
    <w:rsid w:val="00616C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8888">
    <w:name w:val="88888"/>
    <w:basedOn w:val="Author"/>
    <w:link w:val="888880"/>
    <w:qFormat/>
    <w:rsid w:val="00616C13"/>
    <w:pPr>
      <w:spacing w:before="100" w:beforeAutospacing="1"/>
    </w:pPr>
    <w:rPr>
      <w:color w:val="FF0000"/>
      <w:sz w:val="18"/>
      <w:szCs w:val="18"/>
    </w:rPr>
  </w:style>
  <w:style w:type="paragraph" w:customStyle="1" w:styleId="99999">
    <w:name w:val="99999"/>
    <w:basedOn w:val="tablehead"/>
    <w:link w:val="999990"/>
    <w:qFormat/>
    <w:rsid w:val="00CD101F"/>
  </w:style>
  <w:style w:type="character" w:customStyle="1" w:styleId="Author0">
    <w:name w:val="Author Знак"/>
    <w:link w:val="Author"/>
    <w:rsid w:val="00616C13"/>
    <w:rPr>
      <w:noProof/>
      <w:sz w:val="22"/>
      <w:szCs w:val="22"/>
      <w:lang w:val="en-US" w:eastAsia="en-US"/>
    </w:rPr>
  </w:style>
  <w:style w:type="character" w:customStyle="1" w:styleId="888880">
    <w:name w:val="88888 Знак"/>
    <w:link w:val="88888"/>
    <w:rsid w:val="00616C13"/>
    <w:rPr>
      <w:noProof/>
      <w:color w:val="FF0000"/>
      <w:sz w:val="18"/>
      <w:szCs w:val="18"/>
      <w:lang w:val="en-US" w:eastAsia="en-US"/>
    </w:rPr>
  </w:style>
  <w:style w:type="character" w:customStyle="1" w:styleId="tablehead0">
    <w:name w:val="table head Знак"/>
    <w:link w:val="tablehead"/>
    <w:rsid w:val="00CD101F"/>
    <w:rPr>
      <w:smallCaps/>
      <w:noProof/>
      <w:sz w:val="16"/>
      <w:szCs w:val="16"/>
      <w:lang w:val="en-US" w:eastAsia="en-US"/>
    </w:rPr>
  </w:style>
  <w:style w:type="character" w:customStyle="1" w:styleId="999990">
    <w:name w:val="99999 Знак"/>
    <w:basedOn w:val="tablehead0"/>
    <w:link w:val="99999"/>
    <w:rsid w:val="00CD101F"/>
    <w:rPr>
      <w:smallCaps/>
      <w:noProof/>
      <w:sz w:val="16"/>
      <w:szCs w:val="16"/>
      <w:lang w:val="en-US" w:eastAsia="en-US"/>
    </w:rPr>
  </w:style>
  <w:style w:type="paragraph" w:styleId="BalloonText">
    <w:name w:val="Balloon Text"/>
    <w:basedOn w:val="Normal"/>
    <w:link w:val="BalloonTextChar"/>
    <w:rsid w:val="00C41F93"/>
    <w:rPr>
      <w:rFonts w:ascii="Tahoma" w:hAnsi="Tahoma" w:cs="Tahoma"/>
      <w:sz w:val="16"/>
      <w:szCs w:val="16"/>
    </w:rPr>
  </w:style>
  <w:style w:type="character" w:customStyle="1" w:styleId="BalloonTextChar">
    <w:name w:val="Balloon Text Char"/>
    <w:basedOn w:val="DefaultParagraphFont"/>
    <w:link w:val="BalloonText"/>
    <w:rsid w:val="00C41F93"/>
    <w:rPr>
      <w:rFonts w:ascii="Tahoma" w:hAnsi="Tahoma" w:cs="Tahoma"/>
      <w:sz w:val="16"/>
      <w:szCs w:val="16"/>
      <w:lang w:val="en-US" w:eastAsia="en-US"/>
    </w:rPr>
  </w:style>
  <w:style w:type="paragraph" w:customStyle="1" w:styleId="E7">
    <w:name w:val="СтильE7"/>
    <w:basedOn w:val="references"/>
    <w:link w:val="E70"/>
    <w:qFormat/>
    <w:rsid w:val="004B69C2"/>
    <w:rPr>
      <w:color w:val="FF0000"/>
    </w:rPr>
  </w:style>
  <w:style w:type="paragraph" w:customStyle="1" w:styleId="7E">
    <w:name w:val="Стиль7E"/>
    <w:basedOn w:val="E7"/>
    <w:link w:val="7E0"/>
    <w:qFormat/>
    <w:rsid w:val="004B69C2"/>
  </w:style>
  <w:style w:type="character" w:customStyle="1" w:styleId="references0">
    <w:name w:val="references Знак"/>
    <w:basedOn w:val="DefaultParagraphFont"/>
    <w:link w:val="references"/>
    <w:rsid w:val="004B69C2"/>
    <w:rPr>
      <w:rFonts w:eastAsia="MS Mincho"/>
      <w:noProof/>
      <w:sz w:val="16"/>
      <w:szCs w:val="16"/>
      <w:lang w:val="en-US" w:eastAsia="en-US"/>
    </w:rPr>
  </w:style>
  <w:style w:type="character" w:customStyle="1" w:styleId="E70">
    <w:name w:val="СтильE7 Знак"/>
    <w:basedOn w:val="references0"/>
    <w:link w:val="E7"/>
    <w:rsid w:val="004B69C2"/>
    <w:rPr>
      <w:rFonts w:eastAsia="MS Mincho"/>
      <w:noProof/>
      <w:color w:val="FF0000"/>
      <w:sz w:val="16"/>
      <w:szCs w:val="16"/>
      <w:lang w:val="en-US" w:eastAsia="en-US"/>
    </w:rPr>
  </w:style>
  <w:style w:type="paragraph" w:customStyle="1" w:styleId="777-777-777">
    <w:name w:val="777-777-777"/>
    <w:basedOn w:val="7E"/>
    <w:link w:val="777-777-7770"/>
    <w:qFormat/>
    <w:rsid w:val="004B69C2"/>
  </w:style>
  <w:style w:type="character" w:customStyle="1" w:styleId="7E0">
    <w:name w:val="Стиль7E Знак"/>
    <w:basedOn w:val="E70"/>
    <w:link w:val="7E"/>
    <w:rsid w:val="004B69C2"/>
    <w:rPr>
      <w:rFonts w:eastAsia="MS Mincho"/>
      <w:noProof/>
      <w:color w:val="FF0000"/>
      <w:sz w:val="16"/>
      <w:szCs w:val="16"/>
      <w:lang w:val="en-US" w:eastAsia="en-US"/>
    </w:rPr>
  </w:style>
  <w:style w:type="character" w:customStyle="1" w:styleId="anchor-text">
    <w:name w:val="anchor-text"/>
    <w:basedOn w:val="DefaultParagraphFont"/>
    <w:rsid w:val="0020322D"/>
  </w:style>
  <w:style w:type="character" w:customStyle="1" w:styleId="777-777-7770">
    <w:name w:val="777-777-777 Знак"/>
    <w:basedOn w:val="7E0"/>
    <w:link w:val="777-777-777"/>
    <w:rsid w:val="004B69C2"/>
    <w:rPr>
      <w:rFonts w:eastAsia="MS Mincho"/>
      <w:noProof/>
      <w:color w:val="FF0000"/>
      <w:sz w:val="16"/>
      <w:szCs w:val="16"/>
      <w:lang w:val="en-US" w:eastAsia="en-US"/>
    </w:rPr>
  </w:style>
  <w:style w:type="character" w:styleId="Emphasis">
    <w:name w:val="Emphasis"/>
    <w:basedOn w:val="DefaultParagraphFont"/>
    <w:uiPriority w:val="20"/>
    <w:qFormat/>
    <w:rsid w:val="00F42F69"/>
    <w:rPr>
      <w:i/>
      <w:iCs/>
    </w:rPr>
  </w:style>
  <w:style w:type="character" w:styleId="Strong">
    <w:name w:val="Strong"/>
    <w:basedOn w:val="DefaultParagraphFont"/>
    <w:uiPriority w:val="22"/>
    <w:qFormat/>
    <w:rsid w:val="00357EF5"/>
    <w:rPr>
      <w:b/>
      <w:bCs/>
    </w:rPr>
  </w:style>
  <w:style w:type="paragraph" w:customStyle="1" w:styleId="TT1">
    <w:name w:val="TT1"/>
    <w:basedOn w:val="BodyText"/>
    <w:link w:val="TT10"/>
    <w:qFormat/>
    <w:rsid w:val="006818DD"/>
    <w:pPr>
      <w:spacing w:after="0"/>
      <w:ind w:firstLine="0"/>
      <w:jc w:val="center"/>
    </w:pPr>
    <w:rPr>
      <w:color w:val="FF0000"/>
      <w:sz w:val="16"/>
      <w:szCs w:val="16"/>
      <w:lang w:val="en-US"/>
    </w:rPr>
  </w:style>
  <w:style w:type="character" w:customStyle="1" w:styleId="TT10">
    <w:name w:val="TT1 Знак"/>
    <w:basedOn w:val="BodyTextChar"/>
    <w:link w:val="TT1"/>
    <w:rsid w:val="006818DD"/>
    <w:rPr>
      <w:color w:val="FF0000"/>
      <w:spacing w:val="-1"/>
      <w:sz w:val="16"/>
      <w:szCs w:val="16"/>
      <w:lang w:val="en-US" w:eastAsia="x-none"/>
    </w:rPr>
  </w:style>
  <w:style w:type="paragraph" w:styleId="NormalWeb">
    <w:name w:val="Normal (Web)"/>
    <w:basedOn w:val="Normal"/>
    <w:uiPriority w:val="99"/>
    <w:unhideWhenUsed/>
    <w:rsid w:val="00876601"/>
    <w:pPr>
      <w:spacing w:before="100" w:beforeAutospacing="1" w:after="100" w:afterAutospacing="1"/>
      <w:jc w:val="left"/>
    </w:pPr>
    <w:rPr>
      <w:rFonts w:eastAsia="Times New Roman"/>
      <w:sz w:val="24"/>
      <w:szCs w:val="24"/>
    </w:rPr>
  </w:style>
  <w:style w:type="paragraph" w:customStyle="1" w:styleId="ds-markdown-paragraph">
    <w:name w:val="ds-markdown-paragraph"/>
    <w:basedOn w:val="Normal"/>
    <w:rsid w:val="00876601"/>
    <w:pPr>
      <w:spacing w:before="100" w:beforeAutospacing="1" w:after="100" w:afterAutospacing="1"/>
      <w:jc w:val="left"/>
    </w:pPr>
    <w:rPr>
      <w:rFonts w:eastAsia="Times New Roman"/>
      <w:sz w:val="24"/>
      <w:szCs w:val="24"/>
    </w:rPr>
  </w:style>
  <w:style w:type="paragraph" w:styleId="Caption">
    <w:name w:val="caption"/>
    <w:basedOn w:val="Normal"/>
    <w:next w:val="Normal"/>
    <w:unhideWhenUsed/>
    <w:qFormat/>
    <w:rsid w:val="00822603"/>
    <w:pPr>
      <w:spacing w:after="200"/>
    </w:pPr>
    <w:rPr>
      <w:i/>
      <w:iCs/>
      <w:color w:val="0E2841" w:themeColor="text2"/>
      <w:sz w:val="18"/>
      <w:szCs w:val="18"/>
    </w:rPr>
  </w:style>
  <w:style w:type="paragraph" w:styleId="ListParagraph">
    <w:name w:val="List Paragraph"/>
    <w:basedOn w:val="Normal"/>
    <w:uiPriority w:val="34"/>
    <w:qFormat/>
    <w:rsid w:val="00EE6F46"/>
    <w:pPr>
      <w:ind w:left="720"/>
      <w:contextualSpacing/>
    </w:pPr>
  </w:style>
  <w:style w:type="character" w:customStyle="1" w:styleId="mop">
    <w:name w:val="mop"/>
    <w:basedOn w:val="DefaultParagraphFont"/>
    <w:rsid w:val="009E2F7C"/>
  </w:style>
  <w:style w:type="character" w:customStyle="1" w:styleId="mord">
    <w:name w:val="mord"/>
    <w:basedOn w:val="DefaultParagraphFont"/>
    <w:rsid w:val="009E2F7C"/>
  </w:style>
  <w:style w:type="character" w:customStyle="1" w:styleId="vlist-s">
    <w:name w:val="vlist-s"/>
    <w:basedOn w:val="DefaultParagraphFont"/>
    <w:rsid w:val="009E2F7C"/>
  </w:style>
  <w:style w:type="character" w:customStyle="1" w:styleId="mopen">
    <w:name w:val="mopen"/>
    <w:basedOn w:val="DefaultParagraphFont"/>
    <w:rsid w:val="009E2F7C"/>
  </w:style>
  <w:style w:type="character" w:customStyle="1" w:styleId="mclose">
    <w:name w:val="mclose"/>
    <w:basedOn w:val="DefaultParagraphFont"/>
    <w:rsid w:val="009E2F7C"/>
  </w:style>
  <w:style w:type="character" w:customStyle="1" w:styleId="mpunct">
    <w:name w:val="mpunct"/>
    <w:basedOn w:val="DefaultParagraphFont"/>
    <w:rsid w:val="009E2F7C"/>
  </w:style>
  <w:style w:type="character" w:styleId="PlaceholderText">
    <w:name w:val="Placeholder Text"/>
    <w:basedOn w:val="DefaultParagraphFont"/>
    <w:uiPriority w:val="99"/>
    <w:semiHidden/>
    <w:rsid w:val="00EF5346"/>
    <w:rPr>
      <w:color w:val="808080"/>
    </w:rPr>
  </w:style>
  <w:style w:type="character" w:styleId="UnresolvedMention">
    <w:name w:val="Unresolved Mention"/>
    <w:basedOn w:val="DefaultParagraphFont"/>
    <w:uiPriority w:val="99"/>
    <w:semiHidden/>
    <w:unhideWhenUsed/>
    <w:rsid w:val="00B348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830853">
      <w:bodyDiv w:val="1"/>
      <w:marLeft w:val="0"/>
      <w:marRight w:val="0"/>
      <w:marTop w:val="0"/>
      <w:marBottom w:val="0"/>
      <w:divBdr>
        <w:top w:val="none" w:sz="0" w:space="0" w:color="auto"/>
        <w:left w:val="none" w:sz="0" w:space="0" w:color="auto"/>
        <w:bottom w:val="none" w:sz="0" w:space="0" w:color="auto"/>
        <w:right w:val="none" w:sz="0" w:space="0" w:color="auto"/>
      </w:divBdr>
    </w:div>
    <w:div w:id="287857837">
      <w:bodyDiv w:val="1"/>
      <w:marLeft w:val="0"/>
      <w:marRight w:val="0"/>
      <w:marTop w:val="0"/>
      <w:marBottom w:val="0"/>
      <w:divBdr>
        <w:top w:val="none" w:sz="0" w:space="0" w:color="auto"/>
        <w:left w:val="none" w:sz="0" w:space="0" w:color="auto"/>
        <w:bottom w:val="none" w:sz="0" w:space="0" w:color="auto"/>
        <w:right w:val="none" w:sz="0" w:space="0" w:color="auto"/>
      </w:divBdr>
    </w:div>
    <w:div w:id="651906359">
      <w:bodyDiv w:val="1"/>
      <w:marLeft w:val="0"/>
      <w:marRight w:val="0"/>
      <w:marTop w:val="0"/>
      <w:marBottom w:val="0"/>
      <w:divBdr>
        <w:top w:val="none" w:sz="0" w:space="0" w:color="auto"/>
        <w:left w:val="none" w:sz="0" w:space="0" w:color="auto"/>
        <w:bottom w:val="none" w:sz="0" w:space="0" w:color="auto"/>
        <w:right w:val="none" w:sz="0" w:space="0" w:color="auto"/>
      </w:divBdr>
    </w:div>
    <w:div w:id="1671329466">
      <w:bodyDiv w:val="1"/>
      <w:marLeft w:val="0"/>
      <w:marRight w:val="0"/>
      <w:marTop w:val="0"/>
      <w:marBottom w:val="0"/>
      <w:divBdr>
        <w:top w:val="none" w:sz="0" w:space="0" w:color="auto"/>
        <w:left w:val="none" w:sz="0" w:space="0" w:color="auto"/>
        <w:bottom w:val="none" w:sz="0" w:space="0" w:color="auto"/>
        <w:right w:val="none" w:sz="0" w:space="0" w:color="auto"/>
      </w:divBdr>
    </w:div>
    <w:div w:id="1709990817">
      <w:bodyDiv w:val="1"/>
      <w:marLeft w:val="0"/>
      <w:marRight w:val="0"/>
      <w:marTop w:val="0"/>
      <w:marBottom w:val="0"/>
      <w:divBdr>
        <w:top w:val="none" w:sz="0" w:space="0" w:color="auto"/>
        <w:left w:val="none" w:sz="0" w:space="0" w:color="auto"/>
        <w:bottom w:val="none" w:sz="0" w:space="0" w:color="auto"/>
        <w:right w:val="none" w:sz="0" w:space="0" w:color="auto"/>
      </w:divBdr>
    </w:div>
    <w:div w:id="1781365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msobeidat@hu.edu.jo" TargetMode="Externa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doi.org/10.1155/2021/66671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D860DB-5FA0-4DF7-9A22-06A06496D5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7</Pages>
  <Words>3773</Words>
  <Characters>24398</Characters>
  <Application>Microsoft Office Word</Application>
  <DocSecurity>0</DocSecurity>
  <Lines>203</Lines>
  <Paragraphs>56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Paper Title (use style: paper title)</vt:lpstr>
      <vt:lpstr>Paper Title (use style: paper title)</vt:lpstr>
    </vt:vector>
  </TitlesOfParts>
  <Company>IEEE</Company>
  <LinksUpToDate>false</LinksUpToDate>
  <CharactersWithSpaces>28115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Dr Jafar Ababneh</cp:lastModifiedBy>
  <cp:revision>7</cp:revision>
  <dcterms:created xsi:type="dcterms:W3CDTF">2026-06-12T16:33:00Z</dcterms:created>
  <dcterms:modified xsi:type="dcterms:W3CDTF">2026-06-20T07:17:00Z</dcterms:modified>
</cp:coreProperties>
</file>