
<file path=[Content_Types].xml><?xml version="1.0" encoding="utf-8"?>
<Types xmlns="http://schemas.openxmlformats.org/package/2006/content-types">
  <Default Extension="xml" ContentType="application/xml"/>
  <Default Extension="odttf" ContentType="application/vnd.openxmlformats-officedocument.obfuscatedFont"/>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xmlns:wp14="http://schemas.microsoft.com/office/word/2010/wordprocessingDrawing" xmlns:wpi="http://schemas.microsoft.com/office/word/2010/wordprocessingInk" xmlns:aink="http://schemas.microsoft.com/office/drawing/2016/ink">
  <w:body>
    <w:p w14:paraId="00000001">
      <w:pPr>
        <w:pStyle w:val="Heading1"/>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The Physics of Certainty: Navigating the Moral Nebula of Human Fabrication</w:t>
      </w:r>
    </w:p>
    <w:p w14:paraId="00000002">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b/>
          <w:bCs/>
          <w:sz w:val="24"/>
          <w:szCs w:val="24"/>
          <w:rtl w:val="off"/>
        </w:rPr>
        <w:t>Author:</w:t>
      </w:r>
      <w:r>
        <w:rPr>
          <w:rFonts w:ascii="Times New Roman" w:cs="Times New Roman" w:hAnsi="Times New Roman"/>
          <w:sz w:val="24"/>
          <w:szCs w:val="24"/>
          <w:rtl w:val="off"/>
        </w:rPr>
        <w:t xml:space="preserve"> Elena Salvaterra</w:t>
      </w:r>
    </w:p>
    <w:p w14:paraId="00000003">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b/>
          <w:bCs/>
          <w:sz w:val="24"/>
          <w:szCs w:val="24"/>
          <w:rtl w:val="off"/>
        </w:rPr>
        <w:t>Affiliation:</w:t>
      </w:r>
      <w:r>
        <w:rPr>
          <w:rFonts w:ascii="Times New Roman" w:cs="Times New Roman" w:hAnsi="Times New Roman"/>
          <w:sz w:val="24"/>
          <w:szCs w:val="24"/>
          <w:rtl w:val="off"/>
        </w:rPr>
        <w:t xml:space="preserve"> Independent Researcher, Milan, Italy</w:t>
      </w:r>
    </w:p>
    <w:p w14:paraId="00000004">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b/>
          <w:bCs/>
          <w:sz w:val="24"/>
          <w:szCs w:val="24"/>
          <w:rtl w:val="off"/>
        </w:rPr>
        <w:t>Contact:</w:t>
      </w:r>
      <w:r>
        <w:rPr>
          <w:rFonts w:ascii="Times New Roman" w:cs="Times New Roman" w:hAnsi="Times New Roman"/>
          <w:sz w:val="24"/>
          <w:szCs w:val="24"/>
          <w:rtl w:val="off"/>
        </w:rPr>
        <w:t xml:space="preserve"> [Author's Email]</w:t>
      </w:r>
    </w:p>
    <w:p w14:paraId="00000005">
      <w:pPr>
        <w:pStyle w:val="Heading3"/>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inline distT="0" distB="0" distL="0" distR="0">
                <wp:extent cx="0" cy="19050"/>
                <wp:effectExtent l="0" t="0" r="0" b="0"/>
                <wp:docPr id="4" name="Shape 1"/>
                <wp:cNvGraphicFramePr>
                  <a:graphicFrameLocks xmlns:a="http://schemas.openxmlformats.org/drawingml/2006/main"/>
                </wp:cNvGraphicFramePr>
                <a:graphic xmlns:a="http://schemas.openxmlformats.org/drawingml/2006/main">
                  <a:graphicData uri="http://schemas.microsoft.com/office/word/2010/wordprocessingShape">
                    <wps:wsp>
                      <wps:cNvPr id="1" name="Shape 1"/>
                      <wps:cNvSpPr/>
                      <wps:spPr>
                        <a:xfrm>
                          <a:off x="0" y="0"/>
                          <a:ext cx="0" cy="19050"/>
                        </a:xfrm>
                        <a:prstGeom prst="rect">
                          <a:avLst/>
                        </a:prstGeom>
                        <a:solidFill>
                          <a:srgbClr val="A0A0A0"/>
                        </a:solidFill>
                        <a:ln w="0">
                          <a:noFill/>
                        </a:ln>
                        <a:effectLst/>
                      </wps:spPr>
                      <wps:bodyPr anchor="t"/>
                    </wps:wsp>
                  </a:graphicData>
                </a:graphic>
              </wp:inline>
            </w:drawing>
          </mc:Choice>
          <mc:Fallback>
            <w:pict>
              <v:shape id="6BC87D13-B2C2-FCFC-463A1D52FC27" coordsize="21600,21600" style="width:0pt;height:1.5pt;margin-top:0pt;margin-left:0pt;mso-wrap-distance-left:0pt;mso-wrap-distance-right:0pt;mso-wrap-distance-top:0pt;mso-wrap-distance-bottom:0pt;mso-position-horizontal-relative:margin;mso-position-vertical-relative:margin;rotation:0.000000;z-index:0;" fillcolor="#a0a0a0" stroked="f" o:spt="1" path="m0,0 l0,21600 r21600,0 l21600,0 x e">
                <w10:wrap type="none" side="both"/>
                <v:fill type="solid" color="#a0a0a0" opacity="1.000000"/>
                <o:lock/>
              </v:shape>
            </w:pict>
          </mc:Fallback>
        </mc:AlternateContent>
      </w:r>
      <w:r>
        <w:rPr>
          <w:rFonts w:ascii="Times New Roman" w:cs="Times New Roman" w:hAnsi="Times New Roman"/>
          <w:sz w:val="24"/>
          <w:szCs w:val="24"/>
          <w:rtl w:val="off"/>
        </w:rPr>
        <w:t>Abstract</w:t>
      </w:r>
    </w:p>
    <w:p w14:paraId="00000006">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This study analyzes the ethical and regulatory issues surrounding three-dimensional (3D) bioprinting and the production of bioartificial organs, situated at the intersection of engineering, biological medical physics, and transplant surgery. To anchor bioethical theory within empirical reality, a qualitative pilot study involving 19 stakeholders (transplant candidates and tissue donors) was conducted in December 2025 at the Cà Foncello Hospital (Treviso, Italy). Thematic analysis revealed a critical “Knowledge vs. Unconditional Trust Paradox,” characterized by low technical literacy regarding stem cell manipulation juxtaposed with absolute therapeutic reliance on bio-fabrication. This discrepancy necessitates a rigorous framework for the ethical principle of “responsible innovation,” highlighting the need to resolve the biological uncertainty surrounding long-term graft maturation. This study proposes utilizing the criteria proper to medical physics to mitigate current biomedical uncertainty regarding bioartificial organ transplantation. Faced with an international regulatory landscape largely defined by uncertainty—due to the absence of ad hoc or harmonized regulations on bioartificial organ transplants—this paper proposes a philosophical framework rooted in Millian sovereignty to navigate the current moral nebula, drawing upon the elements of certainty that physics appears to provide. This construct, centered on the Millian principle of sovereignty, is operationalized through “Elastic Consent”—a dynamic architecture that replaces static risk assessment with iterative verification, real-time physical monitoring, and comprehensive lifecycle tracking.</w:t>
      </w:r>
    </w:p>
    <w:p w14:paraId="00000007">
      <w:pPr>
        <w:pStyle w:val="Heading2"/>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inline distT="0" distB="0" distL="0" distR="0">
                <wp:extent cx="0" cy="19050"/>
                <wp:effectExtent l="0" t="0" r="0" b="0"/>
                <wp:docPr id="5" name="Shape 2"/>
                <wp:cNvGraphicFramePr>
                  <a:graphicFrameLocks xmlns:a="http://schemas.openxmlformats.org/drawingml/2006/main"/>
                </wp:cNvGraphicFramePr>
                <a:graphic xmlns:a="http://schemas.openxmlformats.org/drawingml/2006/main">
                  <a:graphicData uri="http://schemas.microsoft.com/office/word/2010/wordprocessingShape">
                    <wps:wsp>
                      <wps:cNvPr id="2" name="Shape 2"/>
                      <wps:cNvSpPr/>
                      <wps:spPr>
                        <a:xfrm>
                          <a:off x="0" y="0"/>
                          <a:ext cx="0" cy="19050"/>
                        </a:xfrm>
                        <a:prstGeom prst="rect">
                          <a:avLst/>
                        </a:prstGeom>
                        <a:solidFill>
                          <a:srgbClr val="A0A0A0"/>
                        </a:solidFill>
                        <a:ln w="0">
                          <a:noFill/>
                        </a:ln>
                        <a:effectLst/>
                      </wps:spPr>
                      <wps:bodyPr anchor="t"/>
                    </wps:wsp>
                  </a:graphicData>
                </a:graphic>
              </wp:inline>
            </w:drawing>
          </mc:Choice>
          <mc:Fallback>
            <w:pict>
              <v:shape id="D513C088-A993-CBF3-7710064FCA04" coordsize="21600,21600" style="width:0pt;height:1.5pt;margin-top:0pt;margin-left:0pt;mso-wrap-distance-left:0pt;mso-wrap-distance-right:0pt;mso-wrap-distance-top:0pt;mso-wrap-distance-bottom:0pt;mso-position-horizontal-relative:margin;mso-position-vertical-relative:margin;rotation:0.000000;z-index:0;" fillcolor="#a0a0a0" stroked="f" o:spt="1" path="m0,0 l0,21600 r21600,0 l21600,0 x e">
                <w10:wrap type="none" side="both"/>
                <v:fill type="solid" color="#a0a0a0" opacity="1.000000"/>
                <o:lock/>
              </v:shape>
            </w:pict>
          </mc:Fallback>
        </mc:AlternateContent>
      </w:r>
      <w:r>
        <w:rPr>
          <w:rFonts w:ascii="Times New Roman" w:cs="Times New Roman" w:hAnsi="Times New Roman"/>
          <w:sz w:val="24"/>
          <w:szCs w:val="24"/>
          <w:rtl w:val="off"/>
        </w:rPr>
        <w:t>1. Introduction</w:t>
      </w:r>
    </w:p>
    <w:p w14:paraId="00000008">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For decades, clinical medicine and surgery have relied on the implantation of inert synthetic devices manufactured from medical-grade plastics, titanium, or non-reactive metals to stabilize or replace compromised anatomical structures. Although functional, these traditional interventions were inherently limited by long-term material degradation, tissue misalignment, biological rejection, and the implant's inability to grow or remodel alongside the host organism. Today, a profound biotechnological paradigm shift is occurring, intersecting tissue engineering, 3D bioprinting, physics, and regenerative surgery.</w:t>
      </w:r>
    </w:p>
    <w:p w14:paraId="00000009">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Three-dimensional (3D) bioprinting has transitioned human bio-fabrication from laboratory experimentation to concrete clinical applications. This technological shift is recognized as a major driver of the Fourth Industrial Revolution within healthcare. However, by converting the human body into a digital file capable of being modified, stored, duplicated, and printed, bio-fabrication disrupts the historical boundary separating organic biology from engineered machinery. Consequently, this technology imposes both a practical and philosophical crisis across two primary analytical dimensions:</w:t>
      </w:r>
    </w:p>
    <w:p w14:paraId="0000000A">
      <w:pPr>
        <w:numPr>
          <w:ilvl w:val="0"/>
          <w:numId w:val="1"/>
        </w:numPr>
        <w:pBdr>
          <w:top w:val="nil" w:sz="4" w:space="0"/>
          <w:left w:val="nil" w:sz="4" w:space="0"/>
          <w:bottom w:val="nil" w:sz="4" w:space="0"/>
          <w:right w:val="nil" w:sz="4" w:space="0"/>
          <w:between w:val="nil" w:sz="4" w:space="0"/>
        </w:pBdr>
        <w:shd w:val="clear" w:fill="auto"/>
        <w:spacing w:line="480"/>
        <w:ind w:left="600" w:hanging="360"/>
        <w:rPr>
          <w:rFonts w:ascii="Times New Roman" w:cs="Times New Roman" w:hAnsi="Times New Roman"/>
          <w:sz w:val="24"/>
          <w:szCs w:val="24"/>
        </w:rPr>
      </w:pPr>
      <w:r>
        <w:rPr>
          <w:rFonts w:ascii="Times New Roman" w:cs="Times New Roman" w:hAnsi="Times New Roman"/>
          <w:sz w:val="24"/>
          <w:szCs w:val="24"/>
          <w:rtl w:val="off"/>
        </w:rPr>
        <w:t>At a theoretical level, it demands a rethinking of human ontology, raising questions regarding technological rejuvenation, the digitalization of the body, and the pursuit of a biologically modified longevity.</w:t>
      </w:r>
    </w:p>
    <w:p w14:paraId="0000000B">
      <w:pPr>
        <w:numPr>
          <w:ilvl w:val="0"/>
          <w:numId w:val="1"/>
        </w:numPr>
        <w:pBdr>
          <w:top w:val="nil" w:sz="4" w:space="0"/>
          <w:left w:val="nil" w:sz="4" w:space="0"/>
          <w:bottom w:val="nil" w:sz="4" w:space="0"/>
          <w:right w:val="nil" w:sz="4" w:space="0"/>
          <w:between w:val="nil" w:sz="4" w:space="0"/>
        </w:pBdr>
        <w:shd w:val="clear" w:fill="auto"/>
        <w:spacing w:line="480"/>
        <w:ind w:left="600" w:hanging="360"/>
        <w:rPr>
          <w:rFonts w:ascii="Times New Roman" w:cs="Times New Roman" w:hAnsi="Times New Roman"/>
          <w:sz w:val="24"/>
          <w:szCs w:val="24"/>
        </w:rPr>
      </w:pPr>
      <w:r>
        <w:rPr>
          <w:rFonts w:ascii="Times New Roman" w:cs="Times New Roman" w:hAnsi="Times New Roman"/>
          <w:sz w:val="24"/>
          <w:szCs w:val="24"/>
          <w:rtl w:val="off"/>
        </w:rPr>
        <w:t>At a practical level, it challenges existing protocols, disputing established norms governing stem cell procurement, biometric data privacy, and classical models of informed consent.</w:t>
      </w:r>
    </w:p>
    <w:p w14:paraId="0000000C">
      <w:pPr>
        <w:pStyle w:val="Heading2"/>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2. What Stakeholders Say: Knowledge vs. Unconditional Trust</w:t>
      </w:r>
    </w:p>
    <w:p w14:paraId="0000000D">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In December 2025, to investigate the field-level knowledge and perspectives of patients and donors regarding bioprinting and bioartificial organ transplantation, a study was conducted at the Cà Foncello Hospital in Treviso (Italy), in collaboration with the national volunteer association Adoces ODV. The study employed a qualitative methodology consisting of a semi-structured written questionnaire administered over six controlled sessions to a purposive sample of nineteen (n = 19) participants. Operations were conducted in full compliance with national regulatory frameworks governing data protection and medical research ethics.</w:t>
      </w:r>
    </w:p>
    <w:p w14:paraId="0000000E">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The thematic analysis of the resulting empirical datasets revealed an acute socio-ethical tension, categorized here as the Knowledge vs. Unconditional Trust Paradox, which is defined by two inverse metrics:</w:t>
      </w:r>
    </w:p>
    <w:p w14:paraId="0000000F">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First, a diminished technical literacy was observed, as the majority of potential recipients and donors demonstrated minimal to non-existent understanding of the underlying mechanisms of 3D bioprinting and stem cell manipulation. Participants explicitly acknowledged this knowledge deficit, indicating a systemic demand for transparent, accessible, and balanced technical information.</w:t>
      </w:r>
    </w:p>
    <w:p w14:paraId="00000010">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Second, an unconditional therapeutic reliance emerged, since the observed deficit in technical understanding did not diminish participants' enthusiasm. Instead, it coexisted with an absolute reliance on medical progress. Bioprinting was universally classified as a revolutionary intervention capable of permanently mitigating the chronic socio-medical crisis of biological organ scarcity.</w:t>
      </w:r>
    </w:p>
    <w:p w14:paraId="00000011">
      <w:pPr>
        <w:pBdr>
          <w:top w:val="nil" w:sz="4" w:space="0"/>
          <w:left w:val="nil" w:sz="4" w:space="0"/>
          <w:bottom w:val="nil" w:sz="4" w:space="0"/>
          <w:right w:val="nil" w:sz="4" w:space="0"/>
          <w:between w:val="nil" w:sz="4" w:space="0"/>
        </w:pBdr>
        <w:shd w:val="clear" w:fill="auto"/>
        <w:spacing w:after="225" w:line="480"/>
        <w:rPr>
          <w:rFonts w:ascii="Times New Roman" w:cs="Times New Roman" w:hAnsi="Times New Roman"/>
          <w:sz w:val="24"/>
          <w:szCs w:val="24"/>
        </w:rPr>
      </w:pPr>
      <w:r>
        <w:rPr>
          <w:rFonts w:ascii="Times New Roman" w:cs="Times New Roman" w:hAnsi="Times New Roman"/>
          <w:sz w:val="24"/>
          <w:szCs w:val="24"/>
          <w:rtl w:val="off"/>
        </w:rPr>
        <w:t>When clinical understanding is low but therapeutic anticipation is absolute, patients become highly susceptible to media hyperbole and exaggerated commercial promises. Consequently, a systematic institutional response grounded in the responsibility of innovation is required. This manifests as a duty for scientists, clinical trialists, and researchers to actively deconstruct unverified journalistic narratives, transparently disclose the absence of immediate personal therapeutic benefits during clinical trials, and prevent vulnerable patients from granting an uninformed consent driven by clinical vulnerability.</w:t>
      </w:r>
    </w:p>
    <w:p w14:paraId="00000012">
      <w:pPr>
        <w:pStyle w:val="Heading2"/>
        <w:pBdr>
          <w:top w:val="nil" w:sz="4" w:space="0"/>
          <w:left w:val="nil" w:sz="4" w:space="0"/>
          <w:bottom w:val="nil" w:sz="4" w:space="0"/>
          <w:right w:val="nil" w:sz="4" w:space="0"/>
          <w:between w:val="nil" w:sz="4" w:space="0"/>
        </w:pBdr>
        <w:shd w:val="clear" w:fill="auto"/>
        <w:spacing w:before="0" w:line="480"/>
        <w:rPr>
          <w:rFonts w:ascii="Times New Roman" w:cs="Times New Roman" w:hAnsi="Times New Roman"/>
          <w:sz w:val="24"/>
          <w:szCs w:val="24"/>
        </w:rPr>
      </w:pPr>
      <w:r>
        <w:rPr>
          <w:rFonts w:ascii="Times New Roman" w:cs="Times New Roman" w:hAnsi="Times New Roman"/>
          <w:sz w:val="24"/>
          <w:szCs w:val="24"/>
          <w:rtl w:val="off"/>
        </w:rPr>
        <w:t>3. Resolving Biological Uncertainty: Physics as a Predictive Bridge</w:t>
      </w:r>
    </w:p>
    <w:p w14:paraId="00000013">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Presently, biological science cannot fully predict how a bioartificial organ will mature, interact with the host’s immune system, or undergo long-term functional decay. While molecular biology frequently stalls before the staggering complexity of cellular signaling and unknown genetic expressions within printed tissues, applied medical physics can provide a critical quantitative bridge to overcome this medical uncertainty.</w:t>
      </w:r>
    </w:p>
    <w:p w14:paraId="00000014">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By treating the bioartificial organ not merely as a collection of living entities about which there is limited certainty, but as a complex physical system governed by thermodynamic, mechanical, and electromagnetic laws, medical physics can translate biological blind spots into measurable and predictable data across three fundamental dimensions:</w:t>
      </w:r>
    </w:p>
    <w:p w14:paraId="00000015">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First, physics allows for the precise modeling of fluid dynamics. By applying non-Newtonian fluid mechanics, biophysicists can map the exact stress tensors acting on cell membranes. Predicting these physical thresholds prevents cellular damage or programmed cell death due to mechanical fatigue prior to transplantation.</w:t>
      </w:r>
    </w:p>
    <w:p w14:paraId="00000016">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Second, medical physics can resolve one of the primary causes of sudden bioartificial organ implant failure: the lack of internal vascularization, which leads to tissue death. Utilizing non-equilibrium thermodynamics, physicists can simulate the exact diffusion rates of oxygen, glucose, and metabolic waste products through hydrogels of varying porosity. Through mass transport equations, physics provides the precise spatial architecture that microvascular networks must possess to sustain life, effectively eliminating biological guesswork regarding organ survival.</w:t>
      </w:r>
    </w:p>
    <w:p w14:paraId="00000017">
      <w:pPr>
        <w:pBdr>
          <w:top w:val="nil" w:sz="4" w:space="0"/>
          <w:left w:val="nil" w:sz="4" w:space="0"/>
          <w:bottom w:val="nil" w:sz="4" w:space="0"/>
          <w:right w:val="nil" w:sz="4" w:space="0"/>
          <w:between w:val="nil" w:sz="4" w:space="0"/>
        </w:pBdr>
        <w:shd w:val="clear" w:fill="auto"/>
        <w:spacing w:after="225" w:line="480"/>
        <w:rPr>
          <w:rFonts w:ascii="Times New Roman" w:cs="Times New Roman" w:hAnsi="Times New Roman"/>
          <w:sz w:val="24"/>
          <w:szCs w:val="24"/>
        </w:rPr>
      </w:pPr>
      <w:r>
        <w:rPr>
          <w:rFonts w:ascii="Times New Roman" w:cs="Times New Roman" w:hAnsi="Times New Roman"/>
          <w:sz w:val="24"/>
          <w:szCs w:val="24"/>
          <w:rtl w:val="off"/>
        </w:rPr>
        <w:t>Finally, the physics of electromagnetic waves enables real-time, non-destructive monitoring of the tissue matrix, providing precise clinical utility. The ensemble of physical laws applied to bioartificial organs before and after transplantation yields accurate data that compensates for current biomedical uncertainties. Ultimately, this establishes an information framework that fosters a patient's well-informed and, therefore, autonomous choice.</w:t>
      </w:r>
    </w:p>
    <w:p w14:paraId="00000018">
      <w:pPr>
        <w:pStyle w:val="Heading2"/>
        <w:pBdr>
          <w:top w:val="nil" w:sz="4" w:space="0"/>
          <w:left w:val="nil" w:sz="4" w:space="0"/>
          <w:bottom w:val="nil" w:sz="4" w:space="0"/>
          <w:right w:val="nil" w:sz="4" w:space="0"/>
          <w:between w:val="nil" w:sz="4" w:space="0"/>
        </w:pBdr>
        <w:shd w:val="clear" w:fill="auto"/>
        <w:spacing w:before="0" w:line="480"/>
        <w:rPr>
          <w:rFonts w:ascii="Times New Roman" w:cs="Times New Roman" w:hAnsi="Times New Roman"/>
          <w:sz w:val="24"/>
          <w:szCs w:val="24"/>
        </w:rPr>
      </w:pPr>
      <w:r>
        <w:rPr>
          <w:rFonts w:ascii="Times New Roman" w:cs="Times New Roman" w:hAnsi="Times New Roman"/>
          <w:sz w:val="24"/>
          <w:szCs w:val="24"/>
          <w:rtl w:val="off"/>
        </w:rPr>
        <w:t>4. Regulatory Fragmentation and the Construct of the "Moral Nebula"</w:t>
      </w:r>
    </w:p>
    <w:p w14:paraId="00000019">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While the structural complexity of bioartificial innovations accelerates—manifested by implantable automated bioreactors, such as the bioartificial kidney designed to integrate directly into the host's circulatory system—the international legal landscape remains fragmented and reactive. To interpret this systemic failure of law to keep pace with scientific progress, Robert Baker’s philosophical theory of Morally Disruptive Technologies (MDT) is applied. Baker posits that certain technological innovations do not simply require updated rules, but drastically invalidate pre-existing moral maps and traditional legal categories used by society to establish order.</w:t>
      </w:r>
    </w:p>
    <w:p w14:paraId="0000001A">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Because a bioartificial organ occupies a hybrid space—comprising living human or animal cell lines embedded within digitalized, mechanically driven matrix structures—it systematically challenges the binary classifications deeply rooted in the global ethical and legal landscape. This creates a moral nebula, characterized by fragmented ethical and regulatory approaches across different global frameworks:</w:t>
      </w:r>
    </w:p>
    <w:p w14:paraId="0000001B">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Within the European Union, the landscape is governed primarily by the European Medicines Agency (EMA), the EU Medical Devices Regulation 2017/745 (MDR), and EC Regulation 1394/2007. This framework operates under a dual-classification system where bio-fabricated constructs are treated simultaneously as Advanced Therapy Medicinal Products (ATMPs) and High-Risk Medical Devices. Current political focus centers on the proposed European Biotech Act to manage biological safety.</w:t>
      </w:r>
    </w:p>
    <w:p w14:paraId="0000001C">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In the United States, supervision is managed by the Food and Drug Administration (FDA) through pathways coordinated across multiple bodies, including the Office of Combination Products (OCP), the Center for Devices and Radiological Health (CDRH), the Center for Biologics Evaluation and Research (CBER), and the Center for Drug Evaluation and Research (CDER). This multicenter approach divides jurisdiction based on the primary mode of action, which frequently causes significant translational and administrative delays.</w:t>
      </w:r>
    </w:p>
    <w:p w14:paraId="0000001D">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In contrast, the regulatory approach in the United Arab Emirates is handled directly through federal legislative frameworks. The UAE enacted a dedicated Federal Decree-Law in January 2026, establishing a specialized national legal infrastructure designed specifically to regulate therapeutic deployment, rigorous lifecycle tracking, and clinical transplantation of bioartificial constructs.</w:t>
      </w:r>
    </w:p>
    <w:p w14:paraId="0000001E">
      <w:pPr>
        <w:pBdr>
          <w:top w:val="nil" w:sz="4" w:space="0"/>
          <w:left w:val="nil" w:sz="4" w:space="0"/>
          <w:bottom w:val="nil" w:sz="4" w:space="0"/>
          <w:right w:val="nil" w:sz="4" w:space="0"/>
          <w:between w:val="nil" w:sz="4" w:space="0"/>
        </w:pBdr>
        <w:shd w:val="clear" w:fill="auto"/>
        <w:spacing w:after="225" w:line="480"/>
        <w:rPr>
          <w:rFonts w:ascii="Times New Roman" w:cs="Times New Roman" w:hAnsi="Times New Roman"/>
          <w:sz w:val="24"/>
          <w:szCs w:val="24"/>
        </w:rPr>
      </w:pPr>
      <w:r>
        <w:rPr>
          <w:rFonts w:ascii="Times New Roman" w:cs="Times New Roman" w:hAnsi="Times New Roman"/>
          <w:sz w:val="24"/>
          <w:szCs w:val="24"/>
          <w:rtl w:val="off"/>
        </w:rPr>
        <w:t>At a supranational ethical level, foundational documents such as the Council of Europe’s Oviedo Convention (1997) and the World Medical Association’s Declaration of Helsinki (2024) establish fundamental protections against human commodification and exploitation. However, these instruments are structurally unprepared to handle the granular complexities of bio-fabricated materials, such as intellectual property rights over modified human cells, digital ownership of the body, and multiphase commercial supply chains.</w:t>
      </w:r>
    </w:p>
    <w:p w14:paraId="0000001F">
      <w:pPr>
        <w:pStyle w:val="Heading2"/>
        <w:pBdr>
          <w:top w:val="nil" w:sz="4" w:space="0"/>
          <w:left w:val="nil" w:sz="4" w:space="0"/>
          <w:bottom w:val="nil" w:sz="4" w:space="0"/>
          <w:right w:val="nil" w:sz="4" w:space="0"/>
          <w:between w:val="nil" w:sz="4" w:space="0"/>
        </w:pBdr>
        <w:shd w:val="clear" w:fill="auto"/>
        <w:spacing w:before="0" w:after="240" w:line="480"/>
        <w:rPr>
          <w:rFonts w:ascii="Times New Roman" w:cs="Times New Roman" w:hAnsi="Times New Roman"/>
          <w:sz w:val="24"/>
          <w:szCs w:val="24"/>
        </w:rPr>
      </w:pPr>
      <w:r>
        <w:rPr>
          <w:rFonts w:ascii="Times New Roman" w:cs="Times New Roman" w:hAnsi="Times New Roman"/>
          <w:sz w:val="24"/>
          <w:szCs w:val="24"/>
          <w:rtl w:val="off"/>
        </w:rPr>
        <w:t>5. Discussion</w:t>
      </w:r>
    </w:p>
    <w:p w14:paraId="00000020">
      <w:pPr>
        <w:pStyle w:val="Heading3"/>
        <w:pBdr>
          <w:top w:val="nil" w:sz="4" w:space="0"/>
          <w:left w:val="nil" w:sz="4" w:space="0"/>
          <w:bottom w:val="nil" w:sz="4" w:space="0"/>
          <w:right w:val="nil" w:sz="4" w:space="0"/>
          <w:between w:val="nil" w:sz="4" w:space="0"/>
        </w:pBdr>
        <w:shd w:val="clear" w:fill="auto"/>
        <w:spacing w:before="0" w:line="480"/>
        <w:rPr>
          <w:rFonts w:ascii="Times New Roman" w:cs="Times New Roman" w:hAnsi="Times New Roman"/>
          <w:sz w:val="24"/>
          <w:szCs w:val="24"/>
        </w:rPr>
      </w:pPr>
      <w:r>
        <w:rPr>
          <w:rFonts w:ascii="Times New Roman" w:cs="Times New Roman" w:hAnsi="Times New Roman"/>
          <w:sz w:val="24"/>
          <w:szCs w:val="24"/>
          <w:rtl w:val="off"/>
        </w:rPr>
        <w:t>5.1. Millian Sovereignty and the "Knowledge of One's Ignorance"</w:t>
      </w:r>
    </w:p>
    <w:p w14:paraId="00000021">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To navigate this moral and regulatory nebula without stifling technological and scientific progress, bioethics can revise the principle of patient autonomy by relying simultaneously on philosophical and physical criteria. This study proposes grounding the ethics of bioartificial transplantation in John Stuart Mill’s principle of individual liberty. Mill asserted that over himself, over his own body and mind, the individual is sovereign. Transposed into the field of experimental regenerative surgery, this principle establishes that a patient possesses the liberty to engage in voluntary “experiments of living”—including receiving highly experimental and clinically unproven bioartificial organs—provided they are competent and free from coercion.</w:t>
      </w:r>
    </w:p>
    <w:p w14:paraId="00000022">
      <w:pPr>
        <w:pBdr>
          <w:top w:val="nil" w:sz="4" w:space="0"/>
          <w:left w:val="nil" w:sz="4" w:space="0"/>
          <w:bottom w:val="nil" w:sz="4" w:space="0"/>
          <w:right w:val="nil" w:sz="4" w:space="0"/>
          <w:between w:val="nil" w:sz="4" w:space="0"/>
        </w:pBdr>
        <w:shd w:val="clear" w:fill="auto"/>
        <w:spacing w:after="240" w:line="480"/>
        <w:rPr>
          <w:rFonts w:ascii="Times New Roman" w:cs="Times New Roman" w:hAnsi="Times New Roman"/>
          <w:sz w:val="24"/>
          <w:szCs w:val="24"/>
        </w:rPr>
      </w:pPr>
      <w:r>
        <w:rPr>
          <w:rFonts w:ascii="Times New Roman" w:cs="Times New Roman" w:hAnsi="Times New Roman"/>
          <w:sz w:val="24"/>
          <w:szCs w:val="24"/>
          <w:rtl w:val="off"/>
        </w:rPr>
        <w:t>Given the conditions of extreme medical uncertainty described above, for the theoretical principle of Millian sovereignty to be realized, the patient must possess a clear and formally verified knowledge of their own ignorance. Here, the role of medical physics becomes central to supporting the exercise of an authentically sovereign autonomy. Clinicians can use the deterministic metrics employed by physics to define the exact boundaries of what is scientifically known versus what remains purely speculative. In this way, the patient is not presented with an information trajectory based largely on ambiguity, but rather a clear map of the implant's structural and thermodynamic risks.</w:t>
      </w:r>
    </w:p>
    <w:p w14:paraId="00000023">
      <w:pPr>
        <w:pStyle w:val="Heading3"/>
        <w:pBdr>
          <w:top w:val="nil" w:sz="4" w:space="0"/>
          <w:left w:val="nil" w:sz="4" w:space="0"/>
          <w:bottom w:val="nil" w:sz="4" w:space="0"/>
          <w:right w:val="nil" w:sz="4" w:space="0"/>
          <w:between w:val="nil" w:sz="4" w:space="0"/>
        </w:pBdr>
        <w:shd w:val="clear" w:fill="auto"/>
        <w:spacing w:before="0" w:line="480"/>
        <w:rPr>
          <w:rFonts w:ascii="Times New Roman" w:cs="Times New Roman" w:hAnsi="Times New Roman"/>
          <w:sz w:val="24"/>
          <w:szCs w:val="24"/>
        </w:rPr>
      </w:pPr>
      <w:r>
        <w:rPr>
          <w:rFonts w:ascii="Times New Roman" w:cs="Times New Roman" w:hAnsi="Times New Roman"/>
          <w:sz w:val="24"/>
          <w:szCs w:val="24"/>
          <w:rtl w:val="off"/>
        </w:rPr>
        <w:t>5.2. The Harm Principle and Biosecurity Boundaries</w:t>
      </w:r>
    </w:p>
    <w:p w14:paraId="00000024">
      <w:pPr>
        <w:pBdr>
          <w:top w:val="nil" w:sz="4" w:space="0"/>
          <w:left w:val="nil" w:sz="4" w:space="0"/>
          <w:bottom w:val="nil" w:sz="4" w:space="0"/>
          <w:right w:val="nil" w:sz="4" w:space="0"/>
          <w:between w:val="nil" w:sz="4" w:space="0"/>
        </w:pBdr>
        <w:shd w:val="clear" w:fill="auto"/>
        <w:spacing w:after="240" w:line="480"/>
        <w:rPr>
          <w:rFonts w:ascii="Times New Roman" w:cs="Times New Roman" w:hAnsi="Times New Roman"/>
          <w:sz w:val="24"/>
          <w:szCs w:val="24"/>
        </w:rPr>
      </w:pPr>
      <w:r>
        <w:rPr>
          <w:rFonts w:ascii="Times New Roman" w:cs="Times New Roman" w:hAnsi="Times New Roman"/>
          <w:sz w:val="24"/>
          <w:szCs w:val="24"/>
          <w:rtl w:val="off"/>
        </w:rPr>
        <w:t>There remains, however, a substantial limit to the execution of Millian sovereignty, which is tied to the Harm Principle. This principle dictates that individual liberty can be rightfully constrained by institutional power only to prevent direct harm to others. In bioartificial transplantation, the harm principle is triggered not by individual clinical failure, but by broader biosecurity risks. For instance, if a bioartificial kidney utilizes cells or matrices of animal origin within an implantable human bioreactor, the risk of zoonosis (the transmission of unknown animal pathogens to the general human population) constitutes a public harm that justifies regulatory limitations on individual choice.</w:t>
      </w:r>
    </w:p>
    <w:p w14:paraId="00000025">
      <w:pPr>
        <w:pStyle w:val="Heading3"/>
        <w:pBdr>
          <w:top w:val="nil" w:sz="4" w:space="0"/>
          <w:left w:val="nil" w:sz="4" w:space="0"/>
          <w:bottom w:val="nil" w:sz="4" w:space="0"/>
          <w:right w:val="nil" w:sz="4" w:space="0"/>
          <w:between w:val="nil" w:sz="4" w:space="0"/>
        </w:pBdr>
        <w:shd w:val="clear" w:fill="auto"/>
        <w:spacing w:before="0" w:line="480"/>
        <w:rPr>
          <w:rFonts w:ascii="Times New Roman" w:cs="Times New Roman" w:hAnsi="Times New Roman"/>
          <w:sz w:val="24"/>
          <w:szCs w:val="24"/>
        </w:rPr>
      </w:pPr>
      <w:r>
        <w:rPr>
          <w:rFonts w:ascii="Times New Roman" w:cs="Times New Roman" w:hAnsi="Times New Roman"/>
          <w:sz w:val="24"/>
          <w:szCs w:val="24"/>
          <w:rtl w:val="off"/>
        </w:rPr>
        <w:t>5.3. Operationalizing Autonomy: Elastic Consent</w:t>
      </w:r>
    </w:p>
    <w:p w14:paraId="00000026">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Having addressed current medical uncertainty through the contribution of established biophysical laws, and having delimited the boundary via the harm principle, what remains is the need to redefine the informed consent model traditionally used in current practice—a model largely characterized by its static nature.</w:t>
      </w:r>
    </w:p>
    <w:p w14:paraId="00000027">
      <w:pPr>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tl w:val="off"/>
        </w:rPr>
        <w:t>This study proposes replacing it with a dynamic architecture of Elastic Consent. This consists of a multi-tiered, continuously evolving agreement that requires re-verification as the physical technology matures and the patient’s thermodynamic and mechanical biological responses develop over time. By embedding elastic consent into clinical design and anchoring its execution within the rigorous empirical framework of applied medical physics, patient sovereignty can be fully respected, maintaining scientific integrity while constructing a stable, adaptive ethical order capable of governing the future of human bio-fabrication.</w:t>
      </w:r>
    </w:p>
    <w:p w14:paraId="00000028">
      <w:pPr>
        <w:pStyle w:val="Heading2"/>
        <w:pBdr>
          <w:top w:val="nil" w:sz="4" w:space="0"/>
          <w:left w:val="nil" w:sz="4" w:space="0"/>
          <w:bottom w:val="nil" w:sz="4" w:space="0"/>
          <w:right w:val="nil" w:sz="4" w:space="0"/>
          <w:between w:val="nil" w:sz="4" w:space="0"/>
        </w:pBdr>
        <w:shd w:val="clear" w:fill="auto"/>
        <w:spacing w:line="480"/>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inline distT="0" distB="0" distL="0" distR="0">
                <wp:extent cx="0" cy="19050"/>
                <wp:effectExtent l="0" t="0" r="0" b="0"/>
                <wp:docPr id="6" name="Shape 3"/>
                <wp:cNvGraphicFramePr>
                  <a:graphicFrameLocks xmlns:a="http://schemas.openxmlformats.org/drawingml/2006/main"/>
                </wp:cNvGraphicFramePr>
                <a:graphic xmlns:a="http://schemas.openxmlformats.org/drawingml/2006/main">
                  <a:graphicData uri="http://schemas.microsoft.com/office/word/2010/wordprocessingShape">
                    <wps:wsp>
                      <wps:cNvPr id="3" name="Shape 3"/>
                      <wps:cNvSpPr/>
                      <wps:spPr>
                        <a:xfrm>
                          <a:off x="0" y="0"/>
                          <a:ext cx="0" cy="19050"/>
                        </a:xfrm>
                        <a:prstGeom prst="rect">
                          <a:avLst/>
                        </a:prstGeom>
                        <a:solidFill>
                          <a:srgbClr val="A0A0A0"/>
                        </a:solidFill>
                        <a:ln w="0">
                          <a:noFill/>
                        </a:ln>
                        <a:effectLst/>
                      </wps:spPr>
                      <wps:bodyPr anchor="t"/>
                    </wps:wsp>
                  </a:graphicData>
                </a:graphic>
              </wp:inline>
            </w:drawing>
          </mc:Choice>
          <mc:Fallback>
            <w:pict>
              <v:shape id="59DB11E0-137C-E58E-A25E70610469" coordsize="21600,21600" style="width:0pt;height:1.5pt;margin-top:0pt;margin-left:0pt;mso-wrap-distance-left:0pt;mso-wrap-distance-right:0pt;mso-wrap-distance-top:0pt;mso-wrap-distance-bottom:0pt;mso-position-horizontal-relative:margin;mso-position-vertical-relative:margin;rotation:0.000000;z-index:0;" fillcolor="#a0a0a0" stroked="f" o:spt="1" path="m0,0 l0,21600 r21600,0 l21600,0 x e">
                <w10:wrap type="none" side="both"/>
                <v:fill type="solid" color="#a0a0a0" opacity="1.000000"/>
                <o:lock/>
              </v:shape>
            </w:pict>
          </mc:Fallback>
        </mc:AlternateContent>
      </w:r>
      <w:r>
        <w:rPr>
          <w:rFonts w:ascii="Times New Roman" w:cs="Times New Roman" w:hAnsi="Times New Roman"/>
          <w:sz w:val="24"/>
          <w:szCs w:val="24"/>
          <w:rtl w:val="off"/>
        </w:rPr>
        <w:t>References</w:t>
      </w:r>
    </w:p>
    <w:p w14:paraId="00000029">
      <w:pPr>
        <w:numPr>
          <w:ilvl w:val="0"/>
          <w:numId w:val="2"/>
        </w:numPr>
        <w:pBdr>
          <w:top w:val="nil" w:sz="4" w:space="0"/>
          <w:left w:val="nil" w:sz="4" w:space="0"/>
          <w:bottom w:val="nil" w:sz="4" w:space="0"/>
          <w:right w:val="nil" w:sz="4" w:space="0"/>
          <w:between w:val="nil" w:sz="4" w:space="0"/>
        </w:pBdr>
        <w:shd w:val="clear" w:fill="auto"/>
        <w:spacing w:line="480"/>
        <w:ind w:left="600" w:hanging="360"/>
        <w:rPr>
          <w:rFonts w:ascii="Times New Roman" w:cs="Times New Roman" w:hAnsi="Times New Roman"/>
          <w:sz w:val="24"/>
          <w:szCs w:val="24"/>
        </w:rPr>
      </w:pPr>
      <w:r>
        <w:rPr>
          <w:rFonts w:ascii="Times New Roman" w:cs="Times New Roman" w:hAnsi="Times New Roman"/>
          <w:sz w:val="24"/>
          <w:szCs w:val="24"/>
          <w:rtl w:val="off"/>
        </w:rPr>
        <w:t xml:space="preserve">Baker, Robert. 2013. </w:t>
      </w:r>
      <w:r>
        <w:rPr>
          <w:rFonts w:ascii="Times New Roman" w:cs="Times New Roman" w:hAnsi="Times New Roman"/>
          <w:i/>
          <w:iCs/>
          <w:sz w:val="24"/>
          <w:szCs w:val="24"/>
          <w:rtl w:val="off"/>
        </w:rPr>
        <w:t>The Structure of Moral Revolutions: Studies of Changes in the Bioethical Paradigm</w:t>
      </w:r>
      <w:r>
        <w:rPr>
          <w:rFonts w:ascii="Times New Roman" w:cs="Times New Roman" w:hAnsi="Times New Roman"/>
          <w:sz w:val="24"/>
          <w:szCs w:val="24"/>
          <w:rtl w:val="off"/>
        </w:rPr>
        <w:t>. Cambridge, MA: MIT Press.</w:t>
      </w:r>
    </w:p>
    <w:p w14:paraId="0000002A">
      <w:pPr>
        <w:numPr>
          <w:ilvl w:val="0"/>
          <w:numId w:val="2"/>
        </w:numPr>
        <w:pBdr>
          <w:top w:val="nil" w:sz="4" w:space="0"/>
          <w:left w:val="nil" w:sz="4" w:space="0"/>
          <w:bottom w:val="nil" w:sz="4" w:space="0"/>
          <w:right w:val="nil" w:sz="4" w:space="0"/>
          <w:between w:val="nil" w:sz="4" w:space="0"/>
        </w:pBdr>
        <w:shd w:val="clear" w:fill="auto"/>
        <w:spacing w:line="480"/>
        <w:ind w:left="600" w:hanging="360"/>
        <w:rPr>
          <w:rFonts w:ascii="Times New Roman" w:cs="Times New Roman" w:hAnsi="Times New Roman"/>
          <w:sz w:val="24"/>
          <w:szCs w:val="24"/>
        </w:rPr>
      </w:pPr>
      <w:r>
        <w:rPr>
          <w:rFonts w:ascii="Times New Roman" w:cs="Times New Roman" w:hAnsi="Times New Roman"/>
          <w:sz w:val="24"/>
          <w:szCs w:val="24"/>
          <w:rtl w:val="off"/>
        </w:rPr>
        <w:t xml:space="preserve">Council of Europe. 1997. </w:t>
      </w:r>
      <w:r>
        <w:rPr>
          <w:rFonts w:ascii="Times New Roman" w:cs="Times New Roman" w:hAnsi="Times New Roman"/>
          <w:i/>
          <w:iCs/>
          <w:sz w:val="24"/>
          <w:szCs w:val="24"/>
          <w:rtl w:val="off"/>
        </w:rPr>
        <w:t>Convention for the Protection of Human Rights and Dignity of the Human Being with regard to the Application of Biology and Medicine: Convention on Human Rights and Biomedicine (Oviedo Convention)</w:t>
      </w:r>
      <w:r>
        <w:rPr>
          <w:rFonts w:ascii="Times New Roman" w:cs="Times New Roman" w:hAnsi="Times New Roman"/>
          <w:sz w:val="24"/>
          <w:szCs w:val="24"/>
          <w:rtl w:val="off"/>
        </w:rPr>
        <w:t>. Strasbourg: Council of Europe.</w:t>
      </w:r>
    </w:p>
    <w:p w14:paraId="0000002B">
      <w:pPr>
        <w:numPr>
          <w:ilvl w:val="0"/>
          <w:numId w:val="2"/>
        </w:numPr>
        <w:pBdr>
          <w:top w:val="nil" w:sz="4" w:space="0"/>
          <w:left w:val="nil" w:sz="4" w:space="0"/>
          <w:bottom w:val="nil" w:sz="4" w:space="0"/>
          <w:right w:val="nil" w:sz="4" w:space="0"/>
          <w:between w:val="nil" w:sz="4" w:space="0"/>
        </w:pBdr>
        <w:shd w:val="clear" w:fill="auto"/>
        <w:spacing w:line="480"/>
        <w:ind w:left="600" w:hanging="360"/>
        <w:rPr>
          <w:rFonts w:ascii="Times New Roman" w:cs="Times New Roman" w:hAnsi="Times New Roman"/>
          <w:sz w:val="24"/>
          <w:szCs w:val="24"/>
        </w:rPr>
      </w:pPr>
      <w:r>
        <w:rPr>
          <w:rFonts w:ascii="Times New Roman" w:cs="Times New Roman" w:hAnsi="Times New Roman"/>
          <w:sz w:val="24"/>
          <w:szCs w:val="24"/>
          <w:rtl w:val="off"/>
        </w:rPr>
        <w:t xml:space="preserve">European Parliament and Council. 2017. </w:t>
      </w:r>
      <w:r>
        <w:rPr>
          <w:rFonts w:ascii="Times New Roman" w:cs="Times New Roman" w:hAnsi="Times New Roman"/>
          <w:i/>
          <w:iCs/>
          <w:sz w:val="24"/>
          <w:szCs w:val="24"/>
          <w:rtl w:val="off"/>
        </w:rPr>
        <w:t>Regulation (EU) 2017/745 on medical devices (MDR)</w:t>
      </w:r>
      <w:r>
        <w:rPr>
          <w:rFonts w:ascii="Times New Roman" w:cs="Times New Roman" w:hAnsi="Times New Roman"/>
          <w:sz w:val="24"/>
          <w:szCs w:val="24"/>
          <w:rtl w:val="off"/>
        </w:rPr>
        <w:t>. Official Journal of the European Union.</w:t>
      </w:r>
    </w:p>
    <w:p w14:paraId="0000002C">
      <w:pPr>
        <w:numPr>
          <w:ilvl w:val="0"/>
          <w:numId w:val="2"/>
        </w:numPr>
        <w:pBdr>
          <w:top w:val="nil" w:sz="4" w:space="0"/>
          <w:left w:val="nil" w:sz="4" w:space="0"/>
          <w:bottom w:val="nil" w:sz="4" w:space="0"/>
          <w:right w:val="nil" w:sz="4" w:space="0"/>
          <w:between w:val="nil" w:sz="4" w:space="0"/>
        </w:pBdr>
        <w:shd w:val="clear" w:fill="auto"/>
        <w:spacing w:line="480"/>
        <w:ind w:left="600" w:hanging="360"/>
        <w:rPr>
          <w:rFonts w:ascii="Times New Roman" w:cs="Times New Roman" w:hAnsi="Times New Roman"/>
          <w:sz w:val="24"/>
          <w:szCs w:val="24"/>
        </w:rPr>
      </w:pPr>
      <w:r>
        <w:rPr>
          <w:rFonts w:ascii="Times New Roman" w:cs="Times New Roman" w:hAnsi="Times New Roman"/>
          <w:sz w:val="24"/>
          <w:szCs w:val="24"/>
          <w:rtl w:val="off"/>
        </w:rPr>
        <w:t xml:space="preserve">Mill, John Stuart. 1859. </w:t>
      </w:r>
      <w:r>
        <w:rPr>
          <w:rFonts w:ascii="Times New Roman" w:cs="Times New Roman" w:hAnsi="Times New Roman"/>
          <w:i/>
          <w:iCs/>
          <w:sz w:val="24"/>
          <w:szCs w:val="24"/>
          <w:rtl w:val="off"/>
        </w:rPr>
        <w:t>On Liberty</w:t>
      </w:r>
      <w:r>
        <w:rPr>
          <w:rFonts w:ascii="Times New Roman" w:cs="Times New Roman" w:hAnsi="Times New Roman"/>
          <w:sz w:val="24"/>
          <w:szCs w:val="24"/>
          <w:rtl w:val="off"/>
        </w:rPr>
        <w:t>. London: John W. Parker and Son.</w:t>
      </w:r>
    </w:p>
    <w:p w14:paraId="0000002D">
      <w:pPr>
        <w:numPr>
          <w:ilvl w:val="0"/>
          <w:numId w:val="2"/>
        </w:numPr>
        <w:pBdr>
          <w:top w:val="nil" w:sz="4" w:space="0"/>
          <w:left w:val="nil" w:sz="4" w:space="0"/>
          <w:bottom w:val="nil" w:sz="4" w:space="0"/>
          <w:right w:val="nil" w:sz="4" w:space="0"/>
          <w:between w:val="nil" w:sz="4" w:space="0"/>
        </w:pBdr>
        <w:shd w:val="clear" w:fill="auto"/>
        <w:spacing w:line="480"/>
        <w:ind w:left="600" w:hanging="360"/>
        <w:rPr>
          <w:rFonts w:ascii="Times New Roman" w:cs="Times New Roman" w:hAnsi="Times New Roman"/>
          <w:sz w:val="24"/>
          <w:szCs w:val="24"/>
        </w:rPr>
      </w:pPr>
      <w:r>
        <w:rPr>
          <w:rFonts w:ascii="Times New Roman" w:cs="Times New Roman" w:hAnsi="Times New Roman"/>
          <w:sz w:val="24"/>
          <w:szCs w:val="24"/>
          <w:rtl w:val="off"/>
        </w:rPr>
        <w:t xml:space="preserve">Razak, Siti Shuhada Abd, Jamilah Mohd Jamil, and Norazlina Mohd. 2022. "Incorporating Informed Consent in 3D Bioprinting Medical Treatment." </w:t>
      </w:r>
      <w:r>
        <w:rPr>
          <w:rFonts w:ascii="Times New Roman" w:cs="Times New Roman" w:hAnsi="Times New Roman"/>
          <w:i/>
          <w:iCs/>
          <w:sz w:val="24"/>
          <w:szCs w:val="24"/>
          <w:rtl w:val="off"/>
        </w:rPr>
        <w:t>International Journal of Academic Research in Business and Social Sciences</w:t>
      </w:r>
      <w:r>
        <w:rPr>
          <w:rFonts w:ascii="Times New Roman" w:cs="Times New Roman" w:hAnsi="Times New Roman"/>
          <w:sz w:val="24"/>
          <w:szCs w:val="24"/>
          <w:rtl w:val="off"/>
        </w:rPr>
        <w:t xml:space="preserve"> 12 (1): 751–756.</w:t>
      </w:r>
    </w:p>
    <w:p w14:paraId="0000002E">
      <w:pPr>
        <w:numPr>
          <w:ilvl w:val="0"/>
          <w:numId w:val="2"/>
        </w:numPr>
        <w:pBdr>
          <w:top w:val="nil" w:sz="4" w:space="0"/>
          <w:left w:val="nil" w:sz="4" w:space="0"/>
          <w:bottom w:val="nil" w:sz="4" w:space="0"/>
          <w:right w:val="nil" w:sz="4" w:space="0"/>
          <w:between w:val="nil" w:sz="4" w:space="0"/>
        </w:pBdr>
        <w:shd w:val="clear" w:fill="auto"/>
        <w:spacing w:line="480"/>
        <w:ind w:left="600" w:hanging="360"/>
        <w:rPr>
          <w:rFonts w:ascii="Times New Roman" w:cs="Times New Roman" w:hAnsi="Times New Roman"/>
          <w:sz w:val="24"/>
          <w:szCs w:val="24"/>
        </w:rPr>
      </w:pPr>
      <w:r>
        <w:rPr>
          <w:rFonts w:ascii="Times New Roman" w:cs="Times New Roman" w:hAnsi="Times New Roman"/>
          <w:sz w:val="24"/>
          <w:szCs w:val="24"/>
          <w:rtl w:val="off"/>
        </w:rPr>
        <w:t xml:space="preserve">Salvaterra, Elena. 2023. "Human Fabrication: An Ethical Viewpoint." </w:t>
      </w:r>
      <w:r>
        <w:rPr>
          <w:rFonts w:ascii="Times New Roman" w:cs="Times New Roman" w:hAnsi="Times New Roman"/>
          <w:i/>
          <w:iCs/>
          <w:sz w:val="24"/>
          <w:szCs w:val="24"/>
          <w:rtl w:val="off"/>
        </w:rPr>
        <w:t>Stem Cells and Regenerative Medicine</w:t>
      </w:r>
      <w:r>
        <w:rPr>
          <w:rFonts w:ascii="Times New Roman" w:cs="Times New Roman" w:hAnsi="Times New Roman"/>
          <w:sz w:val="24"/>
          <w:szCs w:val="24"/>
          <w:rtl w:val="off"/>
        </w:rPr>
        <w:t xml:space="preserve"> 7 (1): 1–2.</w:t>
      </w:r>
    </w:p>
    <w:p w14:paraId="0000002F">
      <w:pPr>
        <w:numPr>
          <w:ilvl w:val="0"/>
          <w:numId w:val="2"/>
        </w:numPr>
        <w:pBdr>
          <w:top w:val="nil" w:sz="4" w:space="0"/>
          <w:left w:val="nil" w:sz="4" w:space="0"/>
          <w:bottom w:val="nil" w:sz="4" w:space="0"/>
          <w:right w:val="nil" w:sz="4" w:space="0"/>
          <w:between w:val="nil" w:sz="4" w:space="0"/>
        </w:pBdr>
        <w:shd w:val="clear" w:fill="auto"/>
        <w:spacing w:line="480"/>
        <w:ind w:left="600" w:hanging="360"/>
        <w:rPr>
          <w:rFonts w:ascii="Times New Roman" w:cs="Times New Roman" w:hAnsi="Times New Roman"/>
          <w:sz w:val="24"/>
          <w:szCs w:val="24"/>
        </w:rPr>
      </w:pPr>
      <w:r>
        <w:rPr>
          <w:rFonts w:ascii="Times New Roman" w:cs="Times New Roman" w:hAnsi="Times New Roman"/>
          <w:sz w:val="24"/>
          <w:szCs w:val="24"/>
          <w:rtl w:val="off"/>
        </w:rPr>
        <w:t xml:space="preserve">Salvaterra, Elena. 2024. "Human Fabrication: Ethical and Legal Aspects of 3D Bioprinting." </w:t>
      </w:r>
      <w:r>
        <w:rPr>
          <w:rFonts w:ascii="Times New Roman" w:cs="Times New Roman" w:hAnsi="Times New Roman"/>
          <w:i/>
          <w:iCs/>
          <w:sz w:val="24"/>
          <w:szCs w:val="24"/>
          <w:rtl w:val="off"/>
        </w:rPr>
        <w:t>Acta Scientific Medical Sciences</w:t>
      </w:r>
      <w:r>
        <w:rPr>
          <w:rFonts w:ascii="Times New Roman" w:cs="Times New Roman" w:hAnsi="Times New Roman"/>
          <w:sz w:val="24"/>
          <w:szCs w:val="24"/>
          <w:rtl w:val="off"/>
        </w:rPr>
        <w:t xml:space="preserve"> 8 (3): 92–96.</w:t>
      </w:r>
    </w:p>
    <w:p w14:paraId="00000030">
      <w:pPr>
        <w:numPr>
          <w:ilvl w:val="0"/>
          <w:numId w:val="2"/>
        </w:numPr>
        <w:pBdr>
          <w:top w:val="nil" w:sz="4" w:space="0"/>
          <w:left w:val="nil" w:sz="4" w:space="0"/>
          <w:bottom w:val="nil" w:sz="4" w:space="0"/>
          <w:right w:val="nil" w:sz="4" w:space="0"/>
          <w:between w:val="nil" w:sz="4" w:space="0"/>
        </w:pBdr>
        <w:shd w:val="clear" w:fill="auto"/>
        <w:spacing w:line="480"/>
        <w:ind w:left="600" w:hanging="360"/>
        <w:rPr>
          <w:rFonts w:ascii="Times New Roman" w:cs="Times New Roman" w:hAnsi="Times New Roman"/>
          <w:sz w:val="24"/>
          <w:szCs w:val="24"/>
        </w:rPr>
      </w:pPr>
      <w:r>
        <w:rPr>
          <w:rFonts w:ascii="Times New Roman" w:cs="Times New Roman" w:hAnsi="Times New Roman"/>
          <w:sz w:val="24"/>
          <w:szCs w:val="24"/>
          <w:rtl w:val="off"/>
        </w:rPr>
        <w:t xml:space="preserve">Salvaterra, Elena, and Alice Vendramin Bandiera. 2026. "Bioprinting and Transplantation: A Pilot Qualitative Survey of Knowledge, Perceptions and Hopes of Patients and Donors." </w:t>
      </w:r>
      <w:r>
        <w:rPr>
          <w:rFonts w:ascii="Times New Roman" w:cs="Times New Roman" w:hAnsi="Times New Roman"/>
          <w:i/>
          <w:iCs/>
          <w:sz w:val="24"/>
          <w:szCs w:val="24"/>
          <w:rtl w:val="off"/>
        </w:rPr>
        <w:t>Acta Scientific Medical Sciences</w:t>
      </w:r>
      <w:r>
        <w:rPr>
          <w:rFonts w:ascii="Times New Roman" w:cs="Times New Roman" w:hAnsi="Times New Roman"/>
          <w:sz w:val="24"/>
          <w:szCs w:val="24"/>
          <w:rtl w:val="off"/>
        </w:rPr>
        <w:t xml:space="preserve"> 10 (3): 03–11.</w:t>
      </w:r>
    </w:p>
    <w:p w14:paraId="00000031">
      <w:pPr>
        <w:numPr>
          <w:ilvl w:val="0"/>
          <w:numId w:val="2"/>
        </w:numPr>
        <w:pBdr>
          <w:top w:val="nil" w:sz="4" w:space="0"/>
          <w:left w:val="nil" w:sz="4" w:space="0"/>
          <w:bottom w:val="nil" w:sz="4" w:space="0"/>
          <w:right w:val="nil" w:sz="4" w:space="0"/>
          <w:between w:val="nil" w:sz="4" w:space="0"/>
        </w:pBdr>
        <w:shd w:val="clear" w:fill="auto"/>
        <w:spacing w:line="480"/>
        <w:ind w:left="600" w:hanging="360"/>
        <w:rPr>
          <w:rFonts w:ascii="Times New Roman" w:cs="Times New Roman" w:hAnsi="Times New Roman"/>
          <w:sz w:val="24"/>
          <w:szCs w:val="24"/>
        </w:rPr>
      </w:pPr>
      <w:r>
        <w:rPr>
          <w:rFonts w:ascii="Times New Roman" w:cs="Times New Roman" w:hAnsi="Times New Roman"/>
          <w:sz w:val="24"/>
          <w:szCs w:val="24"/>
          <w:rtl w:val="off"/>
        </w:rPr>
        <w:t xml:space="preserve">Sharma, Pradeep Kumar, and Pratibha B. Musmade. 2013. "Informed Consent: Issues and Challenges." </w:t>
      </w:r>
      <w:r>
        <w:rPr>
          <w:rFonts w:ascii="Times New Roman" w:cs="Times New Roman" w:hAnsi="Times New Roman"/>
          <w:i/>
          <w:iCs/>
          <w:sz w:val="24"/>
          <w:szCs w:val="24"/>
          <w:rtl w:val="off"/>
        </w:rPr>
        <w:t>Journal of Advanced Pharmaceutical Technology &amp; Research</w:t>
      </w:r>
      <w:r>
        <w:rPr>
          <w:rFonts w:ascii="Times New Roman" w:cs="Times New Roman" w:hAnsi="Times New Roman"/>
          <w:sz w:val="24"/>
          <w:szCs w:val="24"/>
          <w:rtl w:val="off"/>
        </w:rPr>
        <w:t xml:space="preserve"> 4 (3): 134–140.</w:t>
      </w:r>
    </w:p>
    <w:p w14:paraId="00000032">
      <w:pPr>
        <w:numPr>
          <w:ilvl w:val="0"/>
          <w:numId w:val="2"/>
        </w:numPr>
        <w:pBdr>
          <w:top w:val="nil" w:sz="4" w:space="0"/>
          <w:left w:val="nil" w:sz="4" w:space="0"/>
          <w:bottom w:val="nil" w:sz="4" w:space="0"/>
          <w:right w:val="nil" w:sz="4" w:space="0"/>
          <w:between w:val="nil" w:sz="4" w:space="0"/>
        </w:pBdr>
        <w:shd w:val="clear" w:fill="auto"/>
        <w:spacing w:line="480"/>
        <w:ind w:left="600" w:hanging="360"/>
        <w:rPr>
          <w:rFonts w:ascii="Times New Roman" w:cs="Times New Roman" w:hAnsi="Times New Roman"/>
          <w:sz w:val="24"/>
          <w:szCs w:val="24"/>
        </w:rPr>
      </w:pPr>
      <w:r>
        <w:rPr>
          <w:rFonts w:ascii="Times New Roman" w:cs="Times New Roman" w:hAnsi="Times New Roman"/>
          <w:sz w:val="24"/>
          <w:szCs w:val="24"/>
          <w:rtl w:val="off"/>
        </w:rPr>
        <w:t xml:space="preserve">United Arab Emirates Federal Government. 2026. </w:t>
      </w:r>
      <w:r>
        <w:rPr>
          <w:rFonts w:ascii="Times New Roman" w:cs="Times New Roman" w:hAnsi="Times New Roman"/>
          <w:i/>
          <w:iCs/>
          <w:sz w:val="24"/>
          <w:szCs w:val="24"/>
          <w:rtl w:val="off"/>
        </w:rPr>
        <w:t>Federal Decree-Law Concerning the Regulation of Bioartificial Organ Transplantation</w:t>
      </w:r>
      <w:r>
        <w:rPr>
          <w:rFonts w:ascii="Times New Roman" w:cs="Times New Roman" w:hAnsi="Times New Roman"/>
          <w:sz w:val="24"/>
          <w:szCs w:val="24"/>
          <w:rtl w:val="off"/>
        </w:rPr>
        <w:t>. Abu Dhabi: Official Gazette of the UAE.</w:t>
      </w:r>
    </w:p>
    <w:p w14:paraId="00000033">
      <w:pPr>
        <w:numPr>
          <w:ilvl w:val="0"/>
          <w:numId w:val="2"/>
        </w:numPr>
        <w:pBdr>
          <w:top w:val="nil" w:sz="4" w:space="0"/>
          <w:left w:val="nil" w:sz="4" w:space="0"/>
          <w:bottom w:val="nil" w:sz="4" w:space="0"/>
          <w:right w:val="nil" w:sz="4" w:space="0"/>
          <w:between w:val="nil" w:sz="4" w:space="0"/>
        </w:pBdr>
        <w:shd w:val="clear" w:fill="auto"/>
        <w:spacing w:line="480"/>
        <w:ind w:left="600" w:hanging="360"/>
        <w:rPr>
          <w:rFonts w:ascii="Times New Roman" w:cs="Times New Roman" w:hAnsi="Times New Roman"/>
          <w:sz w:val="24"/>
          <w:szCs w:val="24"/>
        </w:rPr>
      </w:pPr>
      <w:r>
        <w:rPr>
          <w:rFonts w:ascii="Times New Roman" w:cs="Times New Roman" w:hAnsi="Times New Roman"/>
          <w:sz w:val="24"/>
          <w:szCs w:val="24"/>
          <w:rtl w:val="off"/>
        </w:rPr>
        <w:t xml:space="preserve">World Health Organization. 2024. </w:t>
      </w:r>
      <w:r>
        <w:rPr>
          <w:rFonts w:ascii="Times New Roman" w:cs="Times New Roman" w:hAnsi="Times New Roman"/>
          <w:i/>
          <w:iCs/>
          <w:sz w:val="24"/>
          <w:szCs w:val="24"/>
          <w:rtl w:val="off"/>
        </w:rPr>
        <w:t>Resolution WHA 77.4: Global Strategy on Donation and Transplantation of Human Organs and Tissues</w:t>
      </w:r>
      <w:r>
        <w:rPr>
          <w:rFonts w:ascii="Times New Roman" w:cs="Times New Roman" w:hAnsi="Times New Roman"/>
          <w:sz w:val="24"/>
          <w:szCs w:val="24"/>
          <w:rtl w:val="off"/>
        </w:rPr>
        <w:t>. Geneva: World Health Organization.</w:t>
      </w:r>
    </w:p>
    <w:p w14:paraId="00000034">
      <w:pPr>
        <w:numPr>
          <w:ilvl w:val="0"/>
          <w:numId w:val="2"/>
        </w:numPr>
        <w:pBdr>
          <w:top w:val="nil" w:sz="4" w:space="0"/>
          <w:left w:val="nil" w:sz="4" w:space="0"/>
          <w:bottom w:val="nil" w:sz="4" w:space="0"/>
          <w:right w:val="nil" w:sz="4" w:space="0"/>
          <w:between w:val="nil" w:sz="4" w:space="0"/>
        </w:pBdr>
        <w:shd w:val="clear" w:fill="auto"/>
        <w:spacing w:line="480"/>
        <w:ind w:left="600" w:hanging="360"/>
        <w:rPr>
          <w:rFonts w:ascii="Times New Roman" w:cs="Times New Roman" w:hAnsi="Times New Roman"/>
          <w:sz w:val="24"/>
          <w:szCs w:val="24"/>
        </w:rPr>
      </w:pPr>
      <w:r>
        <w:rPr>
          <w:rFonts w:ascii="Times New Roman" w:cs="Times New Roman" w:hAnsi="Times New Roman"/>
          <w:sz w:val="24"/>
          <w:szCs w:val="24"/>
          <w:rtl w:val="off"/>
        </w:rPr>
        <w:t xml:space="preserve">World Medical Association. 2024. </w:t>
      </w:r>
      <w:r>
        <w:rPr>
          <w:rFonts w:ascii="Times New Roman" w:cs="Times New Roman" w:hAnsi="Times New Roman"/>
          <w:i/>
          <w:iCs/>
          <w:sz w:val="24"/>
          <w:szCs w:val="24"/>
          <w:rtl w:val="off"/>
        </w:rPr>
        <w:t>Declaration of Helsinki – Ethical Principles for Medical Research Involving Human Subjects</w:t>
      </w:r>
      <w:r>
        <w:rPr>
          <w:rFonts w:ascii="Times New Roman" w:cs="Times New Roman" w:hAnsi="Times New Roman"/>
          <w:sz w:val="24"/>
          <w:szCs w:val="24"/>
          <w:rtl w:val="off"/>
        </w:rPr>
        <w:t>. Ferney-Voltaire: World Medical Association.</w:t>
      </w:r>
    </w:p>
    <w:sectPr>
      <w:pgSz w:w="12240" w:h="15840" w:orient="portrait"/>
      <w:pgMar w:top="1440" w:right="1440" w:bottom="1440" w:left="1440" w:header="0" w:footer="720"/>
      <w:pgNumType w:start="1"/>
    </w:sectPr>
  </w:body>
</w:document>
</file>

<file path=word/fontTable.xml><?xml version="1.0" encoding="utf-8"?>
<w:fonts xmlns:r="http://schemas.openxmlformats.org/officeDocument/2006/relationships" xmlns:w="http://schemas.openxmlformats.org/wordprocessingml/2006/main">
  <w:font w:name="Arial"/>
  <w:font w:name="Georgia"/>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lvl w:ilvl="0" w:tentative="0">
      <w:start w:val="1"/>
      <w:numFmt w:val="bullet"/>
      <w:lvlText w:val="●"/>
      <w:lvlJc w:val="left"/>
      <w:pPr>
        <w:ind w:left="600" w:hanging="360"/>
      </w:pPr>
      <w:rPr>
        <w:rFonts w:ascii="Arial" w:cs="Arial" w:eastAsia="Arial" w:hAnsi="Arial"/>
        <w:b w:val="off"/>
        <w:bCs w:val="off"/>
        <w:i w:val="off"/>
        <w:iCs w:val="off"/>
        <w:smallCaps w:val="off"/>
        <w:color w:val="000000"/>
        <w:sz w:val="22"/>
        <w:szCs w:val="22"/>
        <w:u w:val="none"/>
        <w:shd w:val="clear" w:fill="auto"/>
        <w:vertAlign w:val="baseline"/>
      </w:rPr>
    </w:lvl>
    <w:lvl w:ilvl="1" w:tentative="0">
      <w:start w:val="1"/>
      <w:numFmt w:val="bullet"/>
      <w:lvlText w:val="○"/>
      <w:lvlJc w:val="left"/>
      <w:pPr>
        <w:ind w:left="1440" w:hanging="360"/>
      </w:pPr>
      <w:rPr>
        <w:rFonts w:ascii="Arial" w:cs="Arial" w:eastAsia="Arial" w:hAnsi="Arial"/>
        <w:b w:val="off"/>
        <w:bCs w:val="off"/>
        <w:i w:val="off"/>
        <w:iCs w:val="off"/>
        <w:smallCaps w:val="off"/>
        <w:color w:val="000000"/>
        <w:sz w:val="22"/>
        <w:szCs w:val="22"/>
        <w:u w:val="none"/>
        <w:shd w:val="clear" w:fill="auto"/>
        <w:vertAlign w:val="baseline"/>
      </w:rPr>
    </w:lvl>
    <w:lvl w:ilvl="2" w:tentative="0">
      <w:start w:val="1"/>
      <w:numFmt w:val="bullet"/>
      <w:lvlText w:val="■"/>
      <w:lvlJc w:val="left"/>
      <w:pPr>
        <w:ind w:left="2160" w:hanging="360"/>
      </w:pPr>
      <w:rPr>
        <w:rFonts w:ascii="Arial" w:cs="Arial" w:eastAsia="Arial" w:hAnsi="Arial"/>
        <w:b w:val="off"/>
        <w:bCs w:val="off"/>
        <w:i w:val="off"/>
        <w:iCs w:val="off"/>
        <w:smallCaps w:val="off"/>
        <w:color w:val="000000"/>
        <w:sz w:val="22"/>
        <w:szCs w:val="22"/>
        <w:u w:val="none"/>
        <w:shd w:val="clear" w:fill="auto"/>
        <w:vertAlign w:val="baseline"/>
      </w:rPr>
    </w:lvl>
    <w:lvl w:ilvl="3" w:tentative="0">
      <w:start w:val="1"/>
      <w:numFmt w:val="bullet"/>
      <w:lvlText w:val="■"/>
      <w:lvlJc w:val="left"/>
      <w:pPr>
        <w:ind w:left="2880" w:hanging="360"/>
      </w:pPr>
      <w:rPr>
        <w:rFonts w:ascii="Arial" w:cs="Arial" w:eastAsia="Arial" w:hAnsi="Arial"/>
        <w:b w:val="off"/>
        <w:bCs w:val="off"/>
        <w:i w:val="off"/>
        <w:iCs w:val="off"/>
        <w:smallCaps w:val="off"/>
        <w:color w:val="000000"/>
        <w:sz w:val="22"/>
        <w:szCs w:val="22"/>
        <w:u w:val="none"/>
        <w:shd w:val="clear" w:fill="auto"/>
        <w:vertAlign w:val="baseline"/>
      </w:rPr>
    </w:lvl>
    <w:lvl w:ilvl="4" w:tentative="0">
      <w:start w:val="1"/>
      <w:numFmt w:val="bullet"/>
      <w:lvlText w:val="■"/>
      <w:lvlJc w:val="left"/>
      <w:pPr>
        <w:ind w:left="3600" w:hanging="360"/>
      </w:pPr>
      <w:rPr>
        <w:rFonts w:ascii="Arial" w:cs="Arial" w:eastAsia="Arial" w:hAnsi="Arial"/>
        <w:b w:val="off"/>
        <w:bCs w:val="off"/>
        <w:i w:val="off"/>
        <w:iCs w:val="off"/>
        <w:smallCaps w:val="off"/>
        <w:color w:val="000000"/>
        <w:sz w:val="22"/>
        <w:szCs w:val="22"/>
        <w:u w:val="none"/>
        <w:shd w:val="clear" w:fill="auto"/>
        <w:vertAlign w:val="baseline"/>
      </w:rPr>
    </w:lvl>
    <w:lvl w:ilvl="5" w:tentative="0">
      <w:start w:val="1"/>
      <w:numFmt w:val="bullet"/>
      <w:lvlText w:val="■"/>
      <w:lvlJc w:val="left"/>
      <w:pPr>
        <w:ind w:left="4320" w:hanging="360"/>
      </w:pPr>
      <w:rPr>
        <w:rFonts w:ascii="Arial" w:cs="Arial" w:eastAsia="Arial" w:hAnsi="Arial"/>
        <w:b w:val="off"/>
        <w:bCs w:val="off"/>
        <w:i w:val="off"/>
        <w:iCs w:val="off"/>
        <w:smallCaps w:val="off"/>
        <w:color w:val="000000"/>
        <w:sz w:val="22"/>
        <w:szCs w:val="22"/>
        <w:u w:val="none"/>
        <w:shd w:val="clear" w:fill="auto"/>
        <w:vertAlign w:val="baseline"/>
      </w:rPr>
    </w:lvl>
    <w:lvl w:ilvl="6" w:tentative="0">
      <w:start w:val="1"/>
      <w:numFmt w:val="bullet"/>
      <w:lvlText w:val="■"/>
      <w:lvlJc w:val="left"/>
      <w:pPr>
        <w:ind w:left="5040" w:hanging="360"/>
      </w:pPr>
      <w:rPr>
        <w:rFonts w:ascii="Arial" w:cs="Arial" w:eastAsia="Arial" w:hAnsi="Arial"/>
        <w:b w:val="off"/>
        <w:bCs w:val="off"/>
        <w:i w:val="off"/>
        <w:iCs w:val="off"/>
        <w:smallCaps w:val="off"/>
        <w:color w:val="000000"/>
        <w:sz w:val="22"/>
        <w:szCs w:val="22"/>
        <w:u w:val="none"/>
        <w:shd w:val="clear" w:fill="auto"/>
        <w:vertAlign w:val="baseline"/>
      </w:rPr>
    </w:lvl>
    <w:lvl w:ilvl="7" w:tentative="0">
      <w:start w:val="1"/>
      <w:numFmt w:val="bullet"/>
      <w:lvlText w:val="■"/>
      <w:lvlJc w:val="left"/>
      <w:pPr>
        <w:ind w:left="5760" w:hanging="360"/>
      </w:pPr>
      <w:rPr>
        <w:rFonts w:ascii="Arial" w:cs="Arial" w:eastAsia="Arial" w:hAnsi="Arial"/>
        <w:b w:val="off"/>
        <w:bCs w:val="off"/>
        <w:i w:val="off"/>
        <w:iCs w:val="off"/>
        <w:smallCaps w:val="off"/>
        <w:color w:val="000000"/>
        <w:sz w:val="22"/>
        <w:szCs w:val="22"/>
        <w:u w:val="none"/>
        <w:shd w:val="clear" w:fill="auto"/>
        <w:vertAlign w:val="baseline"/>
      </w:rPr>
    </w:lvl>
    <w:lvl w:ilvl="8" w:tentative="0">
      <w:start w:val="1"/>
      <w:numFmt w:val="bullet"/>
      <w:lvlText w:val="■"/>
      <w:lvlJc w:val="left"/>
      <w:pPr>
        <w:ind w:left="6480" w:hanging="360"/>
      </w:pPr>
      <w:rPr>
        <w:rFonts w:ascii="Arial" w:cs="Arial" w:eastAsia="Arial" w:hAnsi="Arial"/>
        <w:b w:val="off"/>
        <w:bCs w:val="off"/>
        <w:i w:val="off"/>
        <w:iCs w:val="off"/>
        <w:smallCaps w:val="off"/>
        <w:color w:val="000000"/>
        <w:sz w:val="22"/>
        <w:szCs w:val="22"/>
        <w:u w:val="none"/>
        <w:shd w:val="clear" w:fill="auto"/>
        <w:vertAlign w:val="baseline"/>
      </w:rPr>
    </w:lvl>
  </w:abstractNum>
  <w:abstractNum w:abstractNumId="1">
    <w:lvl w:ilvl="0" w:tentative="0">
      <w:start w:val="1"/>
      <w:numFmt w:val="bullet"/>
      <w:lvlText w:val="●"/>
      <w:lvlJc w:val="left"/>
      <w:pPr>
        <w:ind w:left="600" w:hanging="360"/>
      </w:pPr>
      <w:rPr>
        <w:rFonts w:ascii="Arial" w:cs="Arial" w:eastAsia="Arial" w:hAnsi="Arial"/>
        <w:b w:val="off"/>
        <w:bCs w:val="off"/>
        <w:i w:val="off"/>
        <w:iCs w:val="off"/>
        <w:smallCaps w:val="off"/>
        <w:color w:val="000000"/>
        <w:sz w:val="22"/>
        <w:szCs w:val="22"/>
        <w:u w:val="none"/>
        <w:shd w:val="clear" w:fill="auto"/>
        <w:vertAlign w:val="baseline"/>
      </w:rPr>
    </w:lvl>
    <w:lvl w:ilvl="1" w:tentative="0">
      <w:start w:val="1"/>
      <w:numFmt w:val="bullet"/>
      <w:lvlText w:val="○"/>
      <w:lvlJc w:val="left"/>
      <w:pPr>
        <w:ind w:left="1440" w:hanging="360"/>
      </w:pPr>
      <w:rPr>
        <w:rFonts w:ascii="Arial" w:cs="Arial" w:eastAsia="Arial" w:hAnsi="Arial"/>
        <w:b w:val="off"/>
        <w:bCs w:val="off"/>
        <w:i w:val="off"/>
        <w:iCs w:val="off"/>
        <w:smallCaps w:val="off"/>
        <w:color w:val="000000"/>
        <w:sz w:val="22"/>
        <w:szCs w:val="22"/>
        <w:u w:val="none"/>
        <w:shd w:val="clear" w:fill="auto"/>
        <w:vertAlign w:val="baseline"/>
      </w:rPr>
    </w:lvl>
    <w:lvl w:ilvl="2" w:tentative="0">
      <w:start w:val="1"/>
      <w:numFmt w:val="bullet"/>
      <w:lvlText w:val="■"/>
      <w:lvlJc w:val="left"/>
      <w:pPr>
        <w:ind w:left="2160" w:hanging="360"/>
      </w:pPr>
      <w:rPr>
        <w:rFonts w:ascii="Arial" w:cs="Arial" w:eastAsia="Arial" w:hAnsi="Arial"/>
        <w:b w:val="off"/>
        <w:bCs w:val="off"/>
        <w:i w:val="off"/>
        <w:iCs w:val="off"/>
        <w:smallCaps w:val="off"/>
        <w:color w:val="000000"/>
        <w:sz w:val="22"/>
        <w:szCs w:val="22"/>
        <w:u w:val="none"/>
        <w:shd w:val="clear" w:fill="auto"/>
        <w:vertAlign w:val="baseline"/>
      </w:rPr>
    </w:lvl>
    <w:lvl w:ilvl="3" w:tentative="0">
      <w:start w:val="1"/>
      <w:numFmt w:val="bullet"/>
      <w:lvlText w:val="■"/>
      <w:lvlJc w:val="left"/>
      <w:pPr>
        <w:ind w:left="2880" w:hanging="360"/>
      </w:pPr>
      <w:rPr>
        <w:rFonts w:ascii="Arial" w:cs="Arial" w:eastAsia="Arial" w:hAnsi="Arial"/>
        <w:b w:val="off"/>
        <w:bCs w:val="off"/>
        <w:i w:val="off"/>
        <w:iCs w:val="off"/>
        <w:smallCaps w:val="off"/>
        <w:color w:val="000000"/>
        <w:sz w:val="22"/>
        <w:szCs w:val="22"/>
        <w:u w:val="none"/>
        <w:shd w:val="clear" w:fill="auto"/>
        <w:vertAlign w:val="baseline"/>
      </w:rPr>
    </w:lvl>
    <w:lvl w:ilvl="4" w:tentative="0">
      <w:start w:val="1"/>
      <w:numFmt w:val="bullet"/>
      <w:lvlText w:val="■"/>
      <w:lvlJc w:val="left"/>
      <w:pPr>
        <w:ind w:left="3600" w:hanging="360"/>
      </w:pPr>
      <w:rPr>
        <w:rFonts w:ascii="Arial" w:cs="Arial" w:eastAsia="Arial" w:hAnsi="Arial"/>
        <w:b w:val="off"/>
        <w:bCs w:val="off"/>
        <w:i w:val="off"/>
        <w:iCs w:val="off"/>
        <w:smallCaps w:val="off"/>
        <w:color w:val="000000"/>
        <w:sz w:val="22"/>
        <w:szCs w:val="22"/>
        <w:u w:val="none"/>
        <w:shd w:val="clear" w:fill="auto"/>
        <w:vertAlign w:val="baseline"/>
      </w:rPr>
    </w:lvl>
    <w:lvl w:ilvl="5" w:tentative="0">
      <w:start w:val="1"/>
      <w:numFmt w:val="bullet"/>
      <w:lvlText w:val="■"/>
      <w:lvlJc w:val="left"/>
      <w:pPr>
        <w:ind w:left="4320" w:hanging="360"/>
      </w:pPr>
      <w:rPr>
        <w:rFonts w:ascii="Arial" w:cs="Arial" w:eastAsia="Arial" w:hAnsi="Arial"/>
        <w:b w:val="off"/>
        <w:bCs w:val="off"/>
        <w:i w:val="off"/>
        <w:iCs w:val="off"/>
        <w:smallCaps w:val="off"/>
        <w:color w:val="000000"/>
        <w:sz w:val="22"/>
        <w:szCs w:val="22"/>
        <w:u w:val="none"/>
        <w:shd w:val="clear" w:fill="auto"/>
        <w:vertAlign w:val="baseline"/>
      </w:rPr>
    </w:lvl>
    <w:lvl w:ilvl="6" w:tentative="0">
      <w:start w:val="1"/>
      <w:numFmt w:val="bullet"/>
      <w:lvlText w:val="■"/>
      <w:lvlJc w:val="left"/>
      <w:pPr>
        <w:ind w:left="5040" w:hanging="360"/>
      </w:pPr>
      <w:rPr>
        <w:rFonts w:ascii="Arial" w:cs="Arial" w:eastAsia="Arial" w:hAnsi="Arial"/>
        <w:b w:val="off"/>
        <w:bCs w:val="off"/>
        <w:i w:val="off"/>
        <w:iCs w:val="off"/>
        <w:smallCaps w:val="off"/>
        <w:color w:val="000000"/>
        <w:sz w:val="22"/>
        <w:szCs w:val="22"/>
        <w:u w:val="none"/>
        <w:shd w:val="clear" w:fill="auto"/>
        <w:vertAlign w:val="baseline"/>
      </w:rPr>
    </w:lvl>
    <w:lvl w:ilvl="7" w:tentative="0">
      <w:start w:val="1"/>
      <w:numFmt w:val="bullet"/>
      <w:lvlText w:val="■"/>
      <w:lvlJc w:val="left"/>
      <w:pPr>
        <w:ind w:left="5760" w:hanging="360"/>
      </w:pPr>
      <w:rPr>
        <w:rFonts w:ascii="Arial" w:cs="Arial" w:eastAsia="Arial" w:hAnsi="Arial"/>
        <w:b w:val="off"/>
        <w:bCs w:val="off"/>
        <w:i w:val="off"/>
        <w:iCs w:val="off"/>
        <w:smallCaps w:val="off"/>
        <w:color w:val="000000"/>
        <w:sz w:val="22"/>
        <w:szCs w:val="22"/>
        <w:u w:val="none"/>
        <w:shd w:val="clear" w:fill="auto"/>
        <w:vertAlign w:val="baseline"/>
      </w:rPr>
    </w:lvl>
    <w:lvl w:ilvl="8" w:tentative="0">
      <w:start w:val="1"/>
      <w:numFmt w:val="bullet"/>
      <w:lvlText w:val="■"/>
      <w:lvlJc w:val="left"/>
      <w:pPr>
        <w:ind w:left="6480" w:hanging="360"/>
      </w:pPr>
      <w:rPr>
        <w:rFonts w:ascii="Arial" w:cs="Arial" w:eastAsia="Arial" w:hAnsi="Arial"/>
        <w:b w:val="off"/>
        <w:bCs w:val="off"/>
        <w:i w:val="off"/>
        <w:iCs w:val="off"/>
        <w:smallCaps w:val="off"/>
        <w:color w:val="000000"/>
        <w:sz w:val="22"/>
        <w:szCs w:val="22"/>
        <w:u w:val="none"/>
        <w:shd w:val="clear"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Arial" w:cs="Arial" w:eastAsia="Arial" w:hAnsi="Arial"/>
        <w:sz w:val="22"/>
        <w:szCs w:val="22"/>
      </w:rPr>
    </w:rPrDefault>
    <w:pPrDefault>
      <w:pPr>
        <w:widowControl w:val="off"/>
      </w:pPr>
    </w:pPrDefault>
  </w:docDefaults>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styleId="DefaultParagraphFont">
    <w:name w:val="Default Paragraph Font"/>
    <w:uiPriority w:val="1"/>
    <w:semiHidden w:val="on"/>
    <w:unhideWhenUsed w:val="on"/>
  </w:style>
  <w:style w:type="table"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table" w:default="1" w:styleId="TableNormal">
    <w:name w:val="TableNormal"/>
    <w:uiPriority w:val="99"/>
    <w:tblPr>
      <w:tblCellMar>
        <w:top w:w="100" w:type="dxa"/>
        <w:left w:w="100" w:type="dxa"/>
        <w:bottom w:w="100" w:type="dxa"/>
        <w:right w:w="100" w:type="dxa"/>
      </w:tblCellMar>
    </w:tblPr>
  </w:style>
  <w:style w:type="paragraph" w:default="1" w:styleId="Normal">
    <w:name w:val="Normal"/>
    <w:uiPriority w:val="99"/>
  </w:style>
  <w:style w:type="paragraph" w:styleId="Heading1">
    <w:name w:val="Heading 1"/>
    <w:basedOn w:val="Normal"/>
    <w:next w:val="Normal"/>
    <w:uiPriority w:val="99"/>
    <w:pPr>
      <w:pBdr>
        <w:top w:val="nil" w:sz="4" w:space="0"/>
        <w:left w:val="nil" w:sz="4" w:space="0"/>
        <w:bottom w:val="nil" w:sz="4" w:space="0"/>
        <w:right w:val="nil" w:sz="4" w:space="0"/>
        <w:between w:val="nil" w:sz="4" w:space="0"/>
      </w:pBdr>
      <w:shd w:val="clear" w:fill="auto"/>
      <w:spacing w:before="240" w:after="240"/>
    </w:pPr>
    <w:rPr>
      <w:b/>
      <w:bCs/>
      <w:i w:val="off"/>
      <w:iCs w:val="off"/>
      <w:sz w:val="48"/>
      <w:szCs w:val="48"/>
    </w:rPr>
  </w:style>
  <w:style w:type="paragraph" w:styleId="Heading2">
    <w:name w:val="Heading 2"/>
    <w:basedOn w:val="Normal"/>
    <w:next w:val="Normal"/>
    <w:uiPriority w:val="99"/>
    <w:pPr>
      <w:pBdr>
        <w:top w:val="nil" w:sz="4" w:space="0"/>
        <w:left w:val="nil" w:sz="4" w:space="0"/>
        <w:bottom w:val="nil" w:sz="4" w:space="0"/>
        <w:right w:val="nil" w:sz="4" w:space="0"/>
        <w:between w:val="nil" w:sz="4" w:space="0"/>
      </w:pBdr>
      <w:shd w:val="clear" w:fill="auto"/>
      <w:spacing w:before="225" w:after="225"/>
    </w:pPr>
    <w:rPr>
      <w:b/>
      <w:bCs/>
      <w:i w:val="off"/>
      <w:iCs w:val="off"/>
      <w:sz w:val="36"/>
      <w:szCs w:val="36"/>
    </w:rPr>
  </w:style>
  <w:style w:type="paragraph" w:styleId="Heading3">
    <w:name w:val="Heading 3"/>
    <w:basedOn w:val="Normal"/>
    <w:next w:val="Normal"/>
    <w:uiPriority w:val="99"/>
    <w:pPr>
      <w:pBdr>
        <w:top w:val="nil" w:sz="4" w:space="0"/>
        <w:left w:val="nil" w:sz="4" w:space="0"/>
        <w:bottom w:val="nil" w:sz="4" w:space="0"/>
        <w:right w:val="nil" w:sz="4" w:space="0"/>
        <w:between w:val="nil" w:sz="4" w:space="0"/>
      </w:pBdr>
      <w:shd w:val="clear" w:fill="auto"/>
      <w:spacing w:before="240" w:after="240"/>
    </w:pPr>
    <w:rPr>
      <w:b/>
      <w:bCs/>
      <w:i w:val="off"/>
      <w:iCs w:val="off"/>
      <w:sz w:val="28"/>
      <w:szCs w:val="28"/>
    </w:rPr>
  </w:style>
  <w:style w:type="paragraph" w:styleId="Heading4">
    <w:name w:val="Heading 4"/>
    <w:basedOn w:val="Normal"/>
    <w:next w:val="Normal"/>
    <w:uiPriority w:val="99"/>
    <w:pPr>
      <w:pBdr>
        <w:top w:val="nil" w:sz="4" w:space="0"/>
        <w:left w:val="nil" w:sz="4" w:space="0"/>
        <w:bottom w:val="nil" w:sz="4" w:space="0"/>
        <w:right w:val="nil" w:sz="4" w:space="0"/>
        <w:between w:val="nil" w:sz="4" w:space="0"/>
      </w:pBdr>
      <w:shd w:val="clear" w:fill="auto"/>
      <w:spacing w:before="255" w:after="255"/>
    </w:pPr>
    <w:rPr>
      <w:b/>
      <w:bCs/>
      <w:i w:val="off"/>
      <w:iCs w:val="off"/>
      <w:sz w:val="24"/>
      <w:szCs w:val="24"/>
    </w:rPr>
  </w:style>
  <w:style w:type="paragraph" w:styleId="Heading5">
    <w:name w:val="Heading 5"/>
    <w:basedOn w:val="Normal"/>
    <w:next w:val="Normal"/>
    <w:uiPriority w:val="99"/>
    <w:pPr>
      <w:pBdr>
        <w:top w:val="nil" w:sz="4" w:space="0"/>
        <w:left w:val="nil" w:sz="4" w:space="0"/>
        <w:bottom w:val="nil" w:sz="4" w:space="0"/>
        <w:right w:val="nil" w:sz="4" w:space="0"/>
        <w:between w:val="nil" w:sz="4" w:space="0"/>
      </w:pBdr>
      <w:shd w:val="clear" w:fill="auto"/>
      <w:spacing w:before="255" w:after="255"/>
    </w:pPr>
    <w:rPr>
      <w:b/>
      <w:bCs/>
      <w:i w:val="off"/>
      <w:iCs w:val="off"/>
      <w:sz w:val="18"/>
      <w:szCs w:val="18"/>
    </w:rPr>
  </w:style>
  <w:style w:type="paragraph" w:styleId="Heading6">
    <w:name w:val="Heading 6"/>
    <w:basedOn w:val="Normal"/>
    <w:next w:val="Normal"/>
    <w:uiPriority w:val="99"/>
    <w:pPr>
      <w:pBdr>
        <w:top w:val="nil" w:sz="4" w:space="0"/>
        <w:left w:val="nil" w:sz="4" w:space="0"/>
        <w:bottom w:val="nil" w:sz="4" w:space="0"/>
        <w:right w:val="nil" w:sz="4" w:space="0"/>
        <w:between w:val="nil" w:sz="4" w:space="0"/>
      </w:pBdr>
      <w:shd w:val="clear" w:fill="auto"/>
      <w:spacing w:before="360" w:after="360"/>
    </w:pPr>
    <w:rPr>
      <w:b/>
      <w:bCs/>
      <w:i w:val="off"/>
      <w:iCs w:val="off"/>
      <w:sz w:val="16"/>
      <w:szCs w:val="16"/>
    </w:rPr>
  </w:style>
  <w:style w:type="paragraph" w:styleId="Title">
    <w:name w:val="Title"/>
    <w:basedOn w:val="Normal"/>
    <w:next w:val="Normal"/>
    <w:uiPriority w:val="99"/>
    <w:pPr>
      <w:keepNext w:val="on"/>
      <w:keepLines w:val="on"/>
      <w:pageBreakBefore w:val="off"/>
      <w:spacing w:before="480" w:after="120"/>
    </w:pPr>
    <w:rPr>
      <w:b/>
      <w:bCs/>
      <w:sz w:val="72"/>
      <w:szCs w:val="72"/>
    </w:rPr>
  </w:style>
  <w:style w:type="paragraph" w:styleId="Subtitle">
    <w:name w:val="Subtitle"/>
    <w:basedOn w:val="Normal"/>
    <w:next w:val="Normal"/>
    <w:uiPriority w:val="99"/>
    <w:pPr>
      <w:keepNext w:val="on"/>
      <w:keepLines w:val="on"/>
      <w:pageBreakBefore w:val="off"/>
      <w:spacing w:before="360" w:after="80"/>
    </w:pPr>
    <w:rPr>
      <w:rFonts w:ascii="Georgia" w:cs="Georgia" w:eastAsia="Georgia" w:hAnsi="Georgia"/>
      <w:i/>
      <w:iCs/>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