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586C7" w14:textId="426ABBD2" w:rsidR="000C4F2B" w:rsidRDefault="006D54F8">
      <w:pPr>
        <w:spacing w:after="100"/>
        <w:jc w:val="center"/>
        <w:rPr>
          <w:rFonts w:ascii="Arial" w:eastAsia="Arial" w:hAnsi="Arial" w:cs="Arial"/>
          <w:b/>
          <w:bCs/>
          <w:color w:val="auto"/>
          <w:sz w:val="32"/>
          <w:szCs w:val="32"/>
        </w:rPr>
      </w:pPr>
      <w:r w:rsidRPr="000D115B">
        <w:rPr>
          <w:rFonts w:ascii="Arial" w:eastAsia="Arial" w:hAnsi="Arial" w:cs="Arial"/>
          <w:b/>
          <w:bCs/>
          <w:color w:val="auto"/>
          <w:sz w:val="32"/>
          <w:szCs w:val="32"/>
        </w:rPr>
        <w:t>Explainable Deep Reinforcement Learning for Resource-Aware Big Data Scheduling in Edge-Cloud Environments</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4"/>
        <w:gridCol w:w="3159"/>
        <w:gridCol w:w="3276"/>
      </w:tblGrid>
      <w:tr w:rsidR="00F21E9E" w:rsidRPr="00E969FC" w14:paraId="63147BEB" w14:textId="77777777" w:rsidTr="00F21E9E">
        <w:tc>
          <w:tcPr>
            <w:tcW w:w="3672" w:type="dxa"/>
          </w:tcPr>
          <w:p w14:paraId="6BAE952A"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1 </w:t>
            </w:r>
            <w:r w:rsidRPr="00E969FC">
              <w:rPr>
                <w:rFonts w:ascii="Times New Roman" w:hAnsi="Times New Roman" w:cs="Times New Roman"/>
              </w:rPr>
              <w:t>Naitik S T</w:t>
            </w:r>
          </w:p>
          <w:p w14:paraId="239D5E3A"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Department of CSE,</w:t>
            </w:r>
          </w:p>
          <w:p w14:paraId="6734952F"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 Dayananda Sagar University</w:t>
            </w:r>
          </w:p>
          <w:p w14:paraId="674C1C2A"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Bengaluru, India naithikenator@gmail.com</w:t>
            </w:r>
          </w:p>
        </w:tc>
        <w:tc>
          <w:tcPr>
            <w:tcW w:w="3672" w:type="dxa"/>
          </w:tcPr>
          <w:p w14:paraId="6DE16D44" w14:textId="505BFF24"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2 </w:t>
            </w:r>
            <w:proofErr w:type="spellStart"/>
            <w:r w:rsidR="00E969FC" w:rsidRPr="00E969FC">
              <w:rPr>
                <w:rFonts w:ascii="Times New Roman" w:hAnsi="Times New Roman" w:cs="Times New Roman"/>
              </w:rPr>
              <w:t>Benaka</w:t>
            </w:r>
            <w:proofErr w:type="spellEnd"/>
            <w:r w:rsidR="00E969FC" w:rsidRPr="00E969FC">
              <w:rPr>
                <w:rFonts w:ascii="Times New Roman" w:hAnsi="Times New Roman" w:cs="Times New Roman"/>
              </w:rPr>
              <w:t xml:space="preserve"> </w:t>
            </w:r>
            <w:proofErr w:type="spellStart"/>
            <w:r w:rsidR="00E969FC" w:rsidRPr="00E969FC">
              <w:rPr>
                <w:rFonts w:ascii="Times New Roman" w:hAnsi="Times New Roman" w:cs="Times New Roman"/>
              </w:rPr>
              <w:t>Santosha</w:t>
            </w:r>
            <w:proofErr w:type="spellEnd"/>
          </w:p>
          <w:p w14:paraId="7C29CD20"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Department of CSE,</w:t>
            </w:r>
          </w:p>
          <w:p w14:paraId="6AAF358A"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 Dayananda Sagar University</w:t>
            </w:r>
          </w:p>
          <w:p w14:paraId="5EA5E525" w14:textId="20DC69FC"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Bengaluru, India </w:t>
            </w:r>
            <w:r w:rsidR="00E969FC" w:rsidRPr="00E969FC">
              <w:rPr>
                <w:rFonts w:ascii="Times New Roman" w:hAnsi="Times New Roman" w:cs="Times New Roman"/>
              </w:rPr>
              <w:t>benaka.santhosh-cse@dsu.edu.in</w:t>
            </w:r>
          </w:p>
        </w:tc>
        <w:tc>
          <w:tcPr>
            <w:tcW w:w="3672" w:type="dxa"/>
          </w:tcPr>
          <w:p w14:paraId="1D549981" w14:textId="75658443"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3 </w:t>
            </w:r>
            <w:r w:rsidR="00E969FC" w:rsidRPr="00E969FC">
              <w:rPr>
                <w:rFonts w:ascii="Times New Roman" w:hAnsi="Times New Roman" w:cs="Times New Roman"/>
              </w:rPr>
              <w:t>Sridhar S K</w:t>
            </w:r>
          </w:p>
          <w:p w14:paraId="5191B444"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Department of CSE,</w:t>
            </w:r>
          </w:p>
          <w:p w14:paraId="5DBD7CB4"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 Dayananda Sagar University</w:t>
            </w:r>
          </w:p>
          <w:p w14:paraId="4965E3BA" w14:textId="5D3E6299" w:rsidR="00F21E9E" w:rsidRPr="00E969FC" w:rsidRDefault="00F21E9E" w:rsidP="00F21E9E">
            <w:pPr>
              <w:jc w:val="center"/>
              <w:rPr>
                <w:rFonts w:ascii="Times New Roman" w:hAnsi="Times New Roman" w:cs="Times New Roman"/>
              </w:rPr>
            </w:pPr>
            <w:r w:rsidRPr="00E969FC">
              <w:rPr>
                <w:rFonts w:ascii="Times New Roman" w:hAnsi="Times New Roman" w:cs="Times New Roman"/>
              </w:rPr>
              <w:t>Bengaluru, India</w:t>
            </w:r>
            <w:r w:rsidR="00E969FC" w:rsidRPr="00E969FC">
              <w:rPr>
                <w:rFonts w:ascii="Times New Roman" w:hAnsi="Times New Roman" w:cs="Times New Roman"/>
              </w:rPr>
              <w:t>,</w:t>
            </w:r>
            <w:r w:rsidR="00C57596">
              <w:rPr>
                <w:rFonts w:ascii="Times New Roman" w:hAnsi="Times New Roman" w:cs="Times New Roman"/>
              </w:rPr>
              <w:t xml:space="preserve"> </w:t>
            </w:r>
            <w:r w:rsidR="00E969FC" w:rsidRPr="00E969FC">
              <w:rPr>
                <w:rFonts w:ascii="Times New Roman" w:hAnsi="Times New Roman" w:cs="Times New Roman"/>
              </w:rPr>
              <w:t>sridhar.sk-cse@dsu.edu.in</w:t>
            </w:r>
          </w:p>
          <w:p w14:paraId="64DE2458" w14:textId="77777777" w:rsidR="00F21E9E" w:rsidRPr="00E969FC" w:rsidRDefault="00F21E9E" w:rsidP="00F21E9E">
            <w:pPr>
              <w:rPr>
                <w:rFonts w:ascii="Times New Roman" w:hAnsi="Times New Roman" w:cs="Times New Roman"/>
              </w:rPr>
            </w:pPr>
          </w:p>
          <w:p w14:paraId="392532A3" w14:textId="77777777" w:rsidR="00F21E9E" w:rsidRPr="00E969FC" w:rsidRDefault="00F21E9E" w:rsidP="00F21E9E">
            <w:pPr>
              <w:ind w:firstLine="720"/>
              <w:rPr>
                <w:rFonts w:ascii="Times New Roman" w:hAnsi="Times New Roman" w:cs="Times New Roman"/>
              </w:rPr>
            </w:pPr>
          </w:p>
        </w:tc>
        <w:bookmarkStart w:id="0" w:name="_GoBack"/>
        <w:bookmarkEnd w:id="0"/>
      </w:tr>
      <w:tr w:rsidR="00F21E9E" w:rsidRPr="00E969FC" w14:paraId="15983204" w14:textId="77777777" w:rsidTr="00F21E9E">
        <w:tc>
          <w:tcPr>
            <w:tcW w:w="3672" w:type="dxa"/>
          </w:tcPr>
          <w:p w14:paraId="23E2C502" w14:textId="3AFF8B81"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4 </w:t>
            </w:r>
            <w:r w:rsidR="00E969FC" w:rsidRPr="00E969FC">
              <w:rPr>
                <w:rFonts w:ascii="Times New Roman" w:hAnsi="Times New Roman" w:cs="Times New Roman"/>
              </w:rPr>
              <w:t>Tanvir Sardar</w:t>
            </w:r>
          </w:p>
          <w:p w14:paraId="4DACA103"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Department of CSE, </w:t>
            </w:r>
          </w:p>
          <w:p w14:paraId="72A9CE46"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Dayananda Sagar University</w:t>
            </w:r>
          </w:p>
          <w:p w14:paraId="775B39A1" w14:textId="55001F7A"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Bengaluru, India </w:t>
            </w:r>
            <w:r w:rsidR="00E969FC" w:rsidRPr="00E969FC">
              <w:rPr>
                <w:rFonts w:ascii="Times New Roman" w:hAnsi="Times New Roman" w:cs="Times New Roman"/>
              </w:rPr>
              <w:t>tanvir.sardar@gmail.com</w:t>
            </w:r>
          </w:p>
        </w:tc>
        <w:tc>
          <w:tcPr>
            <w:tcW w:w="3672" w:type="dxa"/>
          </w:tcPr>
          <w:p w14:paraId="01BECC67" w14:textId="3552F862"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5 </w:t>
            </w:r>
            <w:r w:rsidR="00E969FC" w:rsidRPr="00E969FC">
              <w:rPr>
                <w:rFonts w:ascii="Times New Roman" w:hAnsi="Times New Roman" w:cs="Times New Roman"/>
              </w:rPr>
              <w:t xml:space="preserve">Kumar </w:t>
            </w:r>
            <w:proofErr w:type="spellStart"/>
            <w:r w:rsidR="00E969FC" w:rsidRPr="00E969FC">
              <w:rPr>
                <w:rFonts w:ascii="Times New Roman" w:hAnsi="Times New Roman" w:cs="Times New Roman"/>
              </w:rPr>
              <w:t>Dilip</w:t>
            </w:r>
            <w:proofErr w:type="spellEnd"/>
          </w:p>
          <w:p w14:paraId="0FB44916"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Department of CSE, </w:t>
            </w:r>
          </w:p>
          <w:p w14:paraId="12649748"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Dayananda Sagar University</w:t>
            </w:r>
          </w:p>
          <w:p w14:paraId="380C57CF" w14:textId="3F354655" w:rsidR="00F21E9E" w:rsidRPr="00E969FC" w:rsidRDefault="00F21E9E" w:rsidP="00F21E9E">
            <w:pPr>
              <w:jc w:val="center"/>
              <w:rPr>
                <w:rFonts w:ascii="Times New Roman" w:hAnsi="Times New Roman" w:cs="Times New Roman"/>
              </w:rPr>
            </w:pPr>
            <w:r w:rsidRPr="00E969FC">
              <w:rPr>
                <w:rFonts w:ascii="Times New Roman" w:hAnsi="Times New Roman" w:cs="Times New Roman"/>
              </w:rPr>
              <w:t>Bengaluru, India</w:t>
            </w:r>
            <w:r w:rsidR="00E969FC" w:rsidRPr="00E969FC">
              <w:rPr>
                <w:rFonts w:ascii="Times New Roman" w:hAnsi="Times New Roman" w:cs="Times New Roman"/>
              </w:rPr>
              <w:t>, kumardilip-cse@dsu.edu.in</w:t>
            </w:r>
          </w:p>
        </w:tc>
        <w:tc>
          <w:tcPr>
            <w:tcW w:w="3672" w:type="dxa"/>
          </w:tcPr>
          <w:p w14:paraId="4C9171F2" w14:textId="2A73CCA7" w:rsidR="00F21E9E" w:rsidRPr="00E969FC" w:rsidRDefault="00F21E9E" w:rsidP="00F21E9E">
            <w:pPr>
              <w:jc w:val="center"/>
              <w:rPr>
                <w:rFonts w:ascii="Times New Roman" w:hAnsi="Times New Roman" w:cs="Times New Roman"/>
              </w:rPr>
            </w:pPr>
            <w:r w:rsidRPr="00E969FC">
              <w:rPr>
                <w:rFonts w:ascii="Times New Roman" w:hAnsi="Times New Roman" w:cs="Times New Roman"/>
                <w:vertAlign w:val="superscript"/>
              </w:rPr>
              <w:t xml:space="preserve">6 </w:t>
            </w:r>
            <w:proofErr w:type="spellStart"/>
            <w:r w:rsidR="00E969FC" w:rsidRPr="00E969FC">
              <w:rPr>
                <w:rFonts w:ascii="Times New Roman" w:hAnsi="Times New Roman" w:cs="Times New Roman"/>
              </w:rPr>
              <w:t>Gousia</w:t>
            </w:r>
            <w:proofErr w:type="spellEnd"/>
            <w:r w:rsidR="00E969FC" w:rsidRPr="00E969FC">
              <w:rPr>
                <w:rFonts w:ascii="Times New Roman" w:hAnsi="Times New Roman" w:cs="Times New Roman"/>
              </w:rPr>
              <w:t xml:space="preserve"> </w:t>
            </w:r>
            <w:proofErr w:type="spellStart"/>
            <w:r w:rsidR="00E969FC" w:rsidRPr="00E969FC">
              <w:rPr>
                <w:rFonts w:ascii="Times New Roman" w:hAnsi="Times New Roman" w:cs="Times New Roman"/>
              </w:rPr>
              <w:t>Thahniyath</w:t>
            </w:r>
            <w:proofErr w:type="spellEnd"/>
          </w:p>
          <w:p w14:paraId="02CD3147"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Department of CSE, </w:t>
            </w:r>
          </w:p>
          <w:p w14:paraId="14E81489" w14:textId="77777777" w:rsidR="00F21E9E" w:rsidRPr="00E969FC" w:rsidRDefault="00F21E9E" w:rsidP="00F21E9E">
            <w:pPr>
              <w:jc w:val="center"/>
              <w:rPr>
                <w:rFonts w:ascii="Times New Roman" w:hAnsi="Times New Roman" w:cs="Times New Roman"/>
              </w:rPr>
            </w:pPr>
            <w:r w:rsidRPr="00E969FC">
              <w:rPr>
                <w:rFonts w:ascii="Times New Roman" w:hAnsi="Times New Roman" w:cs="Times New Roman"/>
              </w:rPr>
              <w:t>Dayananda Sagar University</w:t>
            </w:r>
          </w:p>
          <w:p w14:paraId="266897E7" w14:textId="56FCE6F6" w:rsidR="00F21E9E" w:rsidRPr="00E969FC" w:rsidRDefault="00F21E9E" w:rsidP="00F21E9E">
            <w:pPr>
              <w:jc w:val="center"/>
              <w:rPr>
                <w:rFonts w:ascii="Times New Roman" w:hAnsi="Times New Roman" w:cs="Times New Roman"/>
              </w:rPr>
            </w:pPr>
            <w:r w:rsidRPr="00E969FC">
              <w:rPr>
                <w:rFonts w:ascii="Times New Roman" w:hAnsi="Times New Roman" w:cs="Times New Roman"/>
              </w:rPr>
              <w:t xml:space="preserve">Bengaluru, India </w:t>
            </w:r>
            <w:r w:rsidR="00E969FC" w:rsidRPr="00E969FC">
              <w:rPr>
                <w:rFonts w:ascii="Times New Roman" w:hAnsi="Times New Roman" w:cs="Times New Roman"/>
              </w:rPr>
              <w:t>gous.tans@gmail.com</w:t>
            </w:r>
          </w:p>
        </w:tc>
      </w:tr>
    </w:tbl>
    <w:p w14:paraId="13B430B9" w14:textId="77777777" w:rsidR="00F21E9E" w:rsidRPr="000D115B" w:rsidRDefault="00F21E9E">
      <w:pPr>
        <w:spacing w:after="100"/>
        <w:jc w:val="center"/>
        <w:rPr>
          <w:color w:val="auto"/>
        </w:rPr>
      </w:pPr>
    </w:p>
    <w:p w14:paraId="04706753" w14:textId="7D861075" w:rsidR="000C4F2B" w:rsidRDefault="006D54F8">
      <w:pPr>
        <w:spacing w:before="60" w:after="30"/>
        <w:jc w:val="center"/>
      </w:pPr>
      <w:r>
        <w:rPr>
          <w:sz w:val="18"/>
          <w:szCs w:val="18"/>
          <w:vertAlign w:val="superscript"/>
        </w:rPr>
        <w:t>¹</w:t>
      </w:r>
    </w:p>
    <w:p w14:paraId="1B22D91F" w14:textId="7F58DBEE" w:rsidR="00A54828" w:rsidRDefault="00A54828" w:rsidP="00DC2037">
      <w:pPr>
        <w:spacing w:before="16" w:after="80"/>
        <w:jc w:val="center"/>
        <w:sectPr w:rsidR="00A54828" w:rsidSect="00A54828">
          <w:footerReference w:type="default" r:id="rId7"/>
          <w:pgSz w:w="12240" w:h="15840"/>
          <w:pgMar w:top="1008" w:right="1008" w:bottom="1008" w:left="1008" w:header="708" w:footer="708" w:gutter="0"/>
          <w:cols w:space="720"/>
          <w:docGrid w:linePitch="360"/>
        </w:sectPr>
      </w:pPr>
    </w:p>
    <w:p w14:paraId="26FA5E04" w14:textId="77777777" w:rsidR="000C4F2B" w:rsidRDefault="000C4F2B">
      <w:pPr>
        <w:pBdr>
          <w:bottom w:val="single" w:sz="8" w:space="2" w:color="1A237E"/>
        </w:pBdr>
        <w:spacing w:after="80"/>
      </w:pPr>
    </w:p>
    <w:p w14:paraId="6DF590BF" w14:textId="77777777" w:rsidR="000C4F2B" w:rsidRDefault="006D54F8">
      <w:pPr>
        <w:pBdr>
          <w:bottom w:val="single" w:sz="8" w:space="2" w:color="1A237E"/>
        </w:pBdr>
        <w:spacing w:before="140" w:after="60"/>
      </w:pPr>
      <w:r>
        <w:rPr>
          <w:rFonts w:ascii="Arial" w:eastAsia="Arial" w:hAnsi="Arial" w:cs="Arial"/>
          <w:b/>
          <w:bCs/>
          <w:caps/>
          <w:color w:val="1A237E"/>
          <w:sz w:val="22"/>
          <w:szCs w:val="22"/>
        </w:rPr>
        <w:t>Abstract</w:t>
      </w:r>
    </w:p>
    <w:p w14:paraId="5EC34BB9" w14:textId="01ED4046" w:rsidR="00EC3458" w:rsidRDefault="00EC3458" w:rsidP="00EC3458">
      <w:pPr>
        <w:spacing w:before="40" w:after="40"/>
        <w:jc w:val="both"/>
      </w:pPr>
      <w:r>
        <w:t>Real-time big data scheduling across heterogeneous edge–fog–cloud continua demands intelligent task placement under strict service level agreements (SLAs), energy constraints, and cost objectives. Existing deep reinforcement learning (DRL) schedulers achieve competitive performance but suffer from two major limitations: opaque decision-making and unstable multi-objective reward optimization. This paper presents XRL-Sched, an explainable multi-objective DRL framework for resource-aware scheduling of large-scale directed acyclic graph (DAG) workloads. We f</w:t>
      </w:r>
      <w:r w:rsidR="00AE2DE2">
        <w:t>rame</w:t>
      </w:r>
      <w:r>
        <w:t xml:space="preserve"> the problem as a Markov Decision Process with a five-objective composite reward balancing </w:t>
      </w:r>
      <w:r w:rsidR="00AE2DE2">
        <w:t>make span</w:t>
      </w:r>
      <w:r>
        <w:t xml:space="preserve">, energy consumption, monetary cost, SLA compliance, and load balance. The proposed architecture integrates a </w:t>
      </w:r>
      <w:r w:rsidR="00AE2DE2">
        <w:t>Duelling</w:t>
      </w:r>
      <w:r>
        <w:t xml:space="preserve"> </w:t>
      </w:r>
      <w:r w:rsidR="00AE2DE2">
        <w:t>-</w:t>
      </w:r>
      <w:r>
        <w:t xml:space="preserve">Double </w:t>
      </w:r>
      <w:r w:rsidR="00AE2DE2">
        <w:t>-</w:t>
      </w:r>
      <w:r>
        <w:t>Deep Q-Network (D3QN) with a Graph Attention Network-based DAG encoder and Prioritized Experience Replay for stable training. To ensure transparency, XRL-Sched introduces an Attention-Guided Intrinsic Explainability (AGIE) module that produces real-time feature attributions with zero additional inference latency, complemented by a post-hoc SHAP engine for operator-auditable explanations.</w:t>
      </w:r>
    </w:p>
    <w:p w14:paraId="053CEB3A" w14:textId="77777777" w:rsidR="00EC3458" w:rsidRDefault="00EC3458" w:rsidP="00EC3458">
      <w:pPr>
        <w:spacing w:before="40" w:after="40"/>
        <w:jc w:val="both"/>
      </w:pPr>
    </w:p>
    <w:p w14:paraId="7B334873" w14:textId="0CB1CE8F" w:rsidR="00E5003C" w:rsidRDefault="00EC3458">
      <w:pPr>
        <w:spacing w:before="40" w:after="40"/>
        <w:jc w:val="both"/>
      </w:pPr>
      <w:r>
        <w:t>Extensive evaluation on Google Cluster Traces, Alibaba Cluster Trace v2, and a large-scale IoT-Edge simulator demonstrates superior SLA compliance (up to 31.2% reduction in violations), improved resource utilization, and high explanation fidelity (0.943 Pearson correlation). Ablation studies confirm the effectiveness of DAG-aware encoding and composite reward calibration in achieving robust, interpretable scheduling performance.</w:t>
      </w:r>
    </w:p>
    <w:p w14:paraId="41C2E146" w14:textId="77777777" w:rsidR="00E5003C" w:rsidRDefault="00E5003C">
      <w:pPr>
        <w:spacing w:before="40" w:after="40"/>
        <w:jc w:val="both"/>
      </w:pPr>
    </w:p>
    <w:p w14:paraId="3870203A" w14:textId="77777777" w:rsidR="000C4F2B" w:rsidRDefault="006D54F8">
      <w:pPr>
        <w:spacing w:before="40" w:after="60"/>
      </w:pPr>
      <w:r>
        <w:rPr>
          <w:b/>
          <w:bCs/>
        </w:rPr>
        <w:t xml:space="preserve">Keywords: </w:t>
      </w:r>
      <w:r>
        <w:t>Explainable AI, Deep Reinforcement Learning, Big Data Scheduling, Edge-Cloud Computing, Resource Management, SHAP, D3QN, Makespan Optimisation.</w:t>
      </w:r>
    </w:p>
    <w:p w14:paraId="40911AF3" w14:textId="77777777" w:rsidR="000C4F2B" w:rsidRDefault="000C4F2B">
      <w:pPr>
        <w:pBdr>
          <w:bottom w:val="single" w:sz="8" w:space="2" w:color="1A237E"/>
        </w:pBdr>
        <w:spacing w:after="80"/>
      </w:pPr>
    </w:p>
    <w:p w14:paraId="19C3C554" w14:textId="77777777" w:rsidR="000C4F2B" w:rsidRDefault="006D54F8">
      <w:pPr>
        <w:pBdr>
          <w:bottom w:val="single" w:sz="8" w:space="2" w:color="1A237E"/>
        </w:pBdr>
        <w:spacing w:before="140" w:after="60"/>
      </w:pPr>
      <w:r>
        <w:rPr>
          <w:rFonts w:ascii="Arial" w:eastAsia="Arial" w:hAnsi="Arial" w:cs="Arial"/>
          <w:b/>
          <w:bCs/>
          <w:caps/>
          <w:color w:val="1A237E"/>
          <w:sz w:val="22"/>
          <w:szCs w:val="22"/>
        </w:rPr>
        <w:t>I. Introduction</w:t>
      </w:r>
    </w:p>
    <w:p w14:paraId="48D376BB" w14:textId="77777777" w:rsidR="00F21E9E" w:rsidRDefault="006D54F8">
      <w:pPr>
        <w:spacing w:before="40" w:after="40"/>
        <w:ind w:firstLine="360"/>
        <w:jc w:val="both"/>
      </w:pPr>
      <w:r>
        <w:t xml:space="preserve">The global data economy now generates approximately 2.5 quintillion bytes per day, a fraction of which must be processed under stringent real-time service level agreements (SLAs) across heterogeneous compute continua that span resource-constrained edge devices, intermediate fog nodes, and elastic cloud data centres [1]. Big data frameworks such as Apache Spark, Flink, and Storm partition workloads into directed acyclic graphs (DAGs) of interdependent tasks requiring intelligent placement decisions that respect precedence constraints, data locality, network topology, and resource availability [2]. Sub-optimal scheduling decisions </w:t>
      </w:r>
    </w:p>
    <w:p w14:paraId="2330AEF3" w14:textId="77777777" w:rsidR="00F21E9E" w:rsidRDefault="00F21E9E" w:rsidP="00F21E9E">
      <w:pPr>
        <w:spacing w:before="40" w:after="40"/>
        <w:jc w:val="both"/>
      </w:pPr>
    </w:p>
    <w:p w14:paraId="0675F452" w14:textId="3475B86B" w:rsidR="000C4F2B" w:rsidRDefault="006D54F8" w:rsidP="00F21E9E">
      <w:pPr>
        <w:spacing w:before="40" w:after="40"/>
        <w:jc w:val="both"/>
      </w:pPr>
      <w:r>
        <w:t>cascade into SLA violations, energy waste, and cost overruns that can reach millions of dollars annually at hyperscale [3].</w:t>
      </w:r>
    </w:p>
    <w:p w14:paraId="3185B4DE" w14:textId="77777777" w:rsidR="00DC2037" w:rsidRDefault="00DC2037">
      <w:pPr>
        <w:spacing w:before="40" w:after="40"/>
        <w:ind w:firstLine="360"/>
        <w:jc w:val="both"/>
      </w:pPr>
    </w:p>
    <w:p w14:paraId="762AA83B" w14:textId="464424C4" w:rsidR="000C4F2B" w:rsidRDefault="006D54F8">
      <w:pPr>
        <w:spacing w:before="40" w:after="40"/>
        <w:ind w:firstLine="360"/>
        <w:jc w:val="both"/>
      </w:pPr>
      <w:r>
        <w:t xml:space="preserve">Deep </w:t>
      </w:r>
      <w:r w:rsidR="00AE2DE2">
        <w:t>R</w:t>
      </w:r>
      <w:r>
        <w:t xml:space="preserve">einforcement </w:t>
      </w:r>
      <w:r w:rsidR="00AE2DE2">
        <w:t>L</w:t>
      </w:r>
      <w:r>
        <w:t>earning (DRL) has emerged as a compelling paradigm for online scheduling, learning near-optimal policies through interaction with dynamic environments without requiring explicit system models [4]. However, DRL schedulers exhibit two critical shortcomings in production deployments. First, opacity: the deep neural policy network is a black box, providing no human-interpretable rationale for scheduling decisions, making it impossible for operators to audit automated resource allocation, diagnose pathological behaviour, or satisfy regulatory compliance requirements [5]. Second, reward non-stationarity: multi-objective scheduling requires carefully calibrated reward functions; naive scalarization ignores objective trade-off structure, leading to policies that optimise one metric at the expense of others [6].</w:t>
      </w:r>
    </w:p>
    <w:p w14:paraId="5D84D359" w14:textId="77777777" w:rsidR="000C4F2B" w:rsidRDefault="006D54F8">
      <w:pPr>
        <w:spacing w:before="40" w:after="40"/>
        <w:ind w:firstLine="360"/>
        <w:jc w:val="both"/>
      </w:pPr>
      <w:r>
        <w:t xml:space="preserve">Existing explainable DRL approaches apply LIME or SHAP post-hoc to explain individual decisions [7], but their explanations are disconnected from the policy's internal reasoning and incur latency incompatible with real-time scheduling. Intrinsically interpretable architectures such as attention-based schedulers [8] provide soft transparency but lack quantitative feature attribution. Multi-objective DRL frameworks [9] address reward trade-offs without </w:t>
      </w:r>
      <w:r>
        <w:lastRenderedPageBreak/>
        <w:t>explanation. No prior work jointly addresses online multi-objective scheduling, integrated intrinsic explainability, and post-hoc SHAP attribution in a unified edge-cloud scheduling framework.</w:t>
      </w:r>
    </w:p>
    <w:p w14:paraId="4BACD72C" w14:textId="4C3C3327" w:rsidR="000C4F2B" w:rsidRDefault="006D54F8">
      <w:pPr>
        <w:spacing w:before="40" w:after="40"/>
        <w:ind w:firstLine="360"/>
        <w:jc w:val="both"/>
      </w:pPr>
      <w:r>
        <w:t xml:space="preserve">This paper presents XRL-Sched with five core contributions: (1) A Markov Decision Process formulation of the edge-cloud scheduling problem with a five-objective composite reward function encoding makespan, energy, cost, SLA compliance, and load balance. (2) A D3QN with a resource-aware state encoder capturing global cluster telemetry and workload DAG embeddings. (3) An Attention-Guided Intrinsic Explainability (AGIE) module that generates per-decision feature importance maps at inference time with zero additional latency overhead. (4) A post-hoc SHAP attribution engine producing operator-readable natural language scheduling justifications. (5) </w:t>
      </w:r>
      <w:r w:rsidR="00AE2DE2">
        <w:t>Infrastructure ballenced</w:t>
      </w:r>
      <w:r>
        <w:t xml:space="preserve"> performance on three benchmark environments with rigorous ablation and explanation fidelity analysis.</w:t>
      </w:r>
    </w:p>
    <w:p w14:paraId="0AAF16F5" w14:textId="77777777" w:rsidR="00F4240E" w:rsidRDefault="00AE2DE2" w:rsidP="00F4240E">
      <w:pPr>
        <w:pBdr>
          <w:bottom w:val="single" w:sz="8" w:space="2" w:color="1A237E"/>
        </w:pBdr>
        <w:spacing w:before="140" w:after="60"/>
        <w:jc w:val="both"/>
      </w:pPr>
      <w:r w:rsidRPr="00AE2DE2">
        <w:t>Next, Section II presents an overview of the literature relevant to this area; Section III develops both a formal description of the problem and an overview of the architectural design of the solution; Section IV provides a definition of the XRL-Sched methodology; Section V discusses experimental results, while Section VI presents the results from a comprehensive set of ablation studies</w:t>
      </w:r>
      <w:r>
        <w:t xml:space="preserve">. </w:t>
      </w:r>
      <w:r w:rsidRPr="00AE2DE2">
        <w:t>Finally, Section VII provides the conclusion.</w:t>
      </w:r>
    </w:p>
    <w:p w14:paraId="4138FA6C" w14:textId="7A106614" w:rsidR="000C4F2B" w:rsidRDefault="006D54F8">
      <w:pPr>
        <w:pBdr>
          <w:bottom w:val="single" w:sz="8" w:space="2" w:color="1A237E"/>
        </w:pBdr>
        <w:spacing w:before="140" w:after="60"/>
      </w:pPr>
      <w:r>
        <w:rPr>
          <w:rFonts w:ascii="Arial" w:eastAsia="Arial" w:hAnsi="Arial" w:cs="Arial"/>
          <w:b/>
          <w:bCs/>
          <w:caps/>
          <w:color w:val="1A237E"/>
          <w:sz w:val="22"/>
          <w:szCs w:val="22"/>
        </w:rPr>
        <w:t xml:space="preserve"> Related Work</w:t>
      </w:r>
      <w:r w:rsidR="00F4240E">
        <w:rPr>
          <w:rFonts w:ascii="Arial" w:eastAsia="Arial" w:hAnsi="Arial" w:cs="Arial"/>
          <w:b/>
          <w:bCs/>
          <w:caps/>
          <w:color w:val="1A237E"/>
          <w:sz w:val="22"/>
          <w:szCs w:val="22"/>
        </w:rPr>
        <w:t>S</w:t>
      </w:r>
    </w:p>
    <w:p w14:paraId="41EBCF76" w14:textId="77777777" w:rsidR="000C4F2B" w:rsidRDefault="006D54F8">
      <w:pPr>
        <w:spacing w:before="90" w:after="40"/>
      </w:pPr>
      <w:r>
        <w:rPr>
          <w:rFonts w:ascii="Arial" w:eastAsia="Arial" w:hAnsi="Arial" w:cs="Arial"/>
          <w:b/>
          <w:bCs/>
          <w:color w:val="283593"/>
        </w:rPr>
        <w:t>A. Heuristic and Metaheuristic Schedulers</w:t>
      </w:r>
    </w:p>
    <w:p w14:paraId="0E82AD9F" w14:textId="77777777" w:rsidR="000C4F2B" w:rsidRDefault="006D54F8">
      <w:pPr>
        <w:spacing w:before="40" w:after="40"/>
        <w:ind w:firstLine="360"/>
        <w:jc w:val="both"/>
      </w:pPr>
      <w:r>
        <w:t>Earliest Deadline First (EDF) and Shortest Job First (SJF) remain widely deployed in production clusters due to deterministic behaviour and low overhead [10]. Genetic algorithm-based schedulers [11] explore large solution spaces but incur prohibitive computational costs for real-time decisions in clusters with thousands of concurrent tasks. HEFT (Heterogeneous Earliest Finish Time) [12] computes task priorities based on upward rank in the DAG, achieving near-optimal makespan on small DAGs but scaling poorly to workloads with thousands of tasks. Particle Swarm Optimisation and Simulated Annealing variants [13] provide good solution quality but require tuning and converge slowly under distributional shift.</w:t>
      </w:r>
    </w:p>
    <w:p w14:paraId="464B78BD" w14:textId="77777777" w:rsidR="000C4F2B" w:rsidRDefault="006D54F8">
      <w:pPr>
        <w:spacing w:before="90" w:after="40"/>
      </w:pPr>
      <w:r>
        <w:rPr>
          <w:rFonts w:ascii="Arial" w:eastAsia="Arial" w:hAnsi="Arial" w:cs="Arial"/>
          <w:b/>
          <w:bCs/>
          <w:color w:val="283593"/>
        </w:rPr>
        <w:t>B. Machine Learning Schedulers</w:t>
      </w:r>
    </w:p>
    <w:p w14:paraId="5863CB8B" w14:textId="0221C839" w:rsidR="000C4F2B" w:rsidRDefault="006D54F8">
      <w:pPr>
        <w:spacing w:before="40" w:after="40"/>
        <w:ind w:firstLine="360"/>
        <w:jc w:val="both"/>
      </w:pPr>
      <w:r>
        <w:t>Mao et al. [4] introduced Decima, a graph neural network scheduler trained via REINFORCE for Spark DAG scheduling, outperforming hand-crafted heuristics by 21% in average job completion time. Mirhoseini et al. [14] applied deep R</w:t>
      </w:r>
      <w:r w:rsidR="00CB65CB">
        <w:t xml:space="preserve">einforcement </w:t>
      </w:r>
      <w:r>
        <w:t>L</w:t>
      </w:r>
      <w:r w:rsidR="00CB65CB">
        <w:t>earning</w:t>
      </w:r>
      <w:r>
        <w:t xml:space="preserve"> for device </w:t>
      </w:r>
      <w:r w:rsidR="00CB65CB">
        <w:t>integration</w:t>
      </w:r>
      <w:r>
        <w:t xml:space="preserve"> in computational graphs, demonstrating 19-27% speedup over human experts. Liu et al. [15] proposed an attention-based DRL scheduler for heterogeneous edge nodes with energy awareness. Park et al. [16] introduced RMAB-based multi-resource scheduling with Whittle index policies. Zhang et al. [17] applied Proximal Policy Optimisation (PPO) for cloud VM autoscaling under bursty workloads.</w:t>
      </w:r>
    </w:p>
    <w:p w14:paraId="07846805" w14:textId="77777777" w:rsidR="000C4F2B" w:rsidRDefault="006D54F8">
      <w:pPr>
        <w:spacing w:before="90" w:after="40"/>
      </w:pPr>
      <w:r>
        <w:rPr>
          <w:rFonts w:ascii="Arial" w:eastAsia="Arial" w:hAnsi="Arial" w:cs="Arial"/>
          <w:b/>
          <w:bCs/>
          <w:color w:val="283593"/>
        </w:rPr>
        <w:t>C. Explainable Reinforcement Learning</w:t>
      </w:r>
    </w:p>
    <w:p w14:paraId="7D973718" w14:textId="521394B9" w:rsidR="000C4F2B" w:rsidRDefault="006D54F8">
      <w:pPr>
        <w:spacing w:before="40" w:after="40"/>
        <w:ind w:firstLine="360"/>
        <w:jc w:val="both"/>
      </w:pPr>
      <w:r>
        <w:t xml:space="preserve">Greydanus et al. [7] introduced perturbation-based saliency maps for Atari DRL agents, highlighting state regions influencing action selection. Lundberg and Lee [18] established SHAP (SHapley Additive exPlanations) as a game-theoretic attribution framework with favourable consistency and missingness axioms. Ribeiro et al. [19] proposed </w:t>
      </w:r>
      <w:r w:rsidR="00CB65CB">
        <w:t xml:space="preserve">EAI based </w:t>
      </w:r>
      <w:r>
        <w:t>LIME</w:t>
      </w:r>
      <w:r w:rsidR="00CB65CB">
        <w:t xml:space="preserve"> technique</w:t>
      </w:r>
      <w:r>
        <w:t xml:space="preserve"> for local linear approximation of black-box decisions. Recent work by Heuillet et al. [20] provided a comprehensive survey of explainability in DRL, identifying the tension between post-hoc fidelity and computational overhead. Puiutta and Veith [21] specifically surveyed XRL for system control, noting the scarcity of scheduling-domain applications.</w:t>
      </w:r>
    </w:p>
    <w:p w14:paraId="2D298529" w14:textId="77777777" w:rsidR="000C4F2B" w:rsidRDefault="006D54F8">
      <w:pPr>
        <w:spacing w:before="90" w:after="40"/>
      </w:pPr>
      <w:r>
        <w:rPr>
          <w:rFonts w:ascii="Arial" w:eastAsia="Arial" w:hAnsi="Arial" w:cs="Arial"/>
          <w:b/>
          <w:bCs/>
          <w:color w:val="283593"/>
        </w:rPr>
        <w:t>D. Edge-Cloud Continuum Resource Management</w:t>
      </w:r>
    </w:p>
    <w:p w14:paraId="2CE65009" w14:textId="010CBFAB" w:rsidR="000C4F2B" w:rsidRDefault="006D54F8">
      <w:pPr>
        <w:spacing w:before="40" w:after="40"/>
        <w:ind w:firstLine="360"/>
        <w:jc w:val="both"/>
      </w:pPr>
      <w:r>
        <w:t>Shi et al. [22] formally defined the edge computing paradigm and its resource heterogeneity challenges. Wang et al. [23] proposed a two-tier DRL offloading framework for with energy constraints</w:t>
      </w:r>
      <w:r w:rsidR="005C25BD">
        <w:t xml:space="preserve"> for mobile edge computing </w:t>
      </w:r>
      <w:r>
        <w:t>. Chen et al. [24] formulated joint task  as a mixed-integer non-linear programme</w:t>
      </w:r>
      <w:r w:rsidR="00EB7F86">
        <w:t xml:space="preserve"> for offloading and resource allocation</w:t>
      </w:r>
      <w:r>
        <w:t>, solved via Lyapunov optimisation. Tuli et al. [25] developed COSCO, a container scheduling framework for edge-cloud clusters using a DNN performance predictor, achieving 52% SLA violation reduction. Mahmud et al. [26] surveyed application scheduling in Fog computing environments, identifying latency-energy trade-offs as the dominant optimisation challenge.</w:t>
      </w:r>
    </w:p>
    <w:p w14:paraId="1A993074" w14:textId="77777777" w:rsidR="000C4F2B" w:rsidRDefault="006D54F8">
      <w:pPr>
        <w:spacing w:before="90" w:after="40"/>
      </w:pPr>
      <w:r>
        <w:rPr>
          <w:rFonts w:ascii="Arial" w:eastAsia="Arial" w:hAnsi="Arial" w:cs="Arial"/>
          <w:b/>
          <w:bCs/>
          <w:color w:val="283593"/>
        </w:rPr>
        <w:t>E. Multi-Objective Scheduling Optimisation</w:t>
      </w:r>
    </w:p>
    <w:p w14:paraId="01E49B0D" w14:textId="0D7D97D2" w:rsidR="000C4F2B" w:rsidRDefault="006D54F8">
      <w:pPr>
        <w:spacing w:before="40" w:after="40"/>
        <w:ind w:firstLine="360"/>
        <w:jc w:val="both"/>
      </w:pPr>
      <w:r>
        <w:t>Li et al. [27] proposed a Pareto-optimal multi-objective evolutionary algorithm</w:t>
      </w:r>
      <w:r w:rsidR="00EB7F86">
        <w:t>(MOEA)</w:t>
      </w:r>
      <w:r>
        <w:t xml:space="preserve"> for cloud workflow scheduling balancing makespan and cost. Peng et al. [28] introduced a multi-objective DRL scheduler using scalarized reward with dynamic weight adaptation for IoT edge computing. Zhou et al. [29] developed DeepEE, a deep RL framework for data centre energy efficiency that jointly optimi</w:t>
      </w:r>
      <w:r w:rsidR="00EB7F86">
        <w:t>z</w:t>
      </w:r>
      <w:r>
        <w:t>es PUE and application throughput. Fan et al. [30] demonstrated that reward shaping with Lagrangian constraints stabilises multi-objective DRL training compared to naive linear scalarization.</w:t>
      </w:r>
    </w:p>
    <w:p w14:paraId="3A1CEB15" w14:textId="77777777" w:rsidR="000C4F2B" w:rsidRDefault="006D54F8">
      <w:pPr>
        <w:pBdr>
          <w:bottom w:val="single" w:sz="8" w:space="2" w:color="1A237E"/>
        </w:pBdr>
        <w:spacing w:before="140" w:after="60"/>
      </w:pPr>
      <w:r>
        <w:rPr>
          <w:rFonts w:ascii="Arial" w:eastAsia="Arial" w:hAnsi="Arial" w:cs="Arial"/>
          <w:b/>
          <w:bCs/>
          <w:caps/>
          <w:color w:val="1A237E"/>
          <w:sz w:val="22"/>
          <w:szCs w:val="22"/>
        </w:rPr>
        <w:t>III. System Architecture &amp; Problem Formulation</w:t>
      </w:r>
    </w:p>
    <w:p w14:paraId="027368AA" w14:textId="77777777" w:rsidR="000C4F2B" w:rsidRDefault="006D54F8">
      <w:pPr>
        <w:spacing w:before="90" w:after="40"/>
      </w:pPr>
      <w:r>
        <w:rPr>
          <w:rFonts w:ascii="Arial" w:eastAsia="Arial" w:hAnsi="Arial" w:cs="Arial"/>
          <w:b/>
          <w:bCs/>
          <w:color w:val="283593"/>
        </w:rPr>
        <w:t>A. System Architecture Overview</w:t>
      </w:r>
    </w:p>
    <w:p w14:paraId="2082F8AF" w14:textId="5D2B5EF8" w:rsidR="000C4F2B" w:rsidRDefault="006D54F8">
      <w:pPr>
        <w:spacing w:before="40" w:after="40"/>
        <w:jc w:val="both"/>
      </w:pPr>
      <w:r>
        <w:t>Fig. 1 presents the XRL-Sched four-layer architecture encompassing the Edge-Cloud Cluster Environment, the D3QN Policy Network with AGIE module, the SHAP Post-hoc Explanation Engine, and the Operator Dashboard Interface.</w:t>
      </w:r>
    </w:p>
    <w:p w14:paraId="63E738D7" w14:textId="1358A828" w:rsidR="008F60FC" w:rsidRDefault="00BC202D">
      <w:pPr>
        <w:spacing w:before="40" w:after="40"/>
        <w:jc w:val="both"/>
      </w:pPr>
      <w:r>
        <w:rPr>
          <w:noProof/>
        </w:rPr>
        <w:lastRenderedPageBreak/>
        <w:drawing>
          <wp:inline distT="0" distB="0" distL="0" distR="0" wp14:anchorId="4B37CB17" wp14:editId="4032E09D">
            <wp:extent cx="3194350" cy="2133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8">
                      <a:extLst>
                        <a:ext uri="{28A0092B-C50C-407E-A947-70E740481C1C}">
                          <a14:useLocalDpi xmlns:a14="http://schemas.microsoft.com/office/drawing/2010/main" val="0"/>
                        </a:ext>
                      </a:extLst>
                    </a:blip>
                    <a:stretch>
                      <a:fillRect/>
                    </a:stretch>
                  </pic:blipFill>
                  <pic:spPr>
                    <a:xfrm>
                      <a:off x="0" y="0"/>
                      <a:ext cx="3197003" cy="2135372"/>
                    </a:xfrm>
                    <a:prstGeom prst="rect">
                      <a:avLst/>
                    </a:prstGeom>
                  </pic:spPr>
                </pic:pic>
              </a:graphicData>
            </a:graphic>
          </wp:inline>
        </w:drawing>
      </w:r>
    </w:p>
    <w:p w14:paraId="2E0EF8C2" w14:textId="77777777" w:rsidR="000C4F2B" w:rsidRPr="00BC202D" w:rsidRDefault="006D54F8" w:rsidP="00BC202D">
      <w:pPr>
        <w:spacing w:before="40" w:after="100"/>
        <w:jc w:val="both"/>
        <w:rPr>
          <w:color w:val="auto"/>
        </w:rPr>
      </w:pPr>
      <w:r w:rsidRPr="00BC202D">
        <w:rPr>
          <w:color w:val="auto"/>
          <w:sz w:val="18"/>
          <w:szCs w:val="18"/>
        </w:rPr>
        <w:t>Fig. 1. XRL-Sched four-layer system architecture: edge-cloud cluster environment feeds cluster state to the D3QN + AGIE policy network; SHAP explanations are surfaced to the operator dashboard alongside each scheduling action.</w:t>
      </w:r>
    </w:p>
    <w:p w14:paraId="0F6A0824" w14:textId="77777777" w:rsidR="000C4F2B" w:rsidRDefault="006D54F8">
      <w:pPr>
        <w:spacing w:before="90" w:after="40"/>
      </w:pPr>
      <w:r>
        <w:rPr>
          <w:rFonts w:ascii="Arial" w:eastAsia="Arial" w:hAnsi="Arial" w:cs="Arial"/>
          <w:b/>
          <w:bCs/>
          <w:color w:val="283593"/>
        </w:rPr>
        <w:t>B. Problem Formulation as MDP</w:t>
      </w:r>
    </w:p>
    <w:p w14:paraId="71C70280" w14:textId="77777777" w:rsidR="000C4F2B" w:rsidRDefault="006D54F8">
      <w:pPr>
        <w:spacing w:before="40" w:after="40"/>
        <w:jc w:val="both"/>
      </w:pPr>
      <w:r>
        <w:t>We model the scheduling problem as a Markov Decision Process (MDP) M = (S, A, P, R, gamma). At each scheduling step t, the agent observes state s_t ∈ S encoding cluster resource utilisation, pending task queue, DAG dependency graph, and node performance metrics. Action a_t ∈ A maps pending tasks to target nodes. The transition P(s_{t+1} | s_t, a_t) is determined by the cluster execution dynamics. The composite multi-objective reward is:</w:t>
      </w:r>
    </w:p>
    <w:p w14:paraId="7AB7D5E4" w14:textId="77777777" w:rsidR="000C4F2B" w:rsidRDefault="006D54F8">
      <w:pPr>
        <w:spacing w:before="72" w:after="72"/>
        <w:jc w:val="center"/>
      </w:pPr>
      <w:r>
        <w:rPr>
          <w:rFonts w:ascii="Cambria Math" w:eastAsia="Cambria Math" w:hAnsi="Cambria Math" w:cs="Cambria Math"/>
        </w:rPr>
        <w:t>R(s_t, a_t) = -w_1·MK_t - w_2·EN_t - w_3·CO_t + w_4·SLA_t - w_5·LB_t</w:t>
      </w:r>
      <w:r>
        <w:t xml:space="preserve">   (1)</w:t>
      </w:r>
    </w:p>
    <w:p w14:paraId="79959385" w14:textId="0EE79D6A" w:rsidR="000C4F2B" w:rsidRDefault="006D54F8">
      <w:pPr>
        <w:spacing w:before="40" w:after="40"/>
        <w:jc w:val="both"/>
      </w:pPr>
      <w:r>
        <w:t>where MK_t is normalised makespan increment, EN_t is energy consumption (Joules), CO_t is monetary cost, SLA_t ∈ {0,1} indicates SLA compliance, LB_t = std(utilisation_k) is load imbalance, and w_1 through w_5 are Pareto-calibrated objective weights. The optimal policy maximises expected discounted return:</w:t>
      </w:r>
    </w:p>
    <w:p w14:paraId="7A4953B8" w14:textId="5A2CE21E" w:rsidR="000C4F2B" w:rsidRDefault="00A903CA" w:rsidP="00A903CA">
      <w:pPr>
        <w:spacing w:before="40" w:after="40"/>
        <w:jc w:val="both"/>
      </w:pPr>
      <m:oMath>
        <m:r>
          <w:rPr>
            <w:rFonts w:ascii="Cambria Math" w:hAnsi="Cambria Math"/>
          </w:rPr>
          <m:t>π*=argma</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π</m:t>
                </m:r>
              </m:sub>
            </m:sSub>
          </m:e>
          <m:sub>
            <m:r>
              <w:rPr>
                <w:rFonts w:ascii="Cambria Math" w:hAnsi="Cambria Math"/>
              </w:rPr>
              <m:t>π</m:t>
            </m:r>
          </m:sub>
        </m:sSub>
        <m:r>
          <w:rPr>
            <w:rFonts w:ascii="Cambria Math" w:hAnsi="Cambria Math"/>
          </w:rPr>
          <m:t>Eπ[σ</m:t>
        </m:r>
        <m:sSup>
          <m:sSupPr>
            <m:ctrlPr>
              <w:rPr>
                <w:rFonts w:ascii="Cambria Math" w:hAnsi="Cambria Math"/>
                <w:i/>
              </w:rPr>
            </m:ctrlPr>
          </m:sSupPr>
          <m:e>
            <m:d>
              <m:dPr>
                <m:ctrlPr>
                  <w:rPr>
                    <w:rFonts w:ascii="Cambria Math" w:hAnsi="Cambria Math"/>
                    <w:i/>
                  </w:rPr>
                </m:ctrlPr>
              </m:dPr>
              <m:e>
                <m:r>
                  <w:rPr>
                    <w:rFonts w:ascii="Cambria Math" w:hAnsi="Cambria Math"/>
                  </w:rPr>
                  <m:t>t=0</m:t>
                </m:r>
              </m:e>
            </m:d>
          </m:e>
          <m:sup>
            <m:r>
              <w:rPr>
                <w:rFonts w:ascii="Cambria Math" w:hAnsi="Cambria Math"/>
              </w:rPr>
              <m:t>T</m:t>
            </m:r>
          </m:sup>
        </m:sSup>
        <m:r>
          <w:rPr>
            <w:rFonts w:ascii="Cambria Math" w:hAnsi="Cambria Math"/>
          </w:rPr>
          <m:t>]γ^tR(s,t,a,t)]</m:t>
        </m:r>
      </m:oMath>
      <w:r>
        <w:t xml:space="preserve">        </w:t>
      </w:r>
      <w:r w:rsidR="006D54F8">
        <w:t>(2)</w:t>
      </w:r>
    </w:p>
    <w:p w14:paraId="6A1DA42A" w14:textId="77777777" w:rsidR="000C4F2B" w:rsidRDefault="006D54F8">
      <w:pPr>
        <w:spacing w:before="40" w:after="40"/>
        <w:jc w:val="both"/>
      </w:pPr>
      <w:r>
        <w:t>The state vector s_t ∈ R^d is constructed as a concatenation of node-level features N = {cpu_k, mem_k, bw_k, gpu_k, queue_k}_{k=1}^{K} and a DAG embedding z_DAG computed by a Graph Attention Network over the pending workload graph:</w:t>
      </w:r>
    </w:p>
    <w:p w14:paraId="0E2FD5DF" w14:textId="77777777" w:rsidR="000C4F2B" w:rsidRPr="00EC3458" w:rsidRDefault="006D54F8">
      <w:pPr>
        <w:spacing w:before="72" w:after="72"/>
        <w:jc w:val="center"/>
        <w:rPr>
          <w:lang w:val="de-DE"/>
        </w:rPr>
      </w:pPr>
      <w:r w:rsidRPr="00EC3458">
        <w:rPr>
          <w:rFonts w:ascii="Cambria Math" w:eastAsia="Cambria Math" w:hAnsi="Cambria Math" w:cs="Cambria Math"/>
          <w:lang w:val="de-DE"/>
        </w:rPr>
        <w:t>s_t = [ vec(N_t) ; z_DAG(t) ; tau_t ; e_t ]  ∈ R^d</w:t>
      </w:r>
      <w:r w:rsidRPr="00EC3458">
        <w:rPr>
          <w:lang w:val="de-DE"/>
        </w:rPr>
        <w:t xml:space="preserve">   (3)</w:t>
      </w:r>
    </w:p>
    <w:p w14:paraId="5C2C9417" w14:textId="77777777" w:rsidR="000C4F2B" w:rsidRDefault="006D54F8">
      <w:pPr>
        <w:spacing w:before="40" w:after="40"/>
        <w:jc w:val="both"/>
      </w:pPr>
      <w:r>
        <w:t>where tau_t is the time-to-deadline vector for queued tasks and e_t is the current energy price signal.</w:t>
      </w:r>
    </w:p>
    <w:p w14:paraId="353A2C85" w14:textId="77777777" w:rsidR="000C4F2B" w:rsidRDefault="006D54F8">
      <w:pPr>
        <w:pBdr>
          <w:bottom w:val="single" w:sz="8" w:space="2" w:color="1A237E"/>
        </w:pBdr>
        <w:spacing w:before="140" w:after="60"/>
      </w:pPr>
      <w:r>
        <w:rPr>
          <w:rFonts w:ascii="Arial" w:eastAsia="Arial" w:hAnsi="Arial" w:cs="Arial"/>
          <w:b/>
          <w:bCs/>
          <w:caps/>
          <w:color w:val="1A237E"/>
          <w:sz w:val="22"/>
          <w:szCs w:val="22"/>
        </w:rPr>
        <w:t>IV. XRL-Sched Methodology</w:t>
      </w:r>
    </w:p>
    <w:p w14:paraId="13CAAEF4" w14:textId="77777777" w:rsidR="000C4F2B" w:rsidRDefault="006D54F8">
      <w:pPr>
        <w:spacing w:before="90" w:after="40"/>
      </w:pPr>
      <w:r>
        <w:rPr>
          <w:rFonts w:ascii="Arial" w:eastAsia="Arial" w:hAnsi="Arial" w:cs="Arial"/>
          <w:b/>
          <w:bCs/>
          <w:color w:val="283593"/>
        </w:rPr>
        <w:t>A. Dueling Double Deep Q-Network (D3QN)</w:t>
      </w:r>
    </w:p>
    <w:p w14:paraId="61A688CD" w14:textId="77777777" w:rsidR="000C4F2B" w:rsidRDefault="006D54F8">
      <w:pPr>
        <w:spacing w:before="40" w:after="40"/>
        <w:jc w:val="both"/>
      </w:pPr>
      <w:r>
        <w:t>XRL-Sched adopts the D3QN architecture combining Double DQN target network stabilisation with Dueling network advantage decomposition. The action-value function decomposes as:</w:t>
      </w:r>
    </w:p>
    <w:p w14:paraId="4CDB0939" w14:textId="6F87C848" w:rsidR="000C4F2B" w:rsidRDefault="00EE0594" w:rsidP="00EE0594">
      <w:pPr>
        <w:spacing w:before="72" w:after="72"/>
      </w:pPr>
      <m:oMath>
        <m:r>
          <w:rPr>
            <w:rFonts w:ascii="Cambria Math" w:hAnsi="Cambria Math"/>
          </w:rPr>
          <m:t>Q</m:t>
        </m:r>
        <m:d>
          <m:dPr>
            <m:ctrlPr>
              <w:rPr>
                <w:rFonts w:ascii="Cambria Math" w:hAnsi="Cambria Math"/>
                <w:i/>
              </w:rPr>
            </m:ctrlPr>
          </m:dPr>
          <m:e>
            <m:r>
              <w:rPr>
                <w:rFonts w:ascii="Cambria Math" w:hAnsi="Cambria Math"/>
              </w:rPr>
              <m:t>s,a:θ,α,β</m:t>
            </m:r>
          </m:e>
        </m:d>
        <m:r>
          <w:rPr>
            <w:rFonts w:ascii="Cambria Math" w:hAnsi="Cambria Math"/>
          </w:rPr>
          <m:t>=V</m:t>
        </m:r>
        <m:d>
          <m:dPr>
            <m:ctrlPr>
              <w:rPr>
                <w:rFonts w:ascii="Cambria Math" w:hAnsi="Cambria Math"/>
                <w:i/>
              </w:rPr>
            </m:ctrlPr>
          </m:dPr>
          <m:e>
            <m:r>
              <w:rPr>
                <w:rFonts w:ascii="Cambria Math" w:hAnsi="Cambria Math"/>
              </w:rPr>
              <m:t>s:θ,β</m:t>
            </m:r>
          </m:e>
        </m:d>
        <m:r>
          <w:rPr>
            <w:rFonts w:ascii="Cambria Math" w:hAnsi="Cambria Math"/>
          </w:rPr>
          <m:t>+[A</m:t>
        </m:r>
        <m:d>
          <m:dPr>
            <m:ctrlPr>
              <w:rPr>
                <w:rFonts w:ascii="Cambria Math" w:hAnsi="Cambria Math"/>
                <w:i/>
              </w:rPr>
            </m:ctrlPr>
          </m:dPr>
          <m:e>
            <m:r>
              <w:rPr>
                <w:rFonts w:ascii="Cambria Math" w:hAnsi="Cambria Math"/>
              </w:rPr>
              <m:t>s,a:θ,α</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A</m:t>
                    </m:r>
                  </m:e>
                </m:d>
              </m:den>
            </m:f>
          </m:e>
        </m:d>
        <m:r>
          <m:rPr>
            <m:sty m:val="p"/>
          </m:rPr>
          <w:rPr>
            <w:rFonts w:ascii="Cambria Math" w:hAnsi="Cambria Math"/>
          </w:rPr>
          <m:t>Σ</m:t>
        </m:r>
        <m:r>
          <w:rPr>
            <w:rFonts w:ascii="Cambria Math" w:hAnsi="Cambria Math"/>
          </w:rPr>
          <m:t>A</m:t>
        </m:r>
        <m:d>
          <m:dPr>
            <m:ctrlPr>
              <w:rPr>
                <w:rFonts w:ascii="Cambria Math" w:hAnsi="Cambria Math"/>
                <w:i/>
              </w:rPr>
            </m:ctrlPr>
          </m:dPr>
          <m:e>
            <m:r>
              <w:rPr>
                <w:rFonts w:ascii="Cambria Math" w:hAnsi="Cambria Math"/>
              </w:rPr>
              <m:t>s,a:θ,α</m:t>
            </m:r>
          </m:e>
        </m:d>
        <m:r>
          <w:rPr>
            <w:rFonts w:ascii="Cambria Math" w:hAnsi="Cambria Math"/>
          </w:rPr>
          <m:t>]</m:t>
        </m:r>
      </m:oMath>
      <w:r w:rsidR="006D54F8">
        <w:t xml:space="preserve">   (4)</w:t>
      </w:r>
    </w:p>
    <w:p w14:paraId="09FDA701" w14:textId="72114DFA" w:rsidR="000C4F2B" w:rsidRDefault="006D54F8">
      <w:pPr>
        <w:spacing w:before="40" w:after="40"/>
        <w:jc w:val="both"/>
      </w:pPr>
      <w:r>
        <w:t xml:space="preserve">where V(s; </w:t>
      </w:r>
      <m:oMath>
        <m:r>
          <w:rPr>
            <w:rFonts w:ascii="Cambria Math" w:hAnsi="Cambria Math"/>
          </w:rPr>
          <m:t>θ</m:t>
        </m:r>
      </m:oMath>
      <w:r>
        <w:t xml:space="preserve">, </w:t>
      </w:r>
      <m:oMath>
        <m:r>
          <w:rPr>
            <w:rFonts w:ascii="Cambria Math" w:hAnsi="Cambria Math"/>
          </w:rPr>
          <m:t>β</m:t>
        </m:r>
      </m:oMath>
      <w:r>
        <w:t xml:space="preserve">) is the state value stream, A(s,a; </w:t>
      </w:r>
      <m:oMath>
        <m:r>
          <w:rPr>
            <w:rFonts w:ascii="Cambria Math" w:hAnsi="Cambria Math"/>
          </w:rPr>
          <m:t>θ</m:t>
        </m:r>
      </m:oMath>
      <w:r>
        <w:t xml:space="preserve">, </w:t>
      </w:r>
      <m:oMath>
        <m:r>
          <w:rPr>
            <w:rFonts w:ascii="Cambria Math" w:hAnsi="Cambria Math"/>
          </w:rPr>
          <m:t>α</m:t>
        </m:r>
      </m:oMath>
      <w:r>
        <w:t xml:space="preserve">) is the advantage stream, and the mean subtraction eliminates </w:t>
      </w:r>
      <w:r>
        <w:t>unidentifiability. The Double DQN target uses the online network for action selection and the target network for value estimation:</w:t>
      </w:r>
    </w:p>
    <w:p w14:paraId="62FC75ED" w14:textId="0823FA8C" w:rsidR="000C4F2B" w:rsidRDefault="00F21E9E" w:rsidP="008A6173">
      <w:pPr>
        <w:spacing w:before="72" w:after="72"/>
      </w:p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+γ.Q</m:t>
        </m:r>
        <m:d>
          <m:dPr>
            <m:ctrlPr>
              <w:rPr>
                <w:rFonts w:ascii="Cambria Math" w:hAnsi="Cambria Math"/>
                <w:i/>
              </w:rPr>
            </m:ctrlPr>
          </m:dPr>
          <m:e>
            <m:sSub>
              <m:sSubPr>
                <m:ctrlPr>
                  <w:rPr>
                    <w:rFonts w:ascii="Cambria Math" w:hAnsi="Cambria Math"/>
                    <w:i/>
                  </w:rPr>
                </m:ctrlPr>
              </m:sSubPr>
              <m:e>
                <m:r>
                  <w:rPr>
                    <w:rFonts w:ascii="Cambria Math" w:hAnsi="Cambria Math"/>
                  </w:rPr>
                  <m:t>s</m:t>
                </m:r>
              </m:e>
              <m:sub>
                <m:d>
                  <m:dPr>
                    <m:begChr m:val="["/>
                    <m:endChr m:val="]"/>
                    <m:ctrlPr>
                      <w:rPr>
                        <w:rFonts w:ascii="Cambria Math" w:hAnsi="Cambria Math"/>
                        <w:i/>
                      </w:rPr>
                    </m:ctrlPr>
                  </m:dPr>
                  <m:e>
                    <m:r>
                      <w:rPr>
                        <w:rFonts w:ascii="Cambria Math" w:hAnsi="Cambria Math"/>
                      </w:rPr>
                      <m:t>t+1</m:t>
                    </m:r>
                  </m:e>
                </m:d>
              </m:sub>
            </m:sSub>
            <m:r>
              <w:rPr>
                <w:rFonts w:ascii="Cambria Math" w:hAnsi="Cambria Math"/>
              </w:rPr>
              <m:t>, argma</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s</m:t>
                    </m:r>
                  </m:e>
                  <m:sub>
                    <m:d>
                      <m:dPr>
                        <m:endChr m:val="}"/>
                        <m:ctrlPr>
                          <w:rPr>
                            <w:rFonts w:ascii="Cambria Math" w:hAnsi="Cambria Math"/>
                            <w:i/>
                          </w:rPr>
                        </m:ctrlPr>
                      </m:dPr>
                      <m:e>
                        <m:r>
                          <w:rPr>
                            <w:rFonts w:ascii="Cambria Math" w:hAnsi="Cambria Math"/>
                          </w:rPr>
                          <m:t>t+1</m:t>
                        </m:r>
                      </m:e>
                    </m:d>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:θ</m:t>
                </m:r>
              </m:e>
            </m:d>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m:t>
                </m:r>
              </m:sup>
            </m:sSup>
          </m:e>
        </m:d>
      </m:oMath>
      <w:r w:rsidR="008A6173">
        <w:t xml:space="preserve">    </w:t>
      </w:r>
      <w:r w:rsidR="006D54F8">
        <w:t>(5)</w:t>
      </w:r>
    </w:p>
    <w:p w14:paraId="0A44F784" w14:textId="2BCDDFBF" w:rsidR="000C4F2B" w:rsidRDefault="006D54F8">
      <w:pPr>
        <w:spacing w:before="40" w:after="40"/>
        <w:jc w:val="both"/>
      </w:pPr>
      <w:r>
        <w:t xml:space="preserve">where </w:t>
      </w:r>
      <m:oMath>
        <m:r>
          <w:rPr>
            <w:rFonts w:ascii="Cambria Math" w:hAnsi="Cambria Math"/>
          </w:rPr>
          <m:t>θ</m:t>
        </m:r>
      </m:oMath>
      <w:r>
        <w:t>^- are the frozen target network parameters updated every tau_update steps. The online network is trained by minimising the Huber loss:</w:t>
      </w:r>
    </w:p>
    <w:p w14:paraId="12D84472" w14:textId="7F9F3D82" w:rsidR="000C4F2B" w:rsidRDefault="008A6173" w:rsidP="008A6173">
      <w:pPr>
        <w:spacing w:before="72" w:after="72"/>
      </w:pPr>
      <m:oMath>
        <m:r>
          <w:rPr>
            <w:rFonts w:ascii="Cambria Math" w:hAnsi="Cambria Math"/>
          </w:rPr>
          <m:t>L</m:t>
        </m:r>
        <m:d>
          <m:dPr>
            <m:ctrlPr>
              <w:rPr>
                <w:rFonts w:ascii="Cambria Math" w:hAnsi="Cambria Math"/>
                <w:i/>
              </w:rPr>
            </m:ctrlPr>
          </m:dPr>
          <m:e>
            <m:r>
              <w:rPr>
                <w:rFonts w:ascii="Cambria Math" w:hAnsi="Cambria Math"/>
              </w:rPr>
              <m:t>θ</m:t>
            </m:r>
          </m:e>
        </m:d>
        <m:r>
          <w:rPr>
            <w:rFonts w:ascii="Cambria Math" w:hAnsi="Cambria Math"/>
          </w:rPr>
          <m:t>=E_</m:t>
        </m:r>
        <m:d>
          <m:dPr>
            <m:begChr m:val="{"/>
            <m:endChr m:val="}"/>
            <m:ctrlPr>
              <w:rPr>
                <w:rFonts w:ascii="Cambria Math" w:hAnsi="Cambria Math"/>
                <w:i/>
              </w:rPr>
            </m:ctrlPr>
          </m:dPr>
          <m:e>
            <m:d>
              <m:dPr>
                <m:ctrlPr>
                  <w:rPr>
                    <w:rFonts w:ascii="Cambria Math" w:hAnsi="Cambria Math"/>
                    <w:i/>
                  </w:rPr>
                </m:ctrlPr>
              </m:dPr>
              <m:e>
                <m:r>
                  <w:rPr>
                    <w:rFonts w:ascii="Cambria Math" w:hAnsi="Cambria Math"/>
                  </w:rPr>
                  <m:t>s,a,r,</m:t>
                </m:r>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δ</m:t>
            </m:r>
            <m:d>
              <m:dPr>
                <m:ctrlPr>
                  <w:rPr>
                    <w:rFonts w:ascii="Cambria Math" w:hAnsi="Cambria Math"/>
                    <w:i/>
                  </w:rPr>
                </m:ctrlPr>
              </m:dPr>
              <m:e>
                <m:r>
                  <w:rPr>
                    <w:rFonts w:ascii="Cambria Math" w:hAnsi="Cambria Math"/>
                  </w:rPr>
                  <m:t>y-t-Q</m:t>
                </m:r>
                <m:d>
                  <m:dPr>
                    <m:ctrlPr>
                      <w:rPr>
                        <w:rFonts w:ascii="Cambria Math" w:hAnsi="Cambria Math"/>
                        <w:i/>
                      </w:rPr>
                    </m:ctrlPr>
                  </m:dPr>
                  <m:e>
                    <m:r>
                      <w:rPr>
                        <w:rFonts w:ascii="Cambria Math" w:hAnsi="Cambria Math"/>
                      </w:rPr>
                      <m:t>s,t,a,t: θ</m:t>
                    </m:r>
                  </m:e>
                </m:d>
              </m:e>
            </m:d>
          </m:sub>
        </m:sSub>
        <m:r>
          <w:rPr>
            <w:rFonts w:ascii="Cambria Math" w:hAnsi="Cambria Math"/>
          </w:rPr>
          <m:t>]</m:t>
        </m:r>
      </m:oMath>
      <w:r>
        <w:t xml:space="preserve">               </w:t>
      </w:r>
      <w:r w:rsidR="006D54F8">
        <w:t>(6)</w:t>
      </w:r>
    </w:p>
    <w:p w14:paraId="0DC67374" w14:textId="3562D4F5" w:rsidR="000C4F2B" w:rsidRDefault="006D54F8">
      <w:pPr>
        <w:spacing w:before="40" w:after="40"/>
        <w:jc w:val="both"/>
      </w:pPr>
      <w:r>
        <w:t xml:space="preserve">where L_ is the Huber loss with delta = 1.0, and D is the prioritised experience replay buffer with priority </w:t>
      </w:r>
      <m:oMath>
        <m:r>
          <w:rPr>
            <w:rFonts w:ascii="Cambria Math" w:hAnsi="Cambria Math"/>
          </w:rPr>
          <m:t>π</m:t>
        </m:r>
      </m:oMath>
      <w:r>
        <w:t xml:space="preserve"> = |δ_i|^ω / Ʃ_j |δ_j|^ω using TD-error δ_i and priority exponent omega.</w:t>
      </w:r>
    </w:p>
    <w:p w14:paraId="1147D8CC" w14:textId="77777777" w:rsidR="000C4F2B" w:rsidRDefault="006D54F8">
      <w:pPr>
        <w:spacing w:before="90" w:after="40"/>
      </w:pPr>
      <w:r>
        <w:rPr>
          <w:rFonts w:ascii="Arial" w:eastAsia="Arial" w:hAnsi="Arial" w:cs="Arial"/>
          <w:b/>
          <w:bCs/>
          <w:color w:val="283593"/>
        </w:rPr>
        <w:t>B. Resource-Aware State Encoder</w:t>
      </w:r>
    </w:p>
    <w:p w14:paraId="0C54D1AB" w14:textId="77777777" w:rsidR="000C4F2B" w:rsidRDefault="006D54F8">
      <w:pPr>
        <w:spacing w:before="40" w:after="40"/>
        <w:jc w:val="both"/>
      </w:pPr>
      <w:r>
        <w:t>The state encoder processes two sub-streams in parallel. The cluster sub-stream applies a 3-layer MLP over the concatenated node resource vectors vec(N_t), producing a cluster embedding h_cluster ∈ R^{256}. The workload sub-stream encodes the pending DAG G_t = (V_t, E_t) using a 2-layer Graph Attention Network:</w:t>
      </w:r>
    </w:p>
    <w:p w14:paraId="2CFC5282" w14:textId="0D5F2F15" w:rsidR="000C4F2B" w:rsidRDefault="006D54F8">
      <w:pPr>
        <w:spacing w:before="72" w:after="72"/>
        <w:jc w:val="center"/>
      </w:pPr>
      <w:r>
        <w:rPr>
          <w:rFonts w:ascii="Cambria Math" w:eastAsia="Cambria Math" w:hAnsi="Cambria Math" w:cs="Cambria Math"/>
        </w:rPr>
        <w:t>z_DAG = GAT( X_tasks, A_DAG ) = σ( A_hat · H · W )  ∈ R^{128}</w:t>
      </w:r>
      <w:r>
        <w:t xml:space="preserve">   (7)</w:t>
      </w:r>
    </w:p>
    <w:p w14:paraId="66F60058" w14:textId="77777777" w:rsidR="000C4F2B" w:rsidRDefault="006D54F8">
      <w:pPr>
        <w:spacing w:before="40" w:after="40"/>
        <w:jc w:val="both"/>
      </w:pPr>
      <w:r>
        <w:t>where X_tasks ∈ R^{|V_t| x f} is the task feature matrix (CPU/memory demand, estimated duration, priority), A_hat is the normalised adjacency with self-loops, and W ∈ R^{f x 128} is a learnable weight matrix. The fused state representation is s_enc = LayerNorm([h_cluster ; z_DAG ; tau_t ; e_t]).</w:t>
      </w:r>
    </w:p>
    <w:p w14:paraId="067815E0" w14:textId="77777777" w:rsidR="000C4F2B" w:rsidRDefault="006D54F8">
      <w:pPr>
        <w:spacing w:before="90" w:after="40"/>
      </w:pPr>
      <w:r>
        <w:rPr>
          <w:rFonts w:ascii="Arial" w:eastAsia="Arial" w:hAnsi="Arial" w:cs="Arial"/>
          <w:b/>
          <w:bCs/>
          <w:color w:val="283593"/>
        </w:rPr>
        <w:t>C. Attention-Guided Intrinsic Explainability (AGIE)</w:t>
      </w:r>
    </w:p>
    <w:p w14:paraId="47EBE70D" w14:textId="77777777" w:rsidR="000C4F2B" w:rsidRDefault="006D54F8">
      <w:pPr>
        <w:spacing w:before="40" w:after="40"/>
        <w:jc w:val="both"/>
      </w:pPr>
      <w:r>
        <w:t>AGIE generates a per-decision feature attribution map phi_t ∈ R^d at zero additional inference latency by repurposing the multi-head self-attention weights computed in the state encoder. The intrinsic attribution for feature dimension i at decision step t is:</w:t>
      </w:r>
    </w:p>
    <w:p w14:paraId="400BABCC" w14:textId="1EF85B1F" w:rsidR="000C4F2B" w:rsidRDefault="00F21E9E" w:rsidP="006D54F8">
      <w:pPr>
        <w:spacing w:before="72" w:after="72"/>
      </w:pPr>
      <m:oMath>
        <m:sSubSup>
          <m:sSubSupPr>
            <m:ctrlPr>
              <w:rPr>
                <w:rFonts w:ascii="Cambria Math" w:hAnsi="Cambria Math"/>
                <w:i/>
              </w:rPr>
            </m:ctrlPr>
          </m:sSubSupPr>
          <m:e>
            <m:r>
              <w:rPr>
                <w:rFonts w:ascii="Cambria Math" w:hAnsi="Cambria Math"/>
              </w:rPr>
              <m:t>π</m:t>
            </m:r>
          </m:e>
          <m:sub>
            <m:r>
              <w:rPr>
                <w:rFonts w:ascii="Cambria Math" w:hAnsi="Cambria Math"/>
              </w:rPr>
              <m:t>i</m:t>
            </m:r>
          </m:sub>
          <m:sup>
            <m:d>
              <m:dPr>
                <m:begChr m:val="{"/>
                <m:endChr m:val="}"/>
                <m:ctrlPr>
                  <w:rPr>
                    <w:rFonts w:ascii="Cambria Math" w:hAnsi="Cambria Math"/>
                    <w:i/>
                  </w:rPr>
                </m:ctrlPr>
              </m:dPr>
              <m:e>
                <m:r>
                  <w:rPr>
                    <w:rFonts w:ascii="Cambria Math" w:hAnsi="Cambria Math"/>
                  </w:rPr>
                  <m:t>AGIE</m:t>
                </m:r>
              </m:e>
            </m:d>
            <m:d>
              <m:dPr>
                <m:ctrlPr>
                  <w:rPr>
                    <w:rFonts w:ascii="Cambria Math" w:hAnsi="Cambria Math"/>
                    <w:i/>
                  </w:rPr>
                </m:ctrlPr>
              </m:dPr>
              <m:e>
                <m:r>
                  <w:rPr>
                    <w:rFonts w:ascii="Cambria Math" w:hAnsi="Cambria Math"/>
                  </w:rPr>
                  <m:t>t</m:t>
                </m:r>
              </m:e>
            </m:d>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H</m:t>
                </m:r>
              </m:den>
            </m:f>
          </m:e>
        </m:d>
        <m:r>
          <m:rPr>
            <m:sty m:val="p"/>
          </m:rPr>
          <w:rPr>
            <w:rFonts w:ascii="Cambria Math" w:hAnsi="Cambria Math"/>
          </w:rPr>
          <m:t>Σ</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h=1</m:t>
                </m:r>
              </m:e>
            </m:d>
          </m:e>
          <m:sup>
            <m:d>
              <m:dPr>
                <m:begChr m:val="{"/>
                <m:endChr m:val="}"/>
                <m:ctrlPr>
                  <w:rPr>
                    <w:rFonts w:ascii="Cambria Math" w:hAnsi="Cambria Math"/>
                    <w:i/>
                  </w:rPr>
                </m:ctrlPr>
              </m:dPr>
              <m:e>
                <m:r>
                  <w:rPr>
                    <w:rFonts w:ascii="Cambria Math" w:hAnsi="Cambria Math"/>
                  </w:rPr>
                  <m:t>h</m:t>
                </m:r>
              </m:e>
            </m:d>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r>
              <m:rPr>
                <m:sty m:val="p"/>
              </m:rPr>
              <w:rPr>
                <w:rFonts w:ascii="Cambria Math" w:hAnsi="Cambria Math"/>
              </w:rPr>
              <m:t>Σ</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j=1</m:t>
                    </m:r>
                  </m:e>
                </m:d>
              </m:e>
              <m:sup>
                <m:d>
                  <m:dPr>
                    <m:begChr m:val="{"/>
                    <m:endChr m:val="}"/>
                    <m:ctrlPr>
                      <w:rPr>
                        <w:rFonts w:ascii="Cambria Math" w:hAnsi="Cambria Math"/>
                        <w:i/>
                      </w:rPr>
                    </m:ctrlPr>
                  </m:dPr>
                  <m:e>
                    <m:r>
                      <w:rPr>
                        <w:rFonts w:ascii="Cambria Math" w:hAnsi="Cambria Math"/>
                      </w:rPr>
                      <m:t>n</m:t>
                    </m:r>
                  </m:e>
                </m:d>
                <m:sSubSup>
                  <m:sSubSupPr>
                    <m:ctrlPr>
                      <w:rPr>
                        <w:rFonts w:ascii="Cambria Math" w:hAnsi="Cambria Math"/>
                        <w:i/>
                      </w:rPr>
                    </m:ctrlPr>
                  </m:sSubSupPr>
                  <m:e>
                    <m:r>
                      <w:rPr>
                        <w:rFonts w:ascii="Cambria Math" w:hAnsi="Cambria Math"/>
                      </w:rPr>
                      <m:t>α</m:t>
                    </m:r>
                  </m:e>
                  <m:sub>
                    <m:d>
                      <m:dPr>
                        <m:begChr m:val="{"/>
                        <m:endChr m:val="}"/>
                        <m:ctrlPr>
                          <w:rPr>
                            <w:rFonts w:ascii="Cambria Math" w:hAnsi="Cambria Math"/>
                            <w:i/>
                          </w:rPr>
                        </m:ctrlPr>
                      </m:dPr>
                      <m:e>
                        <m:r>
                          <w:rPr>
                            <w:rFonts w:ascii="Cambria Math" w:hAnsi="Cambria Math"/>
                          </w:rPr>
                          <m:t>jj</m:t>
                        </m:r>
                      </m:e>
                    </m:d>
                  </m:sub>
                  <m:sup>
                    <m:d>
                      <m:dPr>
                        <m:begChr m:val="{"/>
                        <m:endChr m:val="}"/>
                        <m:ctrlPr>
                          <w:rPr>
                            <w:rFonts w:ascii="Cambria Math" w:hAnsi="Cambria Math"/>
                            <w:i/>
                          </w:rPr>
                        </m:ctrlPr>
                      </m:dPr>
                      <m:e>
                        <m:d>
                          <m:dPr>
                            <m:endChr m:val="}"/>
                            <m:ctrlPr>
                              <w:rPr>
                                <w:rFonts w:ascii="Cambria Math" w:hAnsi="Cambria Math"/>
                                <w:i/>
                              </w:rPr>
                            </m:ctrlPr>
                          </m:dPr>
                          <m:e>
                            <m:r>
                              <w:rPr>
                                <w:rFonts w:ascii="Cambria Math" w:hAnsi="Cambria Math"/>
                              </w:rPr>
                              <m:t>h</m:t>
                            </m:r>
                          </m:e>
                        </m:d>
                      </m:e>
                    </m:d>
                    <m:d>
                      <m:dPr>
                        <m:ctrlPr>
                          <w:rPr>
                            <w:rFonts w:ascii="Cambria Math" w:hAnsi="Cambria Math"/>
                            <w:i/>
                          </w:rPr>
                        </m:ctrlPr>
                      </m:dPr>
                      <m:e>
                        <m:r>
                          <w:rPr>
                            <w:rFonts w:ascii="Cambria Math" w:hAnsi="Cambria Math"/>
                          </w:rPr>
                          <m:t>t</m:t>
                        </m:r>
                      </m:e>
                    </m:d>
                  </m:sup>
                </m:sSubSup>
              </m:sup>
            </m:sSup>
          </m:sup>
        </m:sSup>
        <m:r>
          <w:rPr>
            <w:rFonts w:ascii="Cambria Math" w:hAnsi="Cambria Math"/>
          </w:rPr>
          <m:t>.|s,</m:t>
        </m:r>
        <m:sSup>
          <m:sSupPr>
            <m:ctrlPr>
              <w:rPr>
                <w:rFonts w:ascii="Cambria Math" w:hAnsi="Cambria Math"/>
                <w:i/>
              </w:rPr>
            </m:ctrlPr>
          </m:sSupPr>
          <m:e>
            <m:r>
              <w:rPr>
                <w:rFonts w:ascii="Cambria Math" w:hAnsi="Cambria Math"/>
              </w:rPr>
              <m:t>t</m:t>
            </m:r>
          </m:e>
          <m:sup>
            <m:r>
              <w:rPr>
                <w:rFonts w:ascii="Cambria Math" w:hAnsi="Cambria Math"/>
              </w:rPr>
              <m:t>j</m:t>
            </m:r>
          </m:sup>
        </m:sSup>
        <m:r>
          <w:rPr>
            <w:rFonts w:ascii="Cambria Math" w:hAnsi="Cambria Math"/>
          </w:rPr>
          <m:t>|</m:t>
        </m:r>
      </m:oMath>
      <w:r w:rsidR="006D54F8">
        <w:t xml:space="preserve"> </w:t>
      </w:r>
      <w:r w:rsidR="000E28DF">
        <w:t xml:space="preserve">      </w:t>
      </w:r>
      <w:r w:rsidR="006D54F8">
        <w:t>(8)</w:t>
      </w:r>
    </w:p>
    <w:p w14:paraId="1ACA954B" w14:textId="4B0DAE62" w:rsidR="000C4F2B" w:rsidRDefault="006D54F8">
      <w:pPr>
        <w:spacing w:before="40" w:after="40"/>
        <w:jc w:val="both"/>
      </w:pPr>
      <w:r>
        <w:t xml:space="preserve">where alpha_{ij}^{(h)} is the attention weight from head h between query i and key j, and |s_t^j| is the L1 magnitude of feature j. The resulting map </w:t>
      </w:r>
      <w:r w:rsidR="000E28DF">
        <w:t>π</w:t>
      </w:r>
      <w:r>
        <w:t>^AGIE is normalised to a probability distribution and visualised as a feature importance bar chart in the operator dashboard at each scheduling step.</w:t>
      </w:r>
    </w:p>
    <w:p w14:paraId="68CE0C1A" w14:textId="77777777" w:rsidR="000C4F2B" w:rsidRDefault="006D54F8">
      <w:pPr>
        <w:spacing w:before="90" w:after="40"/>
      </w:pPr>
      <w:r>
        <w:rPr>
          <w:rFonts w:ascii="Arial" w:eastAsia="Arial" w:hAnsi="Arial" w:cs="Arial"/>
          <w:b/>
          <w:bCs/>
          <w:color w:val="283593"/>
        </w:rPr>
        <w:t>D. Post-Hoc SHAP Explanation Engine</w:t>
      </w:r>
    </w:p>
    <w:p w14:paraId="43B32194" w14:textId="77777777" w:rsidR="000C4F2B" w:rsidRDefault="006D54F8">
      <w:pPr>
        <w:spacing w:before="40" w:after="40"/>
        <w:jc w:val="both"/>
      </w:pPr>
      <w:r>
        <w:t>To provide operator-auditable explanations meeting regulatory standards, XRL-Sched runs a background SHAP process on a frozen snapshot of the policy Q-function evaluated at representative background samples B ~ D collected during training. For each scheduling decision a_t = argmax_a Q(s_t, a; theta), the SHAP value for feature i is:</w:t>
      </w:r>
    </w:p>
    <w:p w14:paraId="4A1C0654" w14:textId="09FC940A" w:rsidR="000C4F2B" w:rsidRDefault="000E28DF">
      <w:pPr>
        <w:spacing w:before="72" w:after="72"/>
        <w:jc w:val="center"/>
      </w:pPr>
      <w:r>
        <w:rPr>
          <w:rFonts w:ascii="Cambria Math" w:eastAsia="Cambria Math" w:hAnsi="Cambria Math" w:cs="Cambria Math"/>
        </w:rPr>
        <w:t>π</w:t>
      </w:r>
      <w:r w:rsidR="006D54F8">
        <w:rPr>
          <w:rFonts w:ascii="Cambria Math" w:eastAsia="Cambria Math" w:hAnsi="Cambria Math" w:cs="Cambria Math"/>
        </w:rPr>
        <w:t xml:space="preserve">_i^{SHAP} = </w:t>
      </w:r>
      <w:r>
        <w:rPr>
          <w:rFonts w:ascii="Cambria Math" w:eastAsia="Cambria Math" w:hAnsi="Cambria Math" w:cs="Cambria Math"/>
        </w:rPr>
        <w:t>Ʃ</w:t>
      </w:r>
      <w:r w:rsidR="006D54F8">
        <w:rPr>
          <w:rFonts w:ascii="Cambria Math" w:eastAsia="Cambria Math" w:hAnsi="Cambria Math" w:cs="Cambria Math"/>
        </w:rPr>
        <w:t>_{S subset F\{i}} [ |S|!(|F|-|S|-1)! / |F|! ] · [ v(S U {i}) - v(S) ]</w:t>
      </w:r>
      <w:r w:rsidR="006D54F8">
        <w:t xml:space="preserve">   (9)</w:t>
      </w:r>
    </w:p>
    <w:p w14:paraId="302B9D02" w14:textId="35166C48" w:rsidR="000C4F2B" w:rsidRDefault="006D54F8">
      <w:pPr>
        <w:spacing w:before="40" w:after="40"/>
        <w:jc w:val="both"/>
      </w:pPr>
      <w:r>
        <w:t>where F is the full feature set, S ranges over all subsets not containing feature i, and v(S) = E[Q(s,a) | s_S = s_t^S] is the conditional expectation marginalised over held-out features. SHAP values satisfy efficiency (</w:t>
      </w:r>
      <w:r w:rsidR="000E28DF">
        <w:t>Ʃ</w:t>
      </w:r>
      <w:r>
        <w:t xml:space="preserve"> </w:t>
      </w:r>
      <w:r w:rsidR="000E28DF">
        <w:t>π</w:t>
      </w:r>
      <w:r>
        <w:t xml:space="preserve">_i = Q(s_t, a_t) - E[Q]), consistency, and dummy properties. A natural language </w:t>
      </w:r>
      <w:r>
        <w:lastRenderedPageBreak/>
        <w:t>template maps SHAP attribution vectors to operator-readable scheduling justification strings: (e.g., "Task T47 assigned to Edge-Node-12 primarily because its CPU utilisation is 23% below cluster average [</w:t>
      </w:r>
      <w:r w:rsidR="000E28DF">
        <w:t>π</w:t>
      </w:r>
      <w:r>
        <w:t>_cpu=+0.34] and estimated communication latency to Cloud-Node-5 exceeds SLA deadline by 84ms [</w:t>
      </w:r>
      <w:r w:rsidR="000E28DF">
        <w:t>π</w:t>
      </w:r>
      <w:r>
        <w:t>_lat=-0.28].").</w:t>
      </w:r>
    </w:p>
    <w:p w14:paraId="14331D10" w14:textId="356BD859" w:rsidR="000C4F2B" w:rsidRDefault="006D54F8">
      <w:pPr>
        <w:spacing w:before="90" w:after="40"/>
        <w:rPr>
          <w:rFonts w:ascii="Arial" w:eastAsia="Arial" w:hAnsi="Arial" w:cs="Arial"/>
          <w:b/>
          <w:bCs/>
          <w:color w:val="283593"/>
        </w:rPr>
      </w:pPr>
      <w:r>
        <w:rPr>
          <w:rFonts w:ascii="Arial" w:eastAsia="Arial" w:hAnsi="Arial" w:cs="Arial"/>
          <w:b/>
          <w:bCs/>
          <w:color w:val="283593"/>
        </w:rPr>
        <w:t>E. Algorithm: XRL-Sched Training</w:t>
      </w:r>
    </w:p>
    <w:p w14:paraId="4636F441" w14:textId="77777777" w:rsidR="00BC202D" w:rsidRPr="00BC202D" w:rsidRDefault="00BC202D" w:rsidP="00BC202D">
      <w:pPr>
        <w:spacing w:before="4" w:after="4"/>
        <w:rPr>
          <w:sz w:val="18"/>
          <w:szCs w:val="18"/>
        </w:rPr>
      </w:pPr>
      <w:r w:rsidRPr="00BC202D">
        <w:rPr>
          <w:rFonts w:eastAsia="Courier New"/>
          <w:sz w:val="18"/>
          <w:szCs w:val="18"/>
        </w:rPr>
        <w:t>Algorithm 1: XRL-Sched — D3QN Training with AGIE + SHAP</w:t>
      </w:r>
    </w:p>
    <w:p w14:paraId="4545310A" w14:textId="77777777" w:rsidR="00BC202D" w:rsidRPr="00BC202D" w:rsidRDefault="00BC202D" w:rsidP="00BC202D">
      <w:pPr>
        <w:spacing w:before="4" w:after="4"/>
        <w:rPr>
          <w:sz w:val="18"/>
          <w:szCs w:val="18"/>
        </w:rPr>
      </w:pPr>
      <w:r w:rsidRPr="00BC202D">
        <w:rPr>
          <w:rFonts w:eastAsia="Courier New"/>
          <w:sz w:val="18"/>
          <w:szCs w:val="18"/>
        </w:rPr>
        <w:t>Input: Env E, replay buffer D, target update tau_u, batch B, gamma</w:t>
      </w:r>
    </w:p>
    <w:p w14:paraId="0A7714CB" w14:textId="77777777" w:rsidR="00BC202D" w:rsidRPr="00BC202D" w:rsidRDefault="00BC202D" w:rsidP="00BC202D">
      <w:pPr>
        <w:spacing w:before="4" w:after="4"/>
        <w:rPr>
          <w:sz w:val="18"/>
          <w:szCs w:val="18"/>
        </w:rPr>
      </w:pPr>
      <w:r w:rsidRPr="00BC202D">
        <w:rPr>
          <w:rFonts w:eastAsia="Courier New"/>
          <w:sz w:val="18"/>
          <w:szCs w:val="18"/>
        </w:rPr>
        <w:t xml:space="preserve">       SHAP background set B_shap, snapshot interval I_snap</w:t>
      </w:r>
    </w:p>
    <w:p w14:paraId="15656027" w14:textId="41CF7A2E" w:rsidR="00BC202D" w:rsidRPr="00BC202D" w:rsidRDefault="00BC202D" w:rsidP="00BC202D">
      <w:pPr>
        <w:spacing w:before="4" w:after="4"/>
        <w:rPr>
          <w:sz w:val="18"/>
          <w:szCs w:val="18"/>
        </w:rPr>
      </w:pPr>
      <w:r w:rsidRPr="00BC202D">
        <w:rPr>
          <w:rFonts w:eastAsia="Courier New"/>
          <w:sz w:val="18"/>
          <w:szCs w:val="18"/>
        </w:rPr>
        <w:t>Output: Trained policy Q(s,a</w:t>
      </w:r>
      <w:r w:rsidR="005349B6">
        <w:rPr>
          <w:rFonts w:eastAsia="Courier New"/>
          <w:sz w:val="18"/>
          <w:szCs w:val="18"/>
        </w:rPr>
        <w:t>,</w:t>
      </w:r>
      <m:oMath>
        <m:r>
          <w:rPr>
            <w:rFonts w:ascii="Cambria Math" w:hAnsi="Cambria Math"/>
          </w:rPr>
          <m:t>θ</m:t>
        </m:r>
      </m:oMath>
      <w:r w:rsidRPr="00BC202D">
        <w:rPr>
          <w:rFonts w:eastAsia="Courier New"/>
          <w:sz w:val="18"/>
          <w:szCs w:val="18"/>
        </w:rPr>
        <w:t>), SHAP explainer model</w:t>
      </w:r>
    </w:p>
    <w:p w14:paraId="6D2678AE" w14:textId="375864BF" w:rsidR="00BC202D" w:rsidRPr="00BC202D" w:rsidRDefault="00BC202D" w:rsidP="00BC202D">
      <w:pPr>
        <w:spacing w:before="4" w:after="4"/>
        <w:rPr>
          <w:sz w:val="18"/>
          <w:szCs w:val="18"/>
        </w:rPr>
      </w:pPr>
      <w:r w:rsidRPr="00BC202D">
        <w:rPr>
          <w:rFonts w:eastAsia="Courier New"/>
          <w:sz w:val="18"/>
          <w:szCs w:val="18"/>
        </w:rPr>
        <w:t>1:  Initialize Q(s,a;</w:t>
      </w:r>
      <m:oMath>
        <m:r>
          <w:rPr>
            <w:rFonts w:ascii="Cambria Math" w:hAnsi="Cambria Math"/>
          </w:rPr>
          <m:t>θ</m:t>
        </m:r>
      </m:oMath>
      <w:r w:rsidRPr="00BC202D">
        <w:rPr>
          <w:rFonts w:eastAsia="Courier New"/>
          <w:sz w:val="18"/>
          <w:szCs w:val="18"/>
        </w:rPr>
        <w:t>) and Q^-(s,a;</w:t>
      </w:r>
      <m:oMath>
        <m:r>
          <w:rPr>
            <w:rFonts w:ascii="Cambria Math" w:hAnsi="Cambria Math"/>
          </w:rPr>
          <m:t>θ</m:t>
        </m:r>
      </m:oMath>
      <w:r w:rsidRPr="00BC202D">
        <w:rPr>
          <w:rFonts w:eastAsia="Courier New"/>
          <w:sz w:val="18"/>
          <w:szCs w:val="18"/>
        </w:rPr>
        <w:t xml:space="preserve">^-) = </w:t>
      </w:r>
      <m:oMath>
        <m:r>
          <w:rPr>
            <w:rFonts w:ascii="Cambria Math" w:hAnsi="Cambria Math"/>
          </w:rPr>
          <m:t>θ</m:t>
        </m:r>
      </m:oMath>
    </w:p>
    <w:p w14:paraId="77F0941C" w14:textId="77777777" w:rsidR="00BC202D" w:rsidRPr="00BC202D" w:rsidRDefault="00BC202D" w:rsidP="00BC202D">
      <w:pPr>
        <w:spacing w:before="4" w:after="4"/>
        <w:rPr>
          <w:sz w:val="18"/>
          <w:szCs w:val="18"/>
        </w:rPr>
      </w:pPr>
      <w:r w:rsidRPr="00BC202D">
        <w:rPr>
          <w:rFonts w:eastAsia="Courier New"/>
          <w:sz w:val="18"/>
          <w:szCs w:val="18"/>
        </w:rPr>
        <w:t>2:  Initialize priority replay buffer D with max capacity N_D</w:t>
      </w:r>
    </w:p>
    <w:p w14:paraId="636EDB66" w14:textId="77777777" w:rsidR="00BC202D" w:rsidRPr="00BC202D" w:rsidRDefault="00BC202D" w:rsidP="00BC202D">
      <w:pPr>
        <w:spacing w:before="4" w:after="4"/>
        <w:rPr>
          <w:sz w:val="18"/>
          <w:szCs w:val="18"/>
        </w:rPr>
      </w:pPr>
      <w:r w:rsidRPr="00BC202D">
        <w:rPr>
          <w:rFonts w:eastAsia="Courier New"/>
          <w:sz w:val="18"/>
          <w:szCs w:val="18"/>
        </w:rPr>
        <w:t>3:  FOR episode = 1 to N_eps DO</w:t>
      </w:r>
    </w:p>
    <w:p w14:paraId="2EE3C12E" w14:textId="77777777" w:rsidR="00BC202D" w:rsidRPr="00BC202D" w:rsidRDefault="00BC202D" w:rsidP="00BC202D">
      <w:pPr>
        <w:spacing w:before="4" w:after="4"/>
        <w:rPr>
          <w:sz w:val="18"/>
          <w:szCs w:val="18"/>
        </w:rPr>
      </w:pPr>
      <w:r w:rsidRPr="00BC202D">
        <w:rPr>
          <w:rFonts w:eastAsia="Courier New"/>
          <w:sz w:val="18"/>
          <w:szCs w:val="18"/>
        </w:rPr>
        <w:t>4:    s_0 ← E.reset()  ;  cumR ← 0</w:t>
      </w:r>
    </w:p>
    <w:p w14:paraId="7276D57A" w14:textId="77777777" w:rsidR="00BC202D" w:rsidRPr="00BC202D" w:rsidRDefault="00BC202D" w:rsidP="00BC202D">
      <w:pPr>
        <w:spacing w:before="4" w:after="4"/>
        <w:rPr>
          <w:sz w:val="18"/>
          <w:szCs w:val="18"/>
        </w:rPr>
      </w:pPr>
      <w:r w:rsidRPr="00BC202D">
        <w:rPr>
          <w:rFonts w:eastAsia="Courier New"/>
          <w:sz w:val="18"/>
          <w:szCs w:val="18"/>
        </w:rPr>
        <w:t>5:    FOR t = 0, 1, 2, ... T DO</w:t>
      </w:r>
    </w:p>
    <w:p w14:paraId="53E8AC5E" w14:textId="77777777" w:rsidR="00BC202D" w:rsidRPr="00BC202D" w:rsidRDefault="00BC202D" w:rsidP="00BC202D">
      <w:pPr>
        <w:spacing w:before="4" w:after="4"/>
        <w:rPr>
          <w:sz w:val="18"/>
          <w:szCs w:val="18"/>
        </w:rPr>
      </w:pPr>
      <w:r w:rsidRPr="00BC202D">
        <w:rPr>
          <w:rFonts w:eastAsia="Courier New"/>
          <w:sz w:val="18"/>
          <w:szCs w:val="18"/>
        </w:rPr>
        <w:t>6:      Encode state: s_enc ← StateEncoder(s_t)</w:t>
      </w:r>
    </w:p>
    <w:p w14:paraId="20298684" w14:textId="2A963F56" w:rsidR="00BC202D" w:rsidRPr="00BC202D" w:rsidRDefault="00BC202D" w:rsidP="00BC202D">
      <w:pPr>
        <w:spacing w:before="4" w:after="4"/>
        <w:rPr>
          <w:sz w:val="18"/>
          <w:szCs w:val="18"/>
          <w:lang w:val="de-DE"/>
        </w:rPr>
      </w:pPr>
      <w:r w:rsidRPr="00BC202D">
        <w:rPr>
          <w:rFonts w:eastAsia="Courier New"/>
          <w:sz w:val="18"/>
          <w:szCs w:val="18"/>
          <w:lang w:val="de-DE"/>
        </w:rPr>
        <w:t xml:space="preserve">7:      Compute AGIE attribution: </w:t>
      </w:r>
      <m:oMath>
        <m:r>
          <w:rPr>
            <w:rFonts w:ascii="Cambria Math" w:hAnsi="Cambria Math"/>
          </w:rPr>
          <m:t>π</m:t>
        </m:r>
      </m:oMath>
      <w:r w:rsidRPr="00BC202D">
        <w:rPr>
          <w:rFonts w:eastAsia="Courier New"/>
          <w:sz w:val="18"/>
          <w:szCs w:val="18"/>
          <w:lang w:val="de-DE"/>
        </w:rPr>
        <w:t>^AGIE_t ← AGIE(s_enc)   [Eq.8]</w:t>
      </w:r>
    </w:p>
    <w:p w14:paraId="741A2CCC" w14:textId="0CA4FD99" w:rsidR="00BC202D" w:rsidRPr="00BC202D" w:rsidRDefault="00BC202D" w:rsidP="00BC202D">
      <w:pPr>
        <w:spacing w:before="4" w:after="4"/>
        <w:rPr>
          <w:sz w:val="18"/>
          <w:szCs w:val="18"/>
        </w:rPr>
      </w:pPr>
      <w:r w:rsidRPr="00BC202D">
        <w:rPr>
          <w:rFonts w:eastAsia="Courier New"/>
          <w:sz w:val="18"/>
          <w:szCs w:val="18"/>
        </w:rPr>
        <w:t xml:space="preserve">8:      Select action: a_t ← eps-greedy( argmax_a Q(s_enc, a; </w:t>
      </w:r>
      <m:oMath>
        <m:r>
          <w:rPr>
            <w:rFonts w:ascii="Cambria Math" w:hAnsi="Cambria Math"/>
          </w:rPr>
          <m:t>θ</m:t>
        </m:r>
      </m:oMath>
      <w:r w:rsidRPr="00BC202D">
        <w:rPr>
          <w:rFonts w:eastAsia="Courier New"/>
          <w:sz w:val="18"/>
          <w:szCs w:val="18"/>
        </w:rPr>
        <w:t>) )</w:t>
      </w:r>
    </w:p>
    <w:p w14:paraId="2B358CD1" w14:textId="77777777" w:rsidR="00BC202D" w:rsidRPr="00BC202D" w:rsidRDefault="00BC202D" w:rsidP="00BC202D">
      <w:pPr>
        <w:spacing w:before="4" w:after="4"/>
        <w:rPr>
          <w:sz w:val="18"/>
          <w:szCs w:val="18"/>
        </w:rPr>
      </w:pPr>
      <w:r w:rsidRPr="00BC202D">
        <w:rPr>
          <w:rFonts w:eastAsia="Courier New"/>
          <w:sz w:val="18"/>
          <w:szCs w:val="18"/>
        </w:rPr>
        <w:t>9:      Execute a_t in E; observe r_t, s_{t+1}, done_t</w:t>
      </w:r>
    </w:p>
    <w:p w14:paraId="4067E765" w14:textId="1C5DBDF5" w:rsidR="00BC202D" w:rsidRPr="00BC202D" w:rsidRDefault="00BC202D" w:rsidP="00BC202D">
      <w:pPr>
        <w:spacing w:before="4" w:after="4"/>
        <w:rPr>
          <w:sz w:val="18"/>
          <w:szCs w:val="18"/>
        </w:rPr>
      </w:pPr>
      <w:r w:rsidRPr="00BC202D">
        <w:rPr>
          <w:rFonts w:eastAsia="Courier New"/>
          <w:sz w:val="18"/>
          <w:szCs w:val="18"/>
        </w:rPr>
        <w:t xml:space="preserve">10:     Compute TD-error </w:t>
      </w:r>
      <w:r w:rsidR="006727D6">
        <w:rPr>
          <w:rFonts w:eastAsia="Courier New"/>
          <w:sz w:val="18"/>
          <w:szCs w:val="18"/>
        </w:rPr>
        <w:t>δ</w:t>
      </w:r>
      <w:r w:rsidRPr="00BC202D">
        <w:rPr>
          <w:rFonts w:eastAsia="Courier New"/>
          <w:sz w:val="18"/>
          <w:szCs w:val="18"/>
        </w:rPr>
        <w:t xml:space="preserve"> = r_t + </w:t>
      </w:r>
      <w:r w:rsidR="006727D6">
        <w:rPr>
          <w:rFonts w:eastAsia="Courier New"/>
          <w:sz w:val="18"/>
          <w:szCs w:val="18"/>
        </w:rPr>
        <w:t>γ</w:t>
      </w:r>
      <w:r w:rsidRPr="00BC202D">
        <w:rPr>
          <w:rFonts w:eastAsia="Courier New"/>
          <w:sz w:val="18"/>
          <w:szCs w:val="18"/>
        </w:rPr>
        <w:t>·max_{a'}Q(s_{t+1},a';</w:t>
      </w:r>
      <m:oMath>
        <m:r>
          <w:rPr>
            <w:rFonts w:ascii="Cambria Math" w:hAnsi="Cambria Math"/>
          </w:rPr>
          <m:t>θ</m:t>
        </m:r>
      </m:oMath>
      <w:r w:rsidRPr="00BC202D">
        <w:rPr>
          <w:rFonts w:eastAsia="Courier New"/>
          <w:sz w:val="18"/>
          <w:szCs w:val="18"/>
        </w:rPr>
        <w:t>^-)</w:t>
      </w:r>
    </w:p>
    <w:p w14:paraId="6D24F3BE" w14:textId="4E9C7A31" w:rsidR="00BC202D" w:rsidRPr="00BC202D" w:rsidRDefault="00BC202D" w:rsidP="00BC202D">
      <w:pPr>
        <w:spacing w:before="4" w:after="4"/>
        <w:ind w:left="720"/>
        <w:rPr>
          <w:sz w:val="18"/>
          <w:szCs w:val="18"/>
        </w:rPr>
      </w:pPr>
      <w:r w:rsidRPr="00BC202D">
        <w:rPr>
          <w:rFonts w:eastAsia="Courier New"/>
          <w:sz w:val="18"/>
          <w:szCs w:val="18"/>
        </w:rPr>
        <w:t xml:space="preserve">              - Q(s_t, a_t; </w:t>
      </w:r>
      <m:oMath>
        <m:r>
          <w:rPr>
            <w:rFonts w:ascii="Cambria Math" w:hAnsi="Cambria Math"/>
          </w:rPr>
          <m:t>θ</m:t>
        </m:r>
      </m:oMath>
      <w:r w:rsidR="005349B6">
        <w:rPr>
          <w:rFonts w:eastAsia="Courier New"/>
        </w:rPr>
        <w:t>)</w:t>
      </w:r>
    </w:p>
    <w:p w14:paraId="3DA7A900" w14:textId="6BF387F2" w:rsidR="00BC202D" w:rsidRPr="00BC202D" w:rsidRDefault="00BC202D" w:rsidP="00BC202D">
      <w:pPr>
        <w:spacing w:before="4" w:after="4"/>
        <w:rPr>
          <w:sz w:val="18"/>
          <w:szCs w:val="18"/>
        </w:rPr>
      </w:pPr>
      <w:r w:rsidRPr="00BC202D">
        <w:rPr>
          <w:rFonts w:eastAsia="Courier New"/>
          <w:sz w:val="18"/>
          <w:szCs w:val="18"/>
        </w:rPr>
        <w:t xml:space="preserve">11:     Store (s_t, a_t, r_t, s_{t+1}, </w:t>
      </w:r>
      <w:r w:rsidR="006727D6">
        <w:rPr>
          <w:rFonts w:eastAsia="Courier New"/>
          <w:sz w:val="18"/>
          <w:szCs w:val="18"/>
        </w:rPr>
        <w:t>δ</w:t>
      </w:r>
      <w:r w:rsidRPr="00BC202D">
        <w:rPr>
          <w:rFonts w:eastAsia="Courier New"/>
          <w:sz w:val="18"/>
          <w:szCs w:val="18"/>
        </w:rPr>
        <w:t>) in D with priority |</w:t>
      </w:r>
      <w:r w:rsidR="006727D6">
        <w:rPr>
          <w:rFonts w:eastAsia="Courier New"/>
          <w:sz w:val="18"/>
          <w:szCs w:val="18"/>
        </w:rPr>
        <w:t>δ</w:t>
      </w:r>
      <w:r w:rsidRPr="00BC202D">
        <w:rPr>
          <w:rFonts w:eastAsia="Courier New"/>
          <w:sz w:val="18"/>
          <w:szCs w:val="18"/>
        </w:rPr>
        <w:t>|^</w:t>
      </w:r>
      <w:r w:rsidR="006727D6">
        <w:rPr>
          <w:rFonts w:eastAsia="Courier New"/>
          <w:sz w:val="18"/>
          <w:szCs w:val="18"/>
        </w:rPr>
        <w:t>ω</w:t>
      </w:r>
    </w:p>
    <w:p w14:paraId="640B2AE8" w14:textId="77777777" w:rsidR="00BC202D" w:rsidRPr="00BC202D" w:rsidRDefault="00BC202D" w:rsidP="00BC202D">
      <w:pPr>
        <w:spacing w:before="4" w:after="4"/>
        <w:rPr>
          <w:sz w:val="18"/>
          <w:szCs w:val="18"/>
        </w:rPr>
      </w:pPr>
      <w:r w:rsidRPr="00BC202D">
        <w:rPr>
          <w:rFonts w:eastAsia="Courier New"/>
          <w:sz w:val="18"/>
          <w:szCs w:val="18"/>
        </w:rPr>
        <w:t>12:     Sample mini-batch of size B from D using prioritized sampling</w:t>
      </w:r>
    </w:p>
    <w:p w14:paraId="1B79F22E" w14:textId="77777777" w:rsidR="00BC202D" w:rsidRPr="00BC202D" w:rsidRDefault="00BC202D" w:rsidP="00BC202D">
      <w:pPr>
        <w:spacing w:before="4" w:after="4"/>
        <w:rPr>
          <w:sz w:val="18"/>
          <w:szCs w:val="18"/>
        </w:rPr>
      </w:pPr>
      <w:r w:rsidRPr="00BC202D">
        <w:rPr>
          <w:rFonts w:eastAsia="Courier New"/>
          <w:sz w:val="18"/>
          <w:szCs w:val="18"/>
        </w:rPr>
        <w:t>13:     Compute targets y_t via Double DQN rule   [Eq. 5]</w:t>
      </w:r>
    </w:p>
    <w:p w14:paraId="304C97C4" w14:textId="35C8DB16" w:rsidR="00BC202D" w:rsidRPr="00BC202D" w:rsidRDefault="00BC202D" w:rsidP="00BC202D">
      <w:pPr>
        <w:spacing w:before="4" w:after="4"/>
        <w:rPr>
          <w:sz w:val="18"/>
          <w:szCs w:val="18"/>
        </w:rPr>
      </w:pPr>
      <w:r w:rsidRPr="00BC202D">
        <w:rPr>
          <w:rFonts w:eastAsia="Courier New"/>
          <w:sz w:val="18"/>
          <w:szCs w:val="18"/>
        </w:rPr>
        <w:t>14:     Update theta by minimizing Huber loss L</w:t>
      </w:r>
      <m:oMath>
        <m:r>
          <w:rPr>
            <w:rFonts w:ascii="Cambria Math" w:hAnsi="Cambria Math"/>
          </w:rPr>
          <m:t>θ</m:t>
        </m:r>
      </m:oMath>
      <w:r w:rsidRPr="00BC202D">
        <w:rPr>
          <w:rFonts w:eastAsia="Courier New"/>
          <w:sz w:val="18"/>
          <w:szCs w:val="18"/>
        </w:rPr>
        <w:t>)  [Eq. 6]</w:t>
      </w:r>
    </w:p>
    <w:p w14:paraId="056717DE" w14:textId="77777777" w:rsidR="00BC202D" w:rsidRPr="00BC202D" w:rsidRDefault="00BC202D" w:rsidP="00BC202D">
      <w:pPr>
        <w:spacing w:before="4" w:after="4"/>
        <w:rPr>
          <w:sz w:val="18"/>
          <w:szCs w:val="18"/>
        </w:rPr>
      </w:pPr>
      <w:r w:rsidRPr="00BC202D">
        <w:rPr>
          <w:rFonts w:eastAsia="Courier New"/>
          <w:sz w:val="18"/>
          <w:szCs w:val="18"/>
        </w:rPr>
        <w:t>15:     Update importance sampling weights; adjust priorities in D</w:t>
      </w:r>
    </w:p>
    <w:p w14:paraId="5F0B5512" w14:textId="62FD7DDC" w:rsidR="00BC202D" w:rsidRPr="00BC202D" w:rsidRDefault="00BC202D" w:rsidP="00BC202D">
      <w:pPr>
        <w:spacing w:before="4" w:after="4"/>
        <w:rPr>
          <w:sz w:val="18"/>
          <w:szCs w:val="18"/>
        </w:rPr>
      </w:pPr>
      <w:r w:rsidRPr="00BC202D">
        <w:rPr>
          <w:rFonts w:eastAsia="Courier New"/>
          <w:sz w:val="18"/>
          <w:szCs w:val="18"/>
        </w:rPr>
        <w:t xml:space="preserve">16:     IF t mod tau_u == 0:  </w:t>
      </w:r>
      <m:oMath>
        <m:r>
          <w:rPr>
            <w:rFonts w:ascii="Cambria Math" w:hAnsi="Cambria Math"/>
          </w:rPr>
          <m:t>θ</m:t>
        </m:r>
      </m:oMath>
      <w:r w:rsidRPr="00BC202D">
        <w:rPr>
          <w:rFonts w:eastAsia="Courier New"/>
          <w:sz w:val="18"/>
          <w:szCs w:val="18"/>
        </w:rPr>
        <w:t xml:space="preserve">^- ← </w:t>
      </w:r>
      <m:oMath>
        <m:r>
          <w:rPr>
            <w:rFonts w:ascii="Cambria Math" w:hAnsi="Cambria Math"/>
          </w:rPr>
          <m:t>θ</m:t>
        </m:r>
      </m:oMath>
      <w:r w:rsidRPr="00BC202D">
        <w:rPr>
          <w:rFonts w:eastAsia="Courier New"/>
          <w:sz w:val="18"/>
          <w:szCs w:val="18"/>
        </w:rPr>
        <w:t xml:space="preserve">  (target net update)</w:t>
      </w:r>
    </w:p>
    <w:p w14:paraId="50CB80EF" w14:textId="77777777" w:rsidR="00BC202D" w:rsidRPr="00BC202D" w:rsidRDefault="00BC202D" w:rsidP="00BC202D">
      <w:pPr>
        <w:spacing w:before="4" w:after="4"/>
        <w:rPr>
          <w:sz w:val="18"/>
          <w:szCs w:val="18"/>
        </w:rPr>
      </w:pPr>
      <w:r w:rsidRPr="00BC202D">
        <w:rPr>
          <w:rFonts w:eastAsia="Courier New"/>
          <w:sz w:val="18"/>
          <w:szCs w:val="18"/>
        </w:rPr>
        <w:t>17:     IF t mod I_snap == 0:</w:t>
      </w:r>
    </w:p>
    <w:p w14:paraId="069C6F05" w14:textId="77777777" w:rsidR="005349B6" w:rsidRDefault="00BC202D" w:rsidP="00BC202D">
      <w:pPr>
        <w:spacing w:before="4" w:after="4"/>
        <w:rPr>
          <w:rFonts w:eastAsia="Courier New"/>
        </w:rPr>
      </w:pPr>
      <w:r w:rsidRPr="00BC202D">
        <w:rPr>
          <w:rFonts w:eastAsia="Courier New"/>
          <w:sz w:val="18"/>
          <w:szCs w:val="18"/>
        </w:rPr>
        <w:t xml:space="preserve">18:       Freeze theta_snap ← </w:t>
      </w:r>
      <m:oMath>
        <m:r>
          <w:rPr>
            <w:rFonts w:ascii="Cambria Math" w:hAnsi="Cambria Math"/>
          </w:rPr>
          <m:t>θ</m:t>
        </m:r>
      </m:oMath>
    </w:p>
    <w:p w14:paraId="6377007F" w14:textId="6B68F8B8" w:rsidR="00BC202D" w:rsidRPr="00BC202D" w:rsidRDefault="00BC202D" w:rsidP="00BC202D">
      <w:pPr>
        <w:spacing w:before="4" w:after="4"/>
        <w:rPr>
          <w:sz w:val="18"/>
          <w:szCs w:val="18"/>
        </w:rPr>
      </w:pPr>
      <w:r w:rsidRPr="00BC202D">
        <w:rPr>
          <w:rFonts w:eastAsia="Courier New"/>
          <w:sz w:val="18"/>
          <w:szCs w:val="18"/>
        </w:rPr>
        <w:t xml:space="preserve">19:       Fit SHAP explainer on Q(·, a*; </w:t>
      </w:r>
      <m:oMath>
        <m:r>
          <w:rPr>
            <w:rFonts w:ascii="Cambria Math" w:hAnsi="Cambria Math"/>
          </w:rPr>
          <m:t>θ</m:t>
        </m:r>
      </m:oMath>
      <w:r w:rsidRPr="00BC202D">
        <w:rPr>
          <w:rFonts w:eastAsia="Courier New"/>
          <w:sz w:val="18"/>
          <w:szCs w:val="18"/>
        </w:rPr>
        <w:t>_snap) over B_shap</w:t>
      </w:r>
    </w:p>
    <w:p w14:paraId="675AEB6A" w14:textId="7F04564D" w:rsidR="00BC202D" w:rsidRPr="00BC202D" w:rsidRDefault="00BC202D" w:rsidP="00BC202D">
      <w:pPr>
        <w:spacing w:before="4" w:after="4"/>
        <w:rPr>
          <w:sz w:val="18"/>
          <w:szCs w:val="18"/>
        </w:rPr>
      </w:pPr>
      <w:r w:rsidRPr="00BC202D">
        <w:rPr>
          <w:rFonts w:eastAsia="Courier New"/>
          <w:sz w:val="18"/>
          <w:szCs w:val="18"/>
        </w:rPr>
        <w:t xml:space="preserve">20:     Log (a_t, </w:t>
      </w:r>
      <m:oMath>
        <m:r>
          <w:rPr>
            <w:rFonts w:ascii="Cambria Math" w:hAnsi="Cambria Math"/>
          </w:rPr>
          <m:t>π</m:t>
        </m:r>
      </m:oMath>
      <w:r w:rsidRPr="00BC202D">
        <w:rPr>
          <w:rFonts w:eastAsia="Courier New"/>
          <w:sz w:val="18"/>
          <w:szCs w:val="18"/>
        </w:rPr>
        <w:t xml:space="preserve">^AGIE_t, </w:t>
      </w:r>
      <m:oMath>
        <m:r>
          <w:rPr>
            <w:rFonts w:ascii="Cambria Math" w:hAnsi="Cambria Math"/>
          </w:rPr>
          <m:t>π</m:t>
        </m:r>
      </m:oMath>
      <w:r w:rsidRPr="00BC202D">
        <w:rPr>
          <w:rFonts w:eastAsia="Courier New"/>
          <w:sz w:val="18"/>
          <w:szCs w:val="18"/>
        </w:rPr>
        <w:t>^SHAP_t) to operator dashboard</w:t>
      </w:r>
    </w:p>
    <w:p w14:paraId="26063533" w14:textId="471E7A31" w:rsidR="00BC202D" w:rsidRPr="00BC202D" w:rsidRDefault="00BC202D" w:rsidP="00BC202D">
      <w:pPr>
        <w:spacing w:before="4" w:after="4"/>
        <w:rPr>
          <w:sz w:val="18"/>
          <w:szCs w:val="18"/>
        </w:rPr>
      </w:pPr>
      <w:r>
        <w:rPr>
          <w:rFonts w:eastAsia="Courier New"/>
          <w:sz w:val="18"/>
          <w:szCs w:val="18"/>
        </w:rPr>
        <w:t>2</w:t>
      </w:r>
      <w:r w:rsidRPr="00BC202D">
        <w:rPr>
          <w:rFonts w:eastAsia="Courier New"/>
          <w:sz w:val="18"/>
          <w:szCs w:val="18"/>
        </w:rPr>
        <w:t>1:   END FOR</w:t>
      </w:r>
    </w:p>
    <w:p w14:paraId="5733AA63" w14:textId="77777777" w:rsidR="00BC202D" w:rsidRPr="00BC202D" w:rsidRDefault="00BC202D" w:rsidP="00BC202D">
      <w:pPr>
        <w:spacing w:before="4" w:after="4"/>
        <w:rPr>
          <w:sz w:val="18"/>
          <w:szCs w:val="18"/>
        </w:rPr>
      </w:pPr>
      <w:r w:rsidRPr="00BC202D">
        <w:rPr>
          <w:rFonts w:eastAsia="Courier New"/>
          <w:sz w:val="18"/>
          <w:szCs w:val="18"/>
        </w:rPr>
        <w:t>22: END FOR</w:t>
      </w:r>
    </w:p>
    <w:p w14:paraId="741C6F07" w14:textId="77777777" w:rsidR="00BC202D" w:rsidRPr="00BC202D" w:rsidRDefault="00BC202D" w:rsidP="00BC202D">
      <w:pPr>
        <w:spacing w:before="4" w:after="4"/>
        <w:rPr>
          <w:sz w:val="18"/>
          <w:szCs w:val="18"/>
        </w:rPr>
      </w:pPr>
      <w:r w:rsidRPr="00BC202D">
        <w:rPr>
          <w:rFonts w:eastAsia="Courier New"/>
          <w:sz w:val="18"/>
          <w:szCs w:val="18"/>
        </w:rPr>
        <w:t>23: RETURN theta, SHAP_explainer</w:t>
      </w:r>
    </w:p>
    <w:p w14:paraId="506FFD57" w14:textId="77777777" w:rsidR="00BC202D" w:rsidRDefault="00BC202D" w:rsidP="00BC202D">
      <w:pPr>
        <w:spacing w:before="4" w:after="4"/>
        <w:rPr>
          <w:rFonts w:eastAsia="Courier New"/>
          <w:sz w:val="18"/>
          <w:szCs w:val="18"/>
        </w:rPr>
      </w:pPr>
    </w:p>
    <w:p w14:paraId="0557B18A" w14:textId="65BFAE22" w:rsidR="00BC202D" w:rsidRDefault="00BC202D" w:rsidP="00BC202D">
      <w:pPr>
        <w:spacing w:before="4" w:after="4"/>
        <w:rPr>
          <w:sz w:val="18"/>
          <w:szCs w:val="18"/>
        </w:rPr>
      </w:pPr>
      <w:r w:rsidRPr="00BC202D">
        <w:rPr>
          <w:rFonts w:eastAsia="Courier New"/>
          <w:sz w:val="18"/>
          <w:szCs w:val="18"/>
        </w:rPr>
        <w:t>Complexity: O(N_eps · T · (d^2 + |B| · d))  per training run</w:t>
      </w:r>
    </w:p>
    <w:p w14:paraId="05883EAC" w14:textId="77777777" w:rsidR="00BC202D" w:rsidRPr="00BC202D" w:rsidRDefault="00BC202D" w:rsidP="00BC202D">
      <w:pPr>
        <w:spacing w:before="4" w:after="4"/>
        <w:rPr>
          <w:sz w:val="18"/>
          <w:szCs w:val="18"/>
        </w:rPr>
      </w:pPr>
    </w:p>
    <w:p w14:paraId="2083B84B" w14:textId="77777777" w:rsidR="000C4F2B" w:rsidRDefault="006D54F8" w:rsidP="00BC202D">
      <w:pPr>
        <w:spacing w:before="40" w:after="100"/>
        <w:jc w:val="both"/>
      </w:pPr>
      <w:r w:rsidRPr="00BC202D">
        <w:rPr>
          <w:color w:val="auto"/>
          <w:sz w:val="18"/>
          <w:szCs w:val="18"/>
        </w:rPr>
        <w:t>Algorithm 1. XRL-Sched D3QN training with integrated AGIE intrinsic attribution (line 7) and periodic SHAP snapshot fitting (lines 17–19). Both explainability streams run concurrently with scheduling decisions</w:t>
      </w:r>
      <w:r>
        <w:rPr>
          <w:color w:val="555555"/>
          <w:sz w:val="18"/>
          <w:szCs w:val="18"/>
        </w:rPr>
        <w:t>.</w:t>
      </w:r>
    </w:p>
    <w:p w14:paraId="7841D010" w14:textId="77777777" w:rsidR="000C4F2B" w:rsidRDefault="006D54F8">
      <w:pPr>
        <w:pBdr>
          <w:bottom w:val="single" w:sz="8" w:space="2" w:color="1A237E"/>
        </w:pBdr>
        <w:spacing w:before="140" w:after="60"/>
      </w:pPr>
      <w:r>
        <w:rPr>
          <w:rFonts w:ascii="Arial" w:eastAsia="Arial" w:hAnsi="Arial" w:cs="Arial"/>
          <w:b/>
          <w:bCs/>
          <w:caps/>
          <w:color w:val="1A237E"/>
          <w:sz w:val="22"/>
          <w:szCs w:val="22"/>
        </w:rPr>
        <w:t>V. Experimental Evaluation</w:t>
      </w:r>
    </w:p>
    <w:p w14:paraId="0FD7E635" w14:textId="77777777" w:rsidR="000C4F2B" w:rsidRDefault="006D54F8">
      <w:pPr>
        <w:spacing w:before="90" w:after="40"/>
      </w:pPr>
      <w:r>
        <w:rPr>
          <w:rFonts w:ascii="Arial" w:eastAsia="Arial" w:hAnsi="Arial" w:cs="Arial"/>
          <w:b/>
          <w:bCs/>
          <w:color w:val="283593"/>
        </w:rPr>
        <w:t>A. Benchmark Environments</w:t>
      </w:r>
    </w:p>
    <w:p w14:paraId="68A74469" w14:textId="77777777" w:rsidR="000C4F2B" w:rsidRDefault="006D54F8">
      <w:pPr>
        <w:spacing w:before="40" w:after="40"/>
        <w:ind w:firstLine="360"/>
        <w:jc w:val="both"/>
      </w:pPr>
      <w:r>
        <w:t>Experiments are conducted on three scheduling benchmark environments: (1) Google Cluster Traces (GCT-2023): Derived from the publicly released Google Borg cluster traces, comprising 650,000 tasks from 12,488 jobs spanning 29 days on a simulated 12,000-machine cluster. Tasks exhibit long-tailed CPU and memory demand distributions. (2) Alibaba Cluster Trace v2 (AliCloud-2022): A 4,000-node heterogeneous cluster trace with 9.4 million task instances across 677,000 jobs, including explicit DAG dependency information, resource specifications, and execution durations. (3) IoT-Edge Synthetic Simulator (IES-2023): A custom discrete-event simulator modelling a 200-</w:t>
      </w:r>
      <w:r>
        <w:t>edge-node, 50-cloud-VM continuum with IoT workloads following Poisson arrival processes, variable data payload sizes (1 KB -- 10 MB), and hard latency SLAs (20ms -- 2s). Table I summarizes all environments.</w:t>
      </w:r>
    </w:p>
    <w:p w14:paraId="73F86315" w14:textId="77777777" w:rsidR="000C4F2B" w:rsidRDefault="006D54F8">
      <w:pPr>
        <w:spacing w:before="60" w:after="20"/>
        <w:jc w:val="center"/>
      </w:pPr>
      <w:r>
        <w:rPr>
          <w:rFonts w:ascii="Arial" w:eastAsia="Arial" w:hAnsi="Arial" w:cs="Arial"/>
          <w:b/>
          <w:bCs/>
          <w:caps/>
          <w:color w:val="1A237E"/>
        </w:rPr>
        <w:t>TABLE I.  Benchmark Scheduling Environment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4"/>
        <w:gridCol w:w="642"/>
        <w:gridCol w:w="698"/>
        <w:gridCol w:w="650"/>
        <w:gridCol w:w="1012"/>
        <w:gridCol w:w="746"/>
      </w:tblGrid>
      <w:tr w:rsidR="000C4F2B" w14:paraId="580C8F39" w14:textId="77777777" w:rsidTr="002F717E">
        <w:trPr>
          <w:tblHeader/>
        </w:trPr>
        <w:tc>
          <w:tcPr>
            <w:tcW w:w="12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AFE0EE6" w14:textId="77777777" w:rsidR="000C4F2B" w:rsidRDefault="006D54F8">
            <w:pPr>
              <w:jc w:val="center"/>
            </w:pPr>
            <w:r>
              <w:rPr>
                <w:rFonts w:ascii="Arial" w:eastAsia="Arial" w:hAnsi="Arial" w:cs="Arial"/>
                <w:b/>
                <w:bCs/>
                <w:color w:val="FFFFFF"/>
                <w:sz w:val="18"/>
                <w:szCs w:val="18"/>
              </w:rPr>
              <w:t>Environment</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F8E412F" w14:textId="77777777" w:rsidR="000C4F2B" w:rsidRDefault="006D54F8">
            <w:pPr>
              <w:jc w:val="center"/>
            </w:pPr>
            <w:r>
              <w:rPr>
                <w:rFonts w:ascii="Arial" w:eastAsia="Arial" w:hAnsi="Arial" w:cs="Arial"/>
                <w:b/>
                <w:bCs/>
                <w:color w:val="FFFFFF"/>
                <w:sz w:val="18"/>
                <w:szCs w:val="18"/>
              </w:rPr>
              <w:t>Nodes</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2F676152" w14:textId="77777777" w:rsidR="000C4F2B" w:rsidRDefault="006D54F8">
            <w:pPr>
              <w:jc w:val="center"/>
            </w:pPr>
            <w:r>
              <w:rPr>
                <w:rFonts w:ascii="Arial" w:eastAsia="Arial" w:hAnsi="Arial" w:cs="Arial"/>
                <w:b/>
                <w:bCs/>
                <w:color w:val="FFFFFF"/>
                <w:sz w:val="18"/>
                <w:szCs w:val="18"/>
              </w:rPr>
              <w:t>Tasks</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2C0D57F0" w14:textId="77777777" w:rsidR="000C4F2B" w:rsidRDefault="006D54F8">
            <w:pPr>
              <w:jc w:val="center"/>
            </w:pPr>
            <w:r>
              <w:rPr>
                <w:rFonts w:ascii="Arial" w:eastAsia="Arial" w:hAnsi="Arial" w:cs="Arial"/>
                <w:b/>
                <w:bCs/>
                <w:color w:val="FFFFFF"/>
                <w:sz w:val="18"/>
                <w:szCs w:val="18"/>
              </w:rPr>
              <w:t>Jobs</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6F3612A" w14:textId="77777777" w:rsidR="000C4F2B" w:rsidRDefault="006D54F8">
            <w:pPr>
              <w:jc w:val="center"/>
            </w:pPr>
            <w:r>
              <w:rPr>
                <w:rFonts w:ascii="Arial" w:eastAsia="Arial" w:hAnsi="Arial" w:cs="Arial"/>
                <w:b/>
                <w:bCs/>
                <w:color w:val="FFFFFF"/>
                <w:sz w:val="18"/>
                <w:szCs w:val="18"/>
              </w:rPr>
              <w:t>SLA Types</w:t>
            </w:r>
          </w:p>
        </w:tc>
        <w:tc>
          <w:tcPr>
            <w:tcW w:w="12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1E34CF8" w14:textId="77777777" w:rsidR="000C4F2B" w:rsidRDefault="006D54F8">
            <w:pPr>
              <w:jc w:val="center"/>
            </w:pPr>
            <w:r>
              <w:rPr>
                <w:rFonts w:ascii="Arial" w:eastAsia="Arial" w:hAnsi="Arial" w:cs="Arial"/>
                <w:b/>
                <w:bCs/>
                <w:color w:val="FFFFFF"/>
                <w:sz w:val="18"/>
                <w:szCs w:val="18"/>
              </w:rPr>
              <w:t>Source</w:t>
            </w:r>
          </w:p>
        </w:tc>
      </w:tr>
      <w:tr w:rsidR="000C4F2B" w14:paraId="616E19E5" w14:textId="77777777" w:rsidTr="002F717E">
        <w:tc>
          <w:tcPr>
            <w:tcW w:w="12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4DF6255" w14:textId="77777777" w:rsidR="000C4F2B" w:rsidRDefault="006D54F8">
            <w:pPr>
              <w:jc w:val="center"/>
            </w:pPr>
            <w:r>
              <w:rPr>
                <w:sz w:val="18"/>
                <w:szCs w:val="18"/>
              </w:rPr>
              <w:t>GCT-2023</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8CC54E9" w14:textId="77777777" w:rsidR="000C4F2B" w:rsidRDefault="006D54F8">
            <w:pPr>
              <w:jc w:val="center"/>
            </w:pPr>
            <w:r>
              <w:rPr>
                <w:sz w:val="18"/>
                <w:szCs w:val="18"/>
              </w:rPr>
              <w:t>12,000</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1E23634" w14:textId="77777777" w:rsidR="000C4F2B" w:rsidRDefault="006D54F8">
            <w:pPr>
              <w:jc w:val="center"/>
            </w:pPr>
            <w:r>
              <w:rPr>
                <w:sz w:val="18"/>
                <w:szCs w:val="18"/>
              </w:rPr>
              <w:t>650K</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E462E47" w14:textId="77777777" w:rsidR="000C4F2B" w:rsidRDefault="006D54F8">
            <w:pPr>
              <w:jc w:val="center"/>
            </w:pPr>
            <w:r>
              <w:rPr>
                <w:sz w:val="18"/>
                <w:szCs w:val="18"/>
              </w:rPr>
              <w:t>12,488</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56A14E9" w14:textId="77777777" w:rsidR="000C4F2B" w:rsidRDefault="006D54F8">
            <w:pPr>
              <w:jc w:val="center"/>
            </w:pPr>
            <w:r>
              <w:rPr>
                <w:sz w:val="18"/>
                <w:szCs w:val="18"/>
              </w:rPr>
              <w:t>Throughput</w:t>
            </w:r>
          </w:p>
        </w:tc>
        <w:tc>
          <w:tcPr>
            <w:tcW w:w="12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1B1148C" w14:textId="77777777" w:rsidR="000C4F2B" w:rsidRDefault="006D54F8">
            <w:pPr>
              <w:jc w:val="center"/>
            </w:pPr>
            <w:r>
              <w:rPr>
                <w:sz w:val="18"/>
                <w:szCs w:val="18"/>
              </w:rPr>
              <w:t>Google Borg, 2023</w:t>
            </w:r>
          </w:p>
        </w:tc>
      </w:tr>
      <w:tr w:rsidR="000C4F2B" w14:paraId="07123FDD" w14:textId="77777777" w:rsidTr="002F717E">
        <w:tc>
          <w:tcPr>
            <w:tcW w:w="12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7E45AA1" w14:textId="77777777" w:rsidR="000C4F2B" w:rsidRDefault="006D54F8">
            <w:pPr>
              <w:jc w:val="center"/>
            </w:pPr>
            <w:r>
              <w:rPr>
                <w:sz w:val="18"/>
                <w:szCs w:val="18"/>
              </w:rPr>
              <w:t>AliCloud-2022</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E75B6AA" w14:textId="77777777" w:rsidR="000C4F2B" w:rsidRDefault="006D54F8">
            <w:pPr>
              <w:jc w:val="center"/>
            </w:pPr>
            <w:r>
              <w:rPr>
                <w:sz w:val="18"/>
                <w:szCs w:val="18"/>
              </w:rPr>
              <w:t>4,000</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4ED9257" w14:textId="77777777" w:rsidR="000C4F2B" w:rsidRDefault="006D54F8">
            <w:pPr>
              <w:jc w:val="center"/>
            </w:pPr>
            <w:r>
              <w:rPr>
                <w:sz w:val="18"/>
                <w:szCs w:val="18"/>
              </w:rPr>
              <w:t>9.4M</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913F3BE" w14:textId="77777777" w:rsidR="000C4F2B" w:rsidRDefault="006D54F8">
            <w:pPr>
              <w:jc w:val="center"/>
            </w:pPr>
            <w:r>
              <w:rPr>
                <w:sz w:val="18"/>
                <w:szCs w:val="18"/>
              </w:rPr>
              <w:t>677K</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D7A7539" w14:textId="77777777" w:rsidR="000C4F2B" w:rsidRDefault="006D54F8">
            <w:pPr>
              <w:jc w:val="center"/>
            </w:pPr>
            <w:r>
              <w:rPr>
                <w:sz w:val="18"/>
                <w:szCs w:val="18"/>
              </w:rPr>
              <w:t>Latency+Cost</w:t>
            </w:r>
          </w:p>
        </w:tc>
        <w:tc>
          <w:tcPr>
            <w:tcW w:w="12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4DEFE432" w14:textId="77777777" w:rsidR="000C4F2B" w:rsidRDefault="006D54F8">
            <w:pPr>
              <w:jc w:val="center"/>
            </w:pPr>
            <w:r>
              <w:rPr>
                <w:sz w:val="18"/>
                <w:szCs w:val="18"/>
              </w:rPr>
              <w:t>Alibaba, 2022</w:t>
            </w:r>
          </w:p>
        </w:tc>
      </w:tr>
      <w:tr w:rsidR="000C4F2B" w14:paraId="66BC191C" w14:textId="77777777" w:rsidTr="002F717E">
        <w:tc>
          <w:tcPr>
            <w:tcW w:w="12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228B1C3" w14:textId="77777777" w:rsidR="000C4F2B" w:rsidRDefault="006D54F8">
            <w:pPr>
              <w:jc w:val="center"/>
            </w:pPr>
            <w:r>
              <w:rPr>
                <w:sz w:val="18"/>
                <w:szCs w:val="18"/>
              </w:rPr>
              <w:t>IES-2023</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E3873AF" w14:textId="77777777" w:rsidR="000C4F2B" w:rsidRDefault="006D54F8">
            <w:pPr>
              <w:jc w:val="center"/>
            </w:pPr>
            <w:r>
              <w:rPr>
                <w:sz w:val="18"/>
                <w:szCs w:val="18"/>
              </w:rPr>
              <w:t>250</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6BAE55A" w14:textId="77777777" w:rsidR="000C4F2B" w:rsidRDefault="006D54F8">
            <w:pPr>
              <w:jc w:val="center"/>
            </w:pPr>
            <w:r>
              <w:rPr>
                <w:sz w:val="18"/>
                <w:szCs w:val="18"/>
              </w:rPr>
              <w:t>Variable</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AFD934D" w14:textId="77777777" w:rsidR="000C4F2B" w:rsidRDefault="006D54F8">
            <w:pPr>
              <w:jc w:val="center"/>
            </w:pPr>
            <w:r>
              <w:rPr>
                <w:sz w:val="18"/>
                <w:szCs w:val="18"/>
              </w:rPr>
              <w:t>Poisson</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D08B023" w14:textId="77777777" w:rsidR="000C4F2B" w:rsidRDefault="006D54F8">
            <w:pPr>
              <w:jc w:val="center"/>
            </w:pPr>
            <w:r>
              <w:rPr>
                <w:sz w:val="18"/>
                <w:szCs w:val="18"/>
              </w:rPr>
              <w:t>Hard Latency</w:t>
            </w:r>
          </w:p>
        </w:tc>
        <w:tc>
          <w:tcPr>
            <w:tcW w:w="12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15A0D47" w14:textId="77777777" w:rsidR="000C4F2B" w:rsidRDefault="006D54F8">
            <w:pPr>
              <w:jc w:val="center"/>
            </w:pPr>
            <w:r>
              <w:rPr>
                <w:sz w:val="18"/>
                <w:szCs w:val="18"/>
              </w:rPr>
              <w:t>Synthetic Sim.</w:t>
            </w:r>
          </w:p>
        </w:tc>
      </w:tr>
    </w:tbl>
    <w:p w14:paraId="591C297A" w14:textId="77777777" w:rsidR="000C4F2B" w:rsidRPr="009B6DEF" w:rsidRDefault="006D54F8" w:rsidP="009B6DEF">
      <w:pPr>
        <w:spacing w:before="40" w:after="100"/>
        <w:rPr>
          <w:color w:val="auto"/>
        </w:rPr>
      </w:pPr>
      <w:r w:rsidRPr="009B6DEF">
        <w:rPr>
          <w:color w:val="auto"/>
          <w:sz w:val="18"/>
          <w:szCs w:val="18"/>
        </w:rPr>
        <w:t>TABLE I. Summary of three scheduling benchmark environments used for evaluation.</w:t>
      </w:r>
    </w:p>
    <w:p w14:paraId="28701326" w14:textId="77777777" w:rsidR="000C4F2B" w:rsidRDefault="006D54F8">
      <w:pPr>
        <w:spacing w:before="90" w:after="40"/>
      </w:pPr>
      <w:r>
        <w:rPr>
          <w:rFonts w:ascii="Arial" w:eastAsia="Arial" w:hAnsi="Arial" w:cs="Arial"/>
          <w:b/>
          <w:bCs/>
          <w:color w:val="283593"/>
        </w:rPr>
        <w:t>B. Baselines</w:t>
      </w:r>
    </w:p>
    <w:p w14:paraId="6E9B6CDF" w14:textId="4FF9B7D1" w:rsidR="000C4F2B" w:rsidRDefault="006D54F8">
      <w:pPr>
        <w:spacing w:before="40" w:after="40"/>
        <w:ind w:firstLine="360"/>
        <w:jc w:val="both"/>
      </w:pPr>
      <w:r>
        <w:t xml:space="preserve">XRL-Sched is compared against seven competitive baselines: (1) EDF: Earliest Deadline First heuristic; (2) HEFT [12]: Heterogeneous Earliest Finish Time; (3) Decima [4]: GNN-based REINFORCE scheduler; (4) PPO-Sched [17]: Proximal Policy Optimisation scheduler; (5) DQN-Sched: Standard DQN without </w:t>
      </w:r>
      <w:r w:rsidR="008D19CC">
        <w:t>duelling</w:t>
      </w:r>
      <w:r>
        <w:t xml:space="preserve"> or explainability; (6) COSCO [25]: Container scheduling with DNN predictor; (7) DeepEE [29]: Energy-optimised deep RL scheduler; (8) MORL-Sched [28]: Multi-objective DRL with dynamic weight adaptation.</w:t>
      </w:r>
    </w:p>
    <w:p w14:paraId="5BAC9F92" w14:textId="77777777" w:rsidR="000C4F2B" w:rsidRDefault="006D54F8">
      <w:pPr>
        <w:spacing w:before="90" w:after="40"/>
      </w:pPr>
      <w:r>
        <w:rPr>
          <w:rFonts w:ascii="Arial" w:eastAsia="Arial" w:hAnsi="Arial" w:cs="Arial"/>
          <w:b/>
          <w:bCs/>
          <w:color w:val="283593"/>
        </w:rPr>
        <w:t>C. Evaluation Metrics</w:t>
      </w:r>
    </w:p>
    <w:p w14:paraId="087287EC" w14:textId="77777777" w:rsidR="000C4F2B" w:rsidRDefault="006D54F8">
      <w:pPr>
        <w:spacing w:before="40" w:after="40"/>
        <w:ind w:firstLine="360"/>
        <w:jc w:val="both"/>
      </w:pPr>
      <w:r>
        <w:t>Six metrics are reported: (1) Makespan (MK): average job completion time (seconds); (2) Energy Consumption (EN): mean energy per job (kJ); (3) SLA Violation Rate (SVR): percentage of tasks missing deadline; (4) Resource Utilisation (RU): mean CPU utilisation across nodes (%); (5) Scheduling Throughput (ST): tasks scheduled per second; and (6) Explanation Fidelity (EF): Pearson correlation between AGIE and SHAP attributions (interpretability quality). All results are mean ± std over 10 independent seeds.</w:t>
      </w:r>
    </w:p>
    <w:p w14:paraId="2CD52115" w14:textId="77777777" w:rsidR="000C4F2B" w:rsidRDefault="006D54F8">
      <w:pPr>
        <w:spacing w:before="90" w:after="40"/>
      </w:pPr>
      <w:r>
        <w:rPr>
          <w:rFonts w:ascii="Arial" w:eastAsia="Arial" w:hAnsi="Arial" w:cs="Arial"/>
          <w:b/>
          <w:bCs/>
          <w:color w:val="283593"/>
        </w:rPr>
        <w:t>D. Implementation Details</w:t>
      </w:r>
    </w:p>
    <w:p w14:paraId="0762ECE3" w14:textId="4A8BC008" w:rsidR="000C4F2B" w:rsidRDefault="006D54F8">
      <w:pPr>
        <w:spacing w:before="40" w:after="40"/>
        <w:ind w:firstLine="360"/>
        <w:jc w:val="both"/>
      </w:pPr>
      <w:r>
        <w:t xml:space="preserve">XRL-Sched is implemented in Python 3.11 using PyTorch 2.1, OpenAI Gym, and the SHAP 0.43 library. D3QN architecture: 3-layer MLP state encoder (512-256-128), 2-head GAT for DAG encoding, separate Value (512-256-1) and Advantage (512-256-|A|) streams, |A| = 200 discrete actions. AGIE: 8-head self-attention over the fused state. Training: Adam optimiser (lr=3e-4), batch B=512, replay buffer N_D=1M, </w:t>
      </w:r>
      <w:r w:rsidR="008D19CC">
        <w:t>γ</w:t>
      </w:r>
      <w:r>
        <w:t xml:space="preserve">=0.99, epsilon annealing (1.0 to 0.01 over 500K steps), target update tau_u=1000 steps, SHAP snapshot every I_snap=5000 steps. Multi-objective weights: w_1=0.35 (makespan), w_2=0.25 (energy), w_3=0.20 (cost), w_4=0.12 (SLA), w_5=0.08 (load balance), calibrated by Pareto front analysis on a held-out validation workload. Training runs on 4x NVIDIA RTX </w:t>
      </w:r>
      <w:r>
        <w:lastRenderedPageBreak/>
        <w:t>4090 GPUs; simulated cluster environments run on a 64-core AMD EPYC server.</w:t>
      </w:r>
    </w:p>
    <w:p w14:paraId="7926742A" w14:textId="77777777" w:rsidR="000C4F2B" w:rsidRDefault="006D54F8">
      <w:pPr>
        <w:spacing w:before="60" w:after="20"/>
        <w:jc w:val="center"/>
      </w:pPr>
      <w:r>
        <w:rPr>
          <w:rFonts w:ascii="Arial" w:eastAsia="Arial" w:hAnsi="Arial" w:cs="Arial"/>
          <w:b/>
          <w:bCs/>
          <w:caps/>
          <w:color w:val="1A237E"/>
        </w:rPr>
        <w:t>TABLE II.  Scheduling Performance on Google Cluster Traces (GCT-2023)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1"/>
        <w:gridCol w:w="759"/>
        <w:gridCol w:w="690"/>
        <w:gridCol w:w="690"/>
        <w:gridCol w:w="690"/>
        <w:gridCol w:w="484"/>
        <w:gridCol w:w="828"/>
      </w:tblGrid>
      <w:tr w:rsidR="000C4F2B" w14:paraId="5301788A" w14:textId="77777777" w:rsidTr="002F717E">
        <w:trPr>
          <w:tblHeader/>
        </w:trPr>
        <w:tc>
          <w:tcPr>
            <w:tcW w:w="10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534355D5" w14:textId="77777777" w:rsidR="000C4F2B" w:rsidRDefault="006D54F8">
            <w:pPr>
              <w:jc w:val="center"/>
            </w:pPr>
            <w:r>
              <w:rPr>
                <w:rFonts w:ascii="Arial" w:eastAsia="Arial" w:hAnsi="Arial" w:cs="Arial"/>
                <w:b/>
                <w:bCs/>
                <w:color w:val="FFFFFF"/>
                <w:sz w:val="18"/>
                <w:szCs w:val="18"/>
              </w:rPr>
              <w:t>Method</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5940BFD8" w14:textId="77777777" w:rsidR="000C4F2B" w:rsidRDefault="006D54F8">
            <w:pPr>
              <w:jc w:val="center"/>
            </w:pPr>
            <w:r>
              <w:rPr>
                <w:rFonts w:ascii="Arial" w:eastAsia="Arial" w:hAnsi="Arial" w:cs="Arial"/>
                <w:b/>
                <w:bCs/>
                <w:color w:val="FFFFFF"/>
                <w:sz w:val="18"/>
                <w:szCs w:val="18"/>
              </w:rPr>
              <w:t>MK (s)</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240C97CA" w14:textId="77777777" w:rsidR="000C4F2B" w:rsidRDefault="006D54F8">
            <w:pPr>
              <w:jc w:val="center"/>
            </w:pPr>
            <w:r>
              <w:rPr>
                <w:rFonts w:ascii="Arial" w:eastAsia="Arial" w:hAnsi="Arial" w:cs="Arial"/>
                <w:b/>
                <w:bCs/>
                <w:color w:val="FFFFFF"/>
                <w:sz w:val="18"/>
                <w:szCs w:val="18"/>
              </w:rPr>
              <w:t>EN (kJ)</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227DD74" w14:textId="77777777" w:rsidR="000C4F2B" w:rsidRDefault="006D54F8">
            <w:pPr>
              <w:jc w:val="center"/>
            </w:pPr>
            <w:r>
              <w:rPr>
                <w:rFonts w:ascii="Arial" w:eastAsia="Arial" w:hAnsi="Arial" w:cs="Arial"/>
                <w:b/>
                <w:bCs/>
                <w:color w:val="FFFFFF"/>
                <w:sz w:val="18"/>
                <w:szCs w:val="18"/>
              </w:rPr>
              <w:t>SVR (%)</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E67600B" w14:textId="77777777" w:rsidR="000C4F2B" w:rsidRDefault="006D54F8">
            <w:pPr>
              <w:jc w:val="center"/>
            </w:pPr>
            <w:r>
              <w:rPr>
                <w:rFonts w:ascii="Arial" w:eastAsia="Arial" w:hAnsi="Arial" w:cs="Arial"/>
                <w:b/>
                <w:bCs/>
                <w:color w:val="FFFFFF"/>
                <w:sz w:val="18"/>
                <w:szCs w:val="18"/>
              </w:rPr>
              <w:t>RU (%)</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7EDC429C" w14:textId="77777777" w:rsidR="000C4F2B" w:rsidRDefault="006D54F8">
            <w:pPr>
              <w:jc w:val="center"/>
            </w:pPr>
            <w:r>
              <w:rPr>
                <w:rFonts w:ascii="Arial" w:eastAsia="Arial" w:hAnsi="Arial" w:cs="Arial"/>
                <w:b/>
                <w:bCs/>
                <w:color w:val="FFFFFF"/>
                <w:sz w:val="18"/>
                <w:szCs w:val="18"/>
              </w:rPr>
              <w:t>ST (k/s)</w:t>
            </w:r>
          </w:p>
        </w:tc>
        <w:tc>
          <w:tcPr>
            <w:tcW w:w="10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62F458D9" w14:textId="77777777" w:rsidR="000C4F2B" w:rsidRDefault="006D54F8">
            <w:pPr>
              <w:jc w:val="center"/>
            </w:pPr>
            <w:r>
              <w:rPr>
                <w:rFonts w:ascii="Arial" w:eastAsia="Arial" w:hAnsi="Arial" w:cs="Arial"/>
                <w:b/>
                <w:bCs/>
                <w:color w:val="FFFFFF"/>
                <w:sz w:val="18"/>
                <w:szCs w:val="18"/>
              </w:rPr>
              <w:t>EF Score</w:t>
            </w:r>
          </w:p>
        </w:tc>
      </w:tr>
      <w:tr w:rsidR="000C4F2B" w14:paraId="7381D002"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A7A1BB3" w14:textId="77777777" w:rsidR="000C4F2B" w:rsidRDefault="006D54F8">
            <w:pPr>
              <w:jc w:val="center"/>
            </w:pPr>
            <w:r>
              <w:rPr>
                <w:sz w:val="18"/>
                <w:szCs w:val="18"/>
              </w:rPr>
              <w:t>EDF [10]</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9858C80" w14:textId="77777777" w:rsidR="000C4F2B" w:rsidRDefault="006D54F8">
            <w:pPr>
              <w:jc w:val="center"/>
            </w:pPr>
            <w:r>
              <w:rPr>
                <w:sz w:val="18"/>
                <w:szCs w:val="18"/>
              </w:rPr>
              <w:t>248.4±9.1</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36BE8AF" w14:textId="77777777" w:rsidR="000C4F2B" w:rsidRDefault="006D54F8">
            <w:pPr>
              <w:jc w:val="center"/>
            </w:pPr>
            <w:r>
              <w:rPr>
                <w:sz w:val="18"/>
                <w:szCs w:val="18"/>
              </w:rPr>
              <w:t>14.7±0.8</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DCA67C6" w14:textId="77777777" w:rsidR="000C4F2B" w:rsidRDefault="006D54F8">
            <w:pPr>
              <w:jc w:val="center"/>
            </w:pPr>
            <w:r>
              <w:rPr>
                <w:sz w:val="18"/>
                <w:szCs w:val="18"/>
              </w:rPr>
              <w:t>18.3±0.9</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8FC0DD8" w14:textId="77777777" w:rsidR="000C4F2B" w:rsidRDefault="006D54F8">
            <w:pPr>
              <w:jc w:val="center"/>
            </w:pPr>
            <w:r>
              <w:rPr>
                <w:sz w:val="18"/>
                <w:szCs w:val="18"/>
              </w:rPr>
              <w:t>61.2±2.1</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8ABD522" w14:textId="77777777" w:rsidR="000C4F2B" w:rsidRDefault="006D54F8">
            <w:pPr>
              <w:jc w:val="center"/>
            </w:pPr>
            <w:r>
              <w:rPr>
                <w:sz w:val="18"/>
                <w:szCs w:val="18"/>
              </w:rPr>
              <w:t>142</w:t>
            </w:r>
          </w:p>
        </w:tc>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31C6600" w14:textId="77777777" w:rsidR="000C4F2B" w:rsidRDefault="006D54F8">
            <w:pPr>
              <w:jc w:val="center"/>
            </w:pPr>
            <w:r>
              <w:rPr>
                <w:sz w:val="18"/>
                <w:szCs w:val="18"/>
              </w:rPr>
              <w:t>N/A</w:t>
            </w:r>
          </w:p>
        </w:tc>
      </w:tr>
      <w:tr w:rsidR="000C4F2B" w14:paraId="22ABB681"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615DDE7" w14:textId="77777777" w:rsidR="000C4F2B" w:rsidRDefault="006D54F8">
            <w:pPr>
              <w:jc w:val="center"/>
            </w:pPr>
            <w:r>
              <w:rPr>
                <w:sz w:val="18"/>
                <w:szCs w:val="18"/>
              </w:rPr>
              <w:t>HEFT [12]</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FEEDD88" w14:textId="77777777" w:rsidR="000C4F2B" w:rsidRDefault="006D54F8">
            <w:pPr>
              <w:jc w:val="center"/>
            </w:pPr>
            <w:r>
              <w:rPr>
                <w:sz w:val="18"/>
                <w:szCs w:val="18"/>
              </w:rPr>
              <w:t>219.6±7.4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9B5727D" w14:textId="77777777" w:rsidR="000C4F2B" w:rsidRDefault="006D54F8">
            <w:pPr>
              <w:jc w:val="center"/>
            </w:pPr>
            <w:r>
              <w:rPr>
                <w:sz w:val="18"/>
                <w:szCs w:val="18"/>
              </w:rPr>
              <w:t>13.2±0.7</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0F5F536" w14:textId="77777777" w:rsidR="000C4F2B" w:rsidRDefault="006D54F8">
            <w:pPr>
              <w:jc w:val="center"/>
            </w:pPr>
            <w:r>
              <w:rPr>
                <w:sz w:val="18"/>
                <w:szCs w:val="18"/>
              </w:rPr>
              <w:t>14.1±0.8</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6CCDD40" w14:textId="77777777" w:rsidR="000C4F2B" w:rsidRDefault="006D54F8">
            <w:pPr>
              <w:jc w:val="center"/>
            </w:pPr>
            <w:r>
              <w:rPr>
                <w:sz w:val="18"/>
                <w:szCs w:val="18"/>
              </w:rPr>
              <w:t>68.4±1.8</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C50C8C6" w14:textId="77777777" w:rsidR="000C4F2B" w:rsidRDefault="006D54F8">
            <w:pPr>
              <w:jc w:val="center"/>
            </w:pPr>
            <w:r>
              <w:rPr>
                <w:sz w:val="18"/>
                <w:szCs w:val="18"/>
              </w:rPr>
              <w:t>38</w:t>
            </w:r>
          </w:p>
        </w:tc>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2333CAE" w14:textId="77777777" w:rsidR="000C4F2B" w:rsidRDefault="006D54F8">
            <w:pPr>
              <w:jc w:val="center"/>
            </w:pPr>
            <w:r>
              <w:rPr>
                <w:sz w:val="18"/>
                <w:szCs w:val="18"/>
              </w:rPr>
              <w:t>N/A</w:t>
            </w:r>
          </w:p>
        </w:tc>
      </w:tr>
      <w:tr w:rsidR="000C4F2B" w14:paraId="40DFC6B9"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0853DCB" w14:textId="77777777" w:rsidR="000C4F2B" w:rsidRDefault="006D54F8">
            <w:pPr>
              <w:jc w:val="center"/>
            </w:pPr>
            <w:r>
              <w:rPr>
                <w:sz w:val="18"/>
                <w:szCs w:val="18"/>
              </w:rPr>
              <w:t>DQN-Sched</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2A060CD" w14:textId="77777777" w:rsidR="000C4F2B" w:rsidRDefault="006D54F8">
            <w:pPr>
              <w:jc w:val="center"/>
            </w:pPr>
            <w:r>
              <w:rPr>
                <w:sz w:val="18"/>
                <w:szCs w:val="18"/>
              </w:rPr>
              <w:t>198.3±5.8</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DAE59F5" w14:textId="77777777" w:rsidR="000C4F2B" w:rsidRDefault="006D54F8">
            <w:pPr>
              <w:jc w:val="center"/>
            </w:pPr>
            <w:r>
              <w:rPr>
                <w:sz w:val="18"/>
                <w:szCs w:val="18"/>
              </w:rPr>
              <w:t>12.1±0.5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4BE02C6" w14:textId="77777777" w:rsidR="000C4F2B" w:rsidRDefault="006D54F8">
            <w:pPr>
              <w:jc w:val="center"/>
            </w:pPr>
            <w:r>
              <w:rPr>
                <w:sz w:val="18"/>
                <w:szCs w:val="18"/>
              </w:rPr>
              <w:t>10.8±0.6</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87D063A" w14:textId="77777777" w:rsidR="000C4F2B" w:rsidRDefault="006D54F8">
            <w:pPr>
              <w:jc w:val="center"/>
            </w:pPr>
            <w:r>
              <w:rPr>
                <w:sz w:val="18"/>
                <w:szCs w:val="18"/>
              </w:rPr>
              <w:t>73.1±1.5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F649D90" w14:textId="77777777" w:rsidR="000C4F2B" w:rsidRDefault="006D54F8">
            <w:pPr>
              <w:jc w:val="center"/>
            </w:pPr>
            <w:r>
              <w:rPr>
                <w:sz w:val="18"/>
                <w:szCs w:val="18"/>
              </w:rPr>
              <w:t>198</w:t>
            </w:r>
          </w:p>
        </w:tc>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1FD6386" w14:textId="77777777" w:rsidR="000C4F2B" w:rsidRDefault="006D54F8">
            <w:pPr>
              <w:jc w:val="center"/>
            </w:pPr>
            <w:r>
              <w:rPr>
                <w:sz w:val="18"/>
                <w:szCs w:val="18"/>
              </w:rPr>
              <w:t>N/A</w:t>
            </w:r>
          </w:p>
        </w:tc>
      </w:tr>
      <w:tr w:rsidR="000C4F2B" w14:paraId="5BE0D00D"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3D78624" w14:textId="77777777" w:rsidR="000C4F2B" w:rsidRDefault="006D54F8">
            <w:pPr>
              <w:jc w:val="center"/>
            </w:pPr>
            <w:r>
              <w:rPr>
                <w:sz w:val="18"/>
                <w:szCs w:val="18"/>
              </w:rPr>
              <w:t>Decima [4]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E41F23C" w14:textId="77777777" w:rsidR="000C4F2B" w:rsidRDefault="006D54F8">
            <w:pPr>
              <w:jc w:val="center"/>
            </w:pPr>
            <w:r>
              <w:rPr>
                <w:sz w:val="18"/>
                <w:szCs w:val="18"/>
              </w:rPr>
              <w:t>187.2±5.1</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2F6DBDD" w14:textId="77777777" w:rsidR="000C4F2B" w:rsidRDefault="006D54F8">
            <w:pPr>
              <w:jc w:val="center"/>
            </w:pPr>
            <w:r>
              <w:rPr>
                <w:sz w:val="18"/>
                <w:szCs w:val="18"/>
              </w:rPr>
              <w:t>11.6±0.5</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735D6E9F" w14:textId="77777777" w:rsidR="000C4F2B" w:rsidRDefault="006D54F8">
            <w:pPr>
              <w:jc w:val="center"/>
            </w:pPr>
            <w:r>
              <w:rPr>
                <w:sz w:val="18"/>
                <w:szCs w:val="18"/>
              </w:rPr>
              <w:t>9.4±0.6</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269B296" w14:textId="77777777" w:rsidR="000C4F2B" w:rsidRDefault="006D54F8">
            <w:pPr>
              <w:jc w:val="center"/>
            </w:pPr>
            <w:r>
              <w:rPr>
                <w:sz w:val="18"/>
                <w:szCs w:val="18"/>
              </w:rPr>
              <w:t>76.3±1.4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BF502D5" w14:textId="77777777" w:rsidR="000C4F2B" w:rsidRDefault="006D54F8">
            <w:pPr>
              <w:jc w:val="center"/>
            </w:pPr>
            <w:r>
              <w:rPr>
                <w:sz w:val="18"/>
                <w:szCs w:val="18"/>
              </w:rPr>
              <w:t>211</w:t>
            </w:r>
          </w:p>
        </w:tc>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17A4CCA" w14:textId="77777777" w:rsidR="000C4F2B" w:rsidRDefault="006D54F8">
            <w:pPr>
              <w:jc w:val="center"/>
            </w:pPr>
            <w:r>
              <w:rPr>
                <w:sz w:val="18"/>
                <w:szCs w:val="18"/>
              </w:rPr>
              <w:t>N/A</w:t>
            </w:r>
          </w:p>
        </w:tc>
      </w:tr>
      <w:tr w:rsidR="000C4F2B" w14:paraId="544CD5CE"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A9A676D" w14:textId="77777777" w:rsidR="000C4F2B" w:rsidRDefault="006D54F8">
            <w:pPr>
              <w:jc w:val="center"/>
            </w:pPr>
            <w:r>
              <w:rPr>
                <w:sz w:val="18"/>
                <w:szCs w:val="18"/>
              </w:rPr>
              <w:t>PPO-Sched [17]</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07E9F3B" w14:textId="77777777" w:rsidR="000C4F2B" w:rsidRDefault="006D54F8">
            <w:pPr>
              <w:jc w:val="center"/>
            </w:pPr>
            <w:r>
              <w:rPr>
                <w:sz w:val="18"/>
                <w:szCs w:val="18"/>
              </w:rPr>
              <w:t>182.8±4.9</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4AF8415" w14:textId="77777777" w:rsidR="000C4F2B" w:rsidRDefault="006D54F8">
            <w:pPr>
              <w:jc w:val="center"/>
            </w:pPr>
            <w:r>
              <w:rPr>
                <w:sz w:val="18"/>
                <w:szCs w:val="18"/>
              </w:rPr>
              <w:t>11.2±0.4</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C6AF7F7" w14:textId="77777777" w:rsidR="000C4F2B" w:rsidRDefault="006D54F8">
            <w:pPr>
              <w:jc w:val="center"/>
            </w:pPr>
            <w:r>
              <w:rPr>
                <w:sz w:val="18"/>
                <w:szCs w:val="18"/>
              </w:rPr>
              <w:t>8.9±0.5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EB78C81" w14:textId="77777777" w:rsidR="000C4F2B" w:rsidRDefault="006D54F8">
            <w:pPr>
              <w:jc w:val="center"/>
            </w:pPr>
            <w:r>
              <w:rPr>
                <w:sz w:val="18"/>
                <w:szCs w:val="18"/>
              </w:rPr>
              <w:t>77.8±1.3</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2961F88" w14:textId="77777777" w:rsidR="000C4F2B" w:rsidRDefault="006D54F8">
            <w:pPr>
              <w:jc w:val="center"/>
            </w:pPr>
            <w:r>
              <w:rPr>
                <w:sz w:val="18"/>
                <w:szCs w:val="18"/>
              </w:rPr>
              <w:t>195</w:t>
            </w:r>
          </w:p>
        </w:tc>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444891D" w14:textId="77777777" w:rsidR="000C4F2B" w:rsidRDefault="006D54F8">
            <w:pPr>
              <w:jc w:val="center"/>
            </w:pPr>
            <w:r>
              <w:rPr>
                <w:sz w:val="18"/>
                <w:szCs w:val="18"/>
              </w:rPr>
              <w:t>N/A</w:t>
            </w:r>
          </w:p>
        </w:tc>
      </w:tr>
      <w:tr w:rsidR="000C4F2B" w14:paraId="3D860627"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2B3297D" w14:textId="77777777" w:rsidR="000C4F2B" w:rsidRDefault="006D54F8">
            <w:pPr>
              <w:jc w:val="center"/>
            </w:pPr>
            <w:r>
              <w:rPr>
                <w:sz w:val="18"/>
                <w:szCs w:val="18"/>
              </w:rPr>
              <w:t>COSCO [25]</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4E4B583B" w14:textId="77777777" w:rsidR="000C4F2B" w:rsidRDefault="006D54F8">
            <w:pPr>
              <w:jc w:val="center"/>
            </w:pPr>
            <w:r>
              <w:rPr>
                <w:sz w:val="18"/>
                <w:szCs w:val="18"/>
              </w:rPr>
              <w:t>191.4±5.3</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B84B5A3" w14:textId="77777777" w:rsidR="000C4F2B" w:rsidRDefault="006D54F8">
            <w:pPr>
              <w:jc w:val="center"/>
            </w:pPr>
            <w:r>
              <w:rPr>
                <w:sz w:val="18"/>
                <w:szCs w:val="18"/>
              </w:rPr>
              <w:t>11.4±0.5</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D38FEC3" w14:textId="77777777" w:rsidR="000C4F2B" w:rsidRDefault="006D54F8">
            <w:pPr>
              <w:jc w:val="center"/>
            </w:pPr>
            <w:r>
              <w:rPr>
                <w:sz w:val="18"/>
                <w:szCs w:val="18"/>
              </w:rPr>
              <w:t>9.2±0.5</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E9262CB" w14:textId="77777777" w:rsidR="000C4F2B" w:rsidRDefault="006D54F8">
            <w:pPr>
              <w:jc w:val="center"/>
            </w:pPr>
            <w:r>
              <w:rPr>
                <w:sz w:val="18"/>
                <w:szCs w:val="18"/>
              </w:rPr>
              <w:t>75.9±1.4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0E4EB94" w14:textId="77777777" w:rsidR="000C4F2B" w:rsidRDefault="006D54F8">
            <w:pPr>
              <w:jc w:val="center"/>
            </w:pPr>
            <w:r>
              <w:rPr>
                <w:sz w:val="18"/>
                <w:szCs w:val="18"/>
              </w:rPr>
              <w:t>187</w:t>
            </w:r>
          </w:p>
        </w:tc>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92E3A79" w14:textId="77777777" w:rsidR="000C4F2B" w:rsidRDefault="006D54F8">
            <w:pPr>
              <w:jc w:val="center"/>
            </w:pPr>
            <w:r>
              <w:rPr>
                <w:sz w:val="18"/>
                <w:szCs w:val="18"/>
              </w:rPr>
              <w:t>N/A</w:t>
            </w:r>
          </w:p>
        </w:tc>
      </w:tr>
      <w:tr w:rsidR="000C4F2B" w14:paraId="1327B115"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9A6E9F9" w14:textId="77777777" w:rsidR="000C4F2B" w:rsidRDefault="006D54F8">
            <w:pPr>
              <w:jc w:val="center"/>
            </w:pPr>
            <w:r>
              <w:rPr>
                <w:sz w:val="18"/>
                <w:szCs w:val="18"/>
              </w:rPr>
              <w:t>DeepEE [29]</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36ACD32" w14:textId="77777777" w:rsidR="000C4F2B" w:rsidRDefault="006D54F8">
            <w:pPr>
              <w:jc w:val="center"/>
            </w:pPr>
            <w:r>
              <w:rPr>
                <w:sz w:val="18"/>
                <w:szCs w:val="18"/>
              </w:rPr>
              <w:t>194.7±5.5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34EEBE7" w14:textId="77777777" w:rsidR="000C4F2B" w:rsidRDefault="006D54F8">
            <w:pPr>
              <w:jc w:val="center"/>
            </w:pPr>
            <w:r>
              <w:rPr>
                <w:sz w:val="18"/>
                <w:szCs w:val="18"/>
              </w:rPr>
              <w:t>10.8±0.4</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5BCD6C1" w14:textId="77777777" w:rsidR="000C4F2B" w:rsidRDefault="006D54F8">
            <w:pPr>
              <w:jc w:val="center"/>
            </w:pPr>
            <w:r>
              <w:rPr>
                <w:sz w:val="18"/>
                <w:szCs w:val="18"/>
              </w:rPr>
              <w:t>9.7±0.5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887A227" w14:textId="77777777" w:rsidR="000C4F2B" w:rsidRDefault="006D54F8">
            <w:pPr>
              <w:jc w:val="center"/>
            </w:pPr>
            <w:r>
              <w:rPr>
                <w:sz w:val="18"/>
                <w:szCs w:val="18"/>
              </w:rPr>
              <w:t>74.8±1.5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6646532" w14:textId="77777777" w:rsidR="000C4F2B" w:rsidRDefault="006D54F8">
            <w:pPr>
              <w:jc w:val="center"/>
            </w:pPr>
            <w:r>
              <w:rPr>
                <w:sz w:val="18"/>
                <w:szCs w:val="18"/>
              </w:rPr>
              <w:t>189</w:t>
            </w:r>
          </w:p>
        </w:tc>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48AFD63" w14:textId="77777777" w:rsidR="000C4F2B" w:rsidRDefault="006D54F8">
            <w:pPr>
              <w:jc w:val="center"/>
            </w:pPr>
            <w:r>
              <w:rPr>
                <w:sz w:val="18"/>
                <w:szCs w:val="18"/>
              </w:rPr>
              <w:t>N/A</w:t>
            </w:r>
          </w:p>
        </w:tc>
      </w:tr>
      <w:tr w:rsidR="000C4F2B" w14:paraId="25ECB737"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74C13EAE" w14:textId="77777777" w:rsidR="000C4F2B" w:rsidRDefault="006D54F8">
            <w:pPr>
              <w:jc w:val="center"/>
            </w:pPr>
            <w:r>
              <w:rPr>
                <w:sz w:val="18"/>
                <w:szCs w:val="18"/>
              </w:rPr>
              <w:t>MORL-Sched [28]</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48E8110" w14:textId="77777777" w:rsidR="000C4F2B" w:rsidRDefault="006D54F8">
            <w:pPr>
              <w:jc w:val="center"/>
            </w:pPr>
            <w:r>
              <w:rPr>
                <w:sz w:val="18"/>
                <w:szCs w:val="18"/>
              </w:rPr>
              <w:t>178.9±4.4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9FA135C" w14:textId="77777777" w:rsidR="000C4F2B" w:rsidRDefault="006D54F8">
            <w:pPr>
              <w:jc w:val="center"/>
            </w:pPr>
            <w:r>
              <w:rPr>
                <w:sz w:val="18"/>
                <w:szCs w:val="18"/>
              </w:rPr>
              <w:t>10.9±0.4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9C59460" w14:textId="77777777" w:rsidR="000C4F2B" w:rsidRDefault="006D54F8">
            <w:pPr>
              <w:jc w:val="center"/>
            </w:pPr>
            <w:r>
              <w:rPr>
                <w:sz w:val="18"/>
                <w:szCs w:val="18"/>
              </w:rPr>
              <w:t>8.1±0.5</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BDA0C8D" w14:textId="77777777" w:rsidR="000C4F2B" w:rsidRDefault="006D54F8">
            <w:pPr>
              <w:jc w:val="center"/>
            </w:pPr>
            <w:r>
              <w:rPr>
                <w:sz w:val="18"/>
                <w:szCs w:val="18"/>
              </w:rPr>
              <w:t>79.2±1.2</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72069B8" w14:textId="77777777" w:rsidR="000C4F2B" w:rsidRDefault="006D54F8">
            <w:pPr>
              <w:jc w:val="center"/>
            </w:pPr>
            <w:r>
              <w:rPr>
                <w:sz w:val="18"/>
                <w:szCs w:val="18"/>
              </w:rPr>
              <w:t>204</w:t>
            </w:r>
          </w:p>
        </w:tc>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1849249" w14:textId="77777777" w:rsidR="000C4F2B" w:rsidRDefault="006D54F8">
            <w:pPr>
              <w:jc w:val="center"/>
            </w:pPr>
            <w:r>
              <w:rPr>
                <w:sz w:val="18"/>
                <w:szCs w:val="18"/>
              </w:rPr>
              <w:t>N/A</w:t>
            </w:r>
          </w:p>
        </w:tc>
      </w:tr>
      <w:tr w:rsidR="000C4F2B" w14:paraId="14956356"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53D7168" w14:textId="77777777" w:rsidR="000C4F2B" w:rsidRDefault="006D54F8">
            <w:pPr>
              <w:jc w:val="center"/>
            </w:pPr>
            <w:r>
              <w:rPr>
                <w:sz w:val="18"/>
                <w:szCs w:val="18"/>
              </w:rPr>
              <w:t>XRL-Sched (Ours)</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1344DA4" w14:textId="77777777" w:rsidR="000C4F2B" w:rsidRDefault="006D54F8">
            <w:pPr>
              <w:jc w:val="center"/>
            </w:pPr>
            <w:r>
              <w:rPr>
                <w:sz w:val="18"/>
                <w:szCs w:val="18"/>
              </w:rPr>
              <w:t>190.3±3.7</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E936285" w14:textId="77777777" w:rsidR="000C4F2B" w:rsidRDefault="006D54F8">
            <w:pPr>
              <w:jc w:val="center"/>
            </w:pPr>
            <w:r>
              <w:rPr>
                <w:sz w:val="18"/>
                <w:szCs w:val="18"/>
              </w:rPr>
              <w:t>11.3±0.3</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7376F45" w14:textId="77777777" w:rsidR="000C4F2B" w:rsidRDefault="006D54F8">
            <w:pPr>
              <w:jc w:val="center"/>
            </w:pPr>
            <w:r>
              <w:rPr>
                <w:sz w:val="18"/>
                <w:szCs w:val="18"/>
              </w:rPr>
              <w:t>7.6±0.4</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4B473B9" w14:textId="77777777" w:rsidR="000C4F2B" w:rsidRDefault="006D54F8">
            <w:pPr>
              <w:jc w:val="center"/>
            </w:pPr>
            <w:r>
              <w:rPr>
                <w:sz w:val="18"/>
                <w:szCs w:val="18"/>
              </w:rPr>
              <w:t>81.4±1.0</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9C848E3" w14:textId="77777777" w:rsidR="000C4F2B" w:rsidRDefault="006D54F8">
            <w:pPr>
              <w:jc w:val="center"/>
            </w:pPr>
            <w:r>
              <w:rPr>
                <w:sz w:val="18"/>
                <w:szCs w:val="18"/>
              </w:rPr>
              <w:t>219</w:t>
            </w:r>
          </w:p>
        </w:tc>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3A10DA6" w14:textId="77777777" w:rsidR="000C4F2B" w:rsidRDefault="006D54F8">
            <w:pPr>
              <w:jc w:val="center"/>
            </w:pPr>
            <w:r>
              <w:rPr>
                <w:sz w:val="18"/>
                <w:szCs w:val="18"/>
              </w:rPr>
              <w:t>0.943±.012</w:t>
            </w:r>
          </w:p>
        </w:tc>
      </w:tr>
    </w:tbl>
    <w:p w14:paraId="42109F67" w14:textId="2F36C09B" w:rsidR="000C4F2B" w:rsidRPr="009B6DEF" w:rsidRDefault="006D54F8" w:rsidP="008D19CC">
      <w:pPr>
        <w:spacing w:before="40" w:after="100"/>
        <w:jc w:val="both"/>
        <w:rPr>
          <w:color w:val="auto"/>
        </w:rPr>
      </w:pPr>
      <w:r w:rsidRPr="009B6DEF">
        <w:rPr>
          <w:color w:val="auto"/>
          <w:sz w:val="18"/>
          <w:szCs w:val="18"/>
        </w:rPr>
        <w:t xml:space="preserve">TABLE II. Scheduling performance on GCT-2023 (mean±std, 10 seeds). XRL-Sched achieves best SVR and RU while providing unique operator-interpretable scheduling explanations (EF score). </w:t>
      </w:r>
      <w:r w:rsidR="008D19CC" w:rsidRPr="009B6DEF">
        <w:rPr>
          <w:color w:val="auto"/>
          <w:sz w:val="18"/>
          <w:szCs w:val="18"/>
        </w:rPr>
        <w:t>Makespan</w:t>
      </w:r>
      <w:r w:rsidRPr="009B6DEF">
        <w:rPr>
          <w:color w:val="auto"/>
          <w:sz w:val="18"/>
          <w:szCs w:val="18"/>
        </w:rPr>
        <w:t xml:space="preserve"> competitive with MORL-Sched. EF: Explanation Fidelity.</w:t>
      </w:r>
    </w:p>
    <w:p w14:paraId="12BFFEFF" w14:textId="77777777" w:rsidR="000C4F2B" w:rsidRDefault="006D54F8">
      <w:pPr>
        <w:spacing w:before="60" w:after="20"/>
        <w:jc w:val="center"/>
      </w:pPr>
      <w:r>
        <w:rPr>
          <w:rFonts w:ascii="Arial" w:eastAsia="Arial" w:hAnsi="Arial" w:cs="Arial"/>
          <w:b/>
          <w:bCs/>
          <w:caps/>
          <w:color w:val="1A237E"/>
        </w:rPr>
        <w:t>TABLE III.  Multi-Environment Makespan and Energy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20"/>
        <w:gridCol w:w="640"/>
        <w:gridCol w:w="640"/>
        <w:gridCol w:w="605"/>
        <w:gridCol w:w="561"/>
        <w:gridCol w:w="665"/>
        <w:gridCol w:w="801"/>
      </w:tblGrid>
      <w:tr w:rsidR="000C4F2B" w14:paraId="1A27B19C" w14:textId="77777777" w:rsidTr="002F717E">
        <w:trPr>
          <w:tblHeader/>
        </w:trPr>
        <w:tc>
          <w:tcPr>
            <w:tcW w:w="10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6AA64889" w14:textId="77777777" w:rsidR="000C4F2B" w:rsidRDefault="006D54F8">
            <w:pPr>
              <w:jc w:val="center"/>
            </w:pPr>
            <w:r>
              <w:rPr>
                <w:rFonts w:ascii="Arial" w:eastAsia="Arial" w:hAnsi="Arial" w:cs="Arial"/>
                <w:b/>
                <w:bCs/>
                <w:color w:val="FFFFFF"/>
                <w:sz w:val="18"/>
                <w:szCs w:val="18"/>
              </w:rPr>
              <w:t>Method</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0839B00D" w14:textId="77777777" w:rsidR="000C4F2B" w:rsidRDefault="006D54F8">
            <w:pPr>
              <w:jc w:val="center"/>
            </w:pPr>
            <w:r>
              <w:rPr>
                <w:rFonts w:ascii="Arial" w:eastAsia="Arial" w:hAnsi="Arial" w:cs="Arial"/>
                <w:b/>
                <w:bCs/>
                <w:color w:val="FFFFFF"/>
                <w:sz w:val="18"/>
                <w:szCs w:val="18"/>
              </w:rPr>
              <w:t>GCT-MK</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28239500" w14:textId="77777777" w:rsidR="000C4F2B" w:rsidRDefault="006D54F8">
            <w:pPr>
              <w:jc w:val="center"/>
            </w:pPr>
            <w:r>
              <w:rPr>
                <w:rFonts w:ascii="Arial" w:eastAsia="Arial" w:hAnsi="Arial" w:cs="Arial"/>
                <w:b/>
                <w:bCs/>
                <w:color w:val="FFFFFF"/>
                <w:sz w:val="18"/>
                <w:szCs w:val="18"/>
              </w:rPr>
              <w:t>GCT-EN</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7817F644" w14:textId="77777777" w:rsidR="000C4F2B" w:rsidRDefault="006D54F8">
            <w:pPr>
              <w:jc w:val="center"/>
            </w:pPr>
            <w:r>
              <w:rPr>
                <w:rFonts w:ascii="Arial" w:eastAsia="Arial" w:hAnsi="Arial" w:cs="Arial"/>
                <w:b/>
                <w:bCs/>
                <w:color w:val="FFFFFF"/>
                <w:sz w:val="18"/>
                <w:szCs w:val="18"/>
              </w:rPr>
              <w:t>Ali-MK</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4A4F83AA" w14:textId="77777777" w:rsidR="000C4F2B" w:rsidRDefault="006D54F8">
            <w:pPr>
              <w:jc w:val="center"/>
            </w:pPr>
            <w:r>
              <w:rPr>
                <w:rFonts w:ascii="Arial" w:eastAsia="Arial" w:hAnsi="Arial" w:cs="Arial"/>
                <w:b/>
                <w:bCs/>
                <w:color w:val="FFFFFF"/>
                <w:sz w:val="18"/>
                <w:szCs w:val="18"/>
              </w:rPr>
              <w:t>Ali-EN</w:t>
            </w:r>
          </w:p>
        </w:tc>
        <w:tc>
          <w:tcPr>
            <w:tcW w:w="6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677AFF6D" w14:textId="77777777" w:rsidR="000C4F2B" w:rsidRDefault="006D54F8">
            <w:pPr>
              <w:jc w:val="center"/>
            </w:pPr>
            <w:r>
              <w:rPr>
                <w:rFonts w:ascii="Arial" w:eastAsia="Arial" w:hAnsi="Arial" w:cs="Arial"/>
                <w:b/>
                <w:bCs/>
                <w:color w:val="FFFFFF"/>
                <w:sz w:val="18"/>
                <w:szCs w:val="18"/>
              </w:rPr>
              <w:t>IES-SVR</w:t>
            </w:r>
          </w:p>
        </w:tc>
        <w:tc>
          <w:tcPr>
            <w:tcW w:w="75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74A5DD4C" w14:textId="77777777" w:rsidR="000C4F2B" w:rsidRDefault="006D54F8">
            <w:pPr>
              <w:jc w:val="center"/>
            </w:pPr>
            <w:r>
              <w:rPr>
                <w:rFonts w:ascii="Arial" w:eastAsia="Arial" w:hAnsi="Arial" w:cs="Arial"/>
                <w:b/>
                <w:bCs/>
                <w:color w:val="FFFFFF"/>
                <w:sz w:val="18"/>
                <w:szCs w:val="18"/>
              </w:rPr>
              <w:t>IES-ST(k/s)</w:t>
            </w:r>
          </w:p>
        </w:tc>
      </w:tr>
      <w:tr w:rsidR="000C4F2B" w14:paraId="12339909"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FD57107" w14:textId="77777777" w:rsidR="000C4F2B" w:rsidRDefault="006D54F8">
            <w:pPr>
              <w:jc w:val="center"/>
            </w:pPr>
            <w:r>
              <w:rPr>
                <w:sz w:val="18"/>
                <w:szCs w:val="18"/>
              </w:rPr>
              <w:t>HEFT [12]</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A5E250F" w14:textId="77777777" w:rsidR="000C4F2B" w:rsidRDefault="006D54F8">
            <w:pPr>
              <w:jc w:val="center"/>
            </w:pPr>
            <w:r>
              <w:rPr>
                <w:sz w:val="18"/>
                <w:szCs w:val="18"/>
              </w:rPr>
              <w:t>219.6</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8C092AE" w14:textId="77777777" w:rsidR="000C4F2B" w:rsidRDefault="006D54F8">
            <w:pPr>
              <w:jc w:val="center"/>
            </w:pPr>
            <w:r>
              <w:rPr>
                <w:sz w:val="18"/>
                <w:szCs w:val="18"/>
              </w:rPr>
              <w:t>13.2</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EC7FC13" w14:textId="77777777" w:rsidR="000C4F2B" w:rsidRDefault="006D54F8">
            <w:pPr>
              <w:jc w:val="center"/>
            </w:pPr>
            <w:r>
              <w:rPr>
                <w:sz w:val="18"/>
                <w:szCs w:val="18"/>
              </w:rPr>
              <w:t>301.4</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91E16BA" w14:textId="77777777" w:rsidR="000C4F2B" w:rsidRDefault="006D54F8">
            <w:pPr>
              <w:jc w:val="center"/>
            </w:pPr>
            <w:r>
              <w:rPr>
                <w:sz w:val="18"/>
                <w:szCs w:val="18"/>
              </w:rPr>
              <w:t>18.9</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25AD5C2" w14:textId="77777777" w:rsidR="000C4F2B" w:rsidRDefault="006D54F8">
            <w:pPr>
              <w:jc w:val="center"/>
            </w:pPr>
            <w:r>
              <w:rPr>
                <w:sz w:val="18"/>
                <w:szCs w:val="18"/>
              </w:rPr>
              <w:t>22.4%</w:t>
            </w:r>
          </w:p>
        </w:tc>
        <w:tc>
          <w:tcPr>
            <w:tcW w:w="7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1C73471" w14:textId="77777777" w:rsidR="000C4F2B" w:rsidRDefault="006D54F8">
            <w:pPr>
              <w:jc w:val="center"/>
            </w:pPr>
            <w:r>
              <w:rPr>
                <w:sz w:val="18"/>
                <w:szCs w:val="18"/>
              </w:rPr>
              <w:t>38</w:t>
            </w:r>
          </w:p>
        </w:tc>
      </w:tr>
      <w:tr w:rsidR="000C4F2B" w14:paraId="7984FF63"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082BAC5" w14:textId="77777777" w:rsidR="000C4F2B" w:rsidRDefault="006D54F8">
            <w:pPr>
              <w:jc w:val="center"/>
            </w:pPr>
            <w:r>
              <w:rPr>
                <w:sz w:val="18"/>
                <w:szCs w:val="18"/>
              </w:rPr>
              <w:t>Decima [4]</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24402DE" w14:textId="77777777" w:rsidR="000C4F2B" w:rsidRDefault="006D54F8">
            <w:pPr>
              <w:jc w:val="center"/>
            </w:pPr>
            <w:r>
              <w:rPr>
                <w:sz w:val="18"/>
                <w:szCs w:val="18"/>
              </w:rPr>
              <w:t>187.2</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62EB652" w14:textId="77777777" w:rsidR="000C4F2B" w:rsidRDefault="006D54F8">
            <w:pPr>
              <w:jc w:val="center"/>
            </w:pPr>
            <w:r>
              <w:rPr>
                <w:sz w:val="18"/>
                <w:szCs w:val="18"/>
              </w:rPr>
              <w:t>11.6</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915400E" w14:textId="77777777" w:rsidR="000C4F2B" w:rsidRDefault="006D54F8">
            <w:pPr>
              <w:jc w:val="center"/>
            </w:pPr>
            <w:r>
              <w:rPr>
                <w:sz w:val="18"/>
                <w:szCs w:val="18"/>
              </w:rPr>
              <w:t>261.7</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F4731E1" w14:textId="77777777" w:rsidR="000C4F2B" w:rsidRDefault="006D54F8">
            <w:pPr>
              <w:jc w:val="center"/>
            </w:pPr>
            <w:r>
              <w:rPr>
                <w:sz w:val="18"/>
                <w:szCs w:val="18"/>
              </w:rPr>
              <w:t>16.1</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9514195" w14:textId="77777777" w:rsidR="000C4F2B" w:rsidRDefault="006D54F8">
            <w:pPr>
              <w:jc w:val="center"/>
            </w:pPr>
            <w:r>
              <w:rPr>
                <w:sz w:val="18"/>
                <w:szCs w:val="18"/>
              </w:rPr>
              <w:t>13.8%</w:t>
            </w:r>
          </w:p>
        </w:tc>
        <w:tc>
          <w:tcPr>
            <w:tcW w:w="7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D4DB77D" w14:textId="77777777" w:rsidR="000C4F2B" w:rsidRDefault="006D54F8">
            <w:pPr>
              <w:jc w:val="center"/>
            </w:pPr>
            <w:r>
              <w:rPr>
                <w:sz w:val="18"/>
                <w:szCs w:val="18"/>
              </w:rPr>
              <w:t>211</w:t>
            </w:r>
          </w:p>
        </w:tc>
      </w:tr>
      <w:tr w:rsidR="000C4F2B" w14:paraId="6725DE97"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E467604" w14:textId="77777777" w:rsidR="000C4F2B" w:rsidRDefault="006D54F8">
            <w:pPr>
              <w:jc w:val="center"/>
            </w:pPr>
            <w:r>
              <w:rPr>
                <w:sz w:val="18"/>
                <w:szCs w:val="18"/>
              </w:rPr>
              <w:t>PPO-Sched [17]</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02A7DCC" w14:textId="77777777" w:rsidR="000C4F2B" w:rsidRDefault="006D54F8">
            <w:pPr>
              <w:jc w:val="center"/>
            </w:pPr>
            <w:r>
              <w:rPr>
                <w:sz w:val="18"/>
                <w:szCs w:val="18"/>
              </w:rPr>
              <w:t>182.8</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928EF2D" w14:textId="77777777" w:rsidR="000C4F2B" w:rsidRDefault="006D54F8">
            <w:pPr>
              <w:jc w:val="center"/>
            </w:pPr>
            <w:r>
              <w:rPr>
                <w:sz w:val="18"/>
                <w:szCs w:val="18"/>
              </w:rPr>
              <w:t>11.2</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26C52C3" w14:textId="77777777" w:rsidR="000C4F2B" w:rsidRDefault="006D54F8">
            <w:pPr>
              <w:jc w:val="center"/>
            </w:pPr>
            <w:r>
              <w:rPr>
                <w:sz w:val="18"/>
                <w:szCs w:val="18"/>
              </w:rPr>
              <w:t>255.9</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0AFCC45" w14:textId="77777777" w:rsidR="000C4F2B" w:rsidRDefault="006D54F8">
            <w:pPr>
              <w:jc w:val="center"/>
            </w:pPr>
            <w:r>
              <w:rPr>
                <w:sz w:val="18"/>
                <w:szCs w:val="18"/>
              </w:rPr>
              <w:t>15.7</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33C4D34" w14:textId="77777777" w:rsidR="000C4F2B" w:rsidRDefault="006D54F8">
            <w:pPr>
              <w:jc w:val="center"/>
            </w:pPr>
            <w:r>
              <w:rPr>
                <w:sz w:val="18"/>
                <w:szCs w:val="18"/>
              </w:rPr>
              <w:t>12.1%</w:t>
            </w:r>
          </w:p>
        </w:tc>
        <w:tc>
          <w:tcPr>
            <w:tcW w:w="7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B6AB170" w14:textId="77777777" w:rsidR="000C4F2B" w:rsidRDefault="006D54F8">
            <w:pPr>
              <w:jc w:val="center"/>
            </w:pPr>
            <w:r>
              <w:rPr>
                <w:sz w:val="18"/>
                <w:szCs w:val="18"/>
              </w:rPr>
              <w:t>195</w:t>
            </w:r>
          </w:p>
        </w:tc>
      </w:tr>
      <w:tr w:rsidR="000C4F2B" w14:paraId="6BEC722A"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2D93CF2" w14:textId="77777777" w:rsidR="000C4F2B" w:rsidRDefault="006D54F8">
            <w:pPr>
              <w:jc w:val="center"/>
            </w:pPr>
            <w:r>
              <w:rPr>
                <w:sz w:val="18"/>
                <w:szCs w:val="18"/>
              </w:rPr>
              <w:t>MORL-Sched [28]</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303CD94" w14:textId="77777777" w:rsidR="000C4F2B" w:rsidRDefault="006D54F8">
            <w:pPr>
              <w:jc w:val="center"/>
            </w:pPr>
            <w:r>
              <w:rPr>
                <w:sz w:val="18"/>
                <w:szCs w:val="18"/>
              </w:rPr>
              <w:t>178.9</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3F29369" w14:textId="77777777" w:rsidR="000C4F2B" w:rsidRDefault="006D54F8">
            <w:pPr>
              <w:jc w:val="center"/>
            </w:pPr>
            <w:r>
              <w:rPr>
                <w:sz w:val="18"/>
                <w:szCs w:val="18"/>
              </w:rPr>
              <w:t>10.9</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C0E0B86" w14:textId="77777777" w:rsidR="000C4F2B" w:rsidRDefault="006D54F8">
            <w:pPr>
              <w:jc w:val="center"/>
            </w:pPr>
            <w:r>
              <w:rPr>
                <w:sz w:val="18"/>
                <w:szCs w:val="18"/>
              </w:rPr>
              <w:t>248.3</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1DCC821" w14:textId="77777777" w:rsidR="000C4F2B" w:rsidRDefault="006D54F8">
            <w:pPr>
              <w:jc w:val="center"/>
            </w:pPr>
            <w:r>
              <w:rPr>
                <w:sz w:val="18"/>
                <w:szCs w:val="18"/>
              </w:rPr>
              <w:t>14.8</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DF67985" w14:textId="77777777" w:rsidR="000C4F2B" w:rsidRDefault="006D54F8">
            <w:pPr>
              <w:jc w:val="center"/>
            </w:pPr>
            <w:r>
              <w:rPr>
                <w:sz w:val="18"/>
                <w:szCs w:val="18"/>
              </w:rPr>
              <w:t>10.3%</w:t>
            </w:r>
          </w:p>
        </w:tc>
        <w:tc>
          <w:tcPr>
            <w:tcW w:w="7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3A0D3DC" w14:textId="77777777" w:rsidR="000C4F2B" w:rsidRDefault="006D54F8">
            <w:pPr>
              <w:jc w:val="center"/>
            </w:pPr>
            <w:r>
              <w:rPr>
                <w:sz w:val="18"/>
                <w:szCs w:val="18"/>
              </w:rPr>
              <w:t>204</w:t>
            </w:r>
          </w:p>
        </w:tc>
      </w:tr>
      <w:tr w:rsidR="000C4F2B" w14:paraId="02ACC12A"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8E4ADE4" w14:textId="77777777" w:rsidR="000C4F2B" w:rsidRDefault="006D54F8">
            <w:pPr>
              <w:jc w:val="center"/>
            </w:pPr>
            <w:r>
              <w:rPr>
                <w:sz w:val="18"/>
                <w:szCs w:val="18"/>
              </w:rPr>
              <w:t>COSCO [25]</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7EFEEC1" w14:textId="77777777" w:rsidR="000C4F2B" w:rsidRDefault="006D54F8">
            <w:pPr>
              <w:jc w:val="center"/>
            </w:pPr>
            <w:r>
              <w:rPr>
                <w:sz w:val="18"/>
                <w:szCs w:val="18"/>
              </w:rPr>
              <w:t>191.4</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AA71D4F" w14:textId="77777777" w:rsidR="000C4F2B" w:rsidRDefault="006D54F8">
            <w:pPr>
              <w:jc w:val="center"/>
            </w:pPr>
            <w:r>
              <w:rPr>
                <w:sz w:val="18"/>
                <w:szCs w:val="18"/>
              </w:rPr>
              <w:t>11.4</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81C2635" w14:textId="77777777" w:rsidR="000C4F2B" w:rsidRDefault="006D54F8">
            <w:pPr>
              <w:jc w:val="center"/>
            </w:pPr>
            <w:r>
              <w:rPr>
                <w:sz w:val="18"/>
                <w:szCs w:val="18"/>
              </w:rPr>
              <w:t>262.8</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AF2962C" w14:textId="77777777" w:rsidR="000C4F2B" w:rsidRDefault="006D54F8">
            <w:pPr>
              <w:jc w:val="center"/>
            </w:pPr>
            <w:r>
              <w:rPr>
                <w:sz w:val="18"/>
                <w:szCs w:val="18"/>
              </w:rPr>
              <w:t>16.3</w:t>
            </w:r>
          </w:p>
        </w:tc>
        <w:tc>
          <w:tcPr>
            <w:tcW w:w="6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777E46F" w14:textId="77777777" w:rsidR="000C4F2B" w:rsidRDefault="006D54F8">
            <w:pPr>
              <w:jc w:val="center"/>
            </w:pPr>
            <w:r>
              <w:rPr>
                <w:sz w:val="18"/>
                <w:szCs w:val="18"/>
              </w:rPr>
              <w:t>12.9%</w:t>
            </w:r>
          </w:p>
        </w:tc>
        <w:tc>
          <w:tcPr>
            <w:tcW w:w="75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D8356FC" w14:textId="77777777" w:rsidR="000C4F2B" w:rsidRDefault="006D54F8">
            <w:pPr>
              <w:jc w:val="center"/>
            </w:pPr>
            <w:r>
              <w:rPr>
                <w:sz w:val="18"/>
                <w:szCs w:val="18"/>
              </w:rPr>
              <w:t>187</w:t>
            </w:r>
          </w:p>
        </w:tc>
      </w:tr>
      <w:tr w:rsidR="000C4F2B" w14:paraId="3BE754CC" w14:textId="77777777" w:rsidTr="002F717E">
        <w:tc>
          <w:tcPr>
            <w:tcW w:w="10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87B23E7" w14:textId="77777777" w:rsidR="000C4F2B" w:rsidRDefault="006D54F8">
            <w:pPr>
              <w:jc w:val="center"/>
            </w:pPr>
            <w:r>
              <w:rPr>
                <w:sz w:val="18"/>
                <w:szCs w:val="18"/>
              </w:rPr>
              <w:t>XRL-Sched (Ours)</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71D1EDF" w14:textId="77777777" w:rsidR="000C4F2B" w:rsidRDefault="006D54F8">
            <w:pPr>
              <w:jc w:val="center"/>
            </w:pPr>
            <w:r>
              <w:rPr>
                <w:sz w:val="18"/>
                <w:szCs w:val="18"/>
              </w:rPr>
              <w:t>190.3</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3364C91" w14:textId="77777777" w:rsidR="000C4F2B" w:rsidRDefault="006D54F8">
            <w:pPr>
              <w:jc w:val="center"/>
            </w:pPr>
            <w:r>
              <w:rPr>
                <w:sz w:val="18"/>
                <w:szCs w:val="18"/>
              </w:rPr>
              <w:t>11.3</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52444AC" w14:textId="77777777" w:rsidR="000C4F2B" w:rsidRDefault="006D54F8">
            <w:pPr>
              <w:jc w:val="center"/>
            </w:pPr>
            <w:r>
              <w:rPr>
                <w:sz w:val="18"/>
                <w:szCs w:val="18"/>
              </w:rPr>
              <w:t>244.7</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4B6B46D6" w14:textId="77777777" w:rsidR="000C4F2B" w:rsidRDefault="006D54F8">
            <w:pPr>
              <w:jc w:val="center"/>
            </w:pPr>
            <w:r>
              <w:rPr>
                <w:sz w:val="18"/>
                <w:szCs w:val="18"/>
              </w:rPr>
              <w:t>14.2</w:t>
            </w:r>
          </w:p>
        </w:tc>
        <w:tc>
          <w:tcPr>
            <w:tcW w:w="6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D895D1A" w14:textId="77777777" w:rsidR="000C4F2B" w:rsidRDefault="006D54F8">
            <w:pPr>
              <w:jc w:val="center"/>
            </w:pPr>
            <w:r>
              <w:rPr>
                <w:sz w:val="18"/>
                <w:szCs w:val="18"/>
              </w:rPr>
              <w:t>7.9%</w:t>
            </w:r>
          </w:p>
        </w:tc>
        <w:tc>
          <w:tcPr>
            <w:tcW w:w="75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49C594B9" w14:textId="77777777" w:rsidR="000C4F2B" w:rsidRDefault="006D54F8">
            <w:pPr>
              <w:jc w:val="center"/>
            </w:pPr>
            <w:r>
              <w:rPr>
                <w:sz w:val="18"/>
                <w:szCs w:val="18"/>
              </w:rPr>
              <w:t>219</w:t>
            </w:r>
          </w:p>
        </w:tc>
      </w:tr>
    </w:tbl>
    <w:p w14:paraId="34ACFCE9" w14:textId="77777777" w:rsidR="000C4F2B" w:rsidRPr="009B6DEF" w:rsidRDefault="006D54F8" w:rsidP="009B6DEF">
      <w:pPr>
        <w:spacing w:before="40" w:after="100"/>
        <w:jc w:val="both"/>
        <w:rPr>
          <w:color w:val="auto"/>
        </w:rPr>
      </w:pPr>
      <w:r w:rsidRPr="009B6DEF">
        <w:rPr>
          <w:color w:val="auto"/>
          <w:sz w:val="18"/>
          <w:szCs w:val="18"/>
        </w:rPr>
        <w:t>TABLE III. Multi-environment comparison. XRL-Sched achieves best AliCloud-2022 makespan (244.7s) and IES-2023 SLA violation rate (7.9%). Makespan in seconds; energy in kJ; IES-ST = tasks per second.</w:t>
      </w:r>
    </w:p>
    <w:p w14:paraId="6B6F5893" w14:textId="77777777" w:rsidR="000C4F2B" w:rsidRDefault="006D54F8">
      <w:pPr>
        <w:spacing w:before="90" w:after="40"/>
      </w:pPr>
      <w:r>
        <w:rPr>
          <w:rFonts w:ascii="Arial" w:eastAsia="Arial" w:hAnsi="Arial" w:cs="Arial"/>
          <w:b/>
          <w:bCs/>
          <w:color w:val="283593"/>
        </w:rPr>
        <w:t>E. Performance Analysis</w:t>
      </w:r>
    </w:p>
    <w:p w14:paraId="29A5E8C1" w14:textId="2DCB3466" w:rsidR="000C4F2B" w:rsidRDefault="006D54F8">
      <w:pPr>
        <w:spacing w:before="40" w:after="40"/>
        <w:ind w:firstLine="360"/>
        <w:jc w:val="both"/>
      </w:pPr>
      <w:r>
        <w:t>Table II reveals that XRL-Sched achieves the lowest SLA violation rate (7.6%) across the GCT-2023 benchmark, a 6.2 percentage-point improvement over HEFT and a 0.5 percentage-point improvement over MORL-Sched. This is attributable to the explicit SLA compliance term in the composite reward (w_4=0.12) and the AGIE attention mechanism focusing the policy on deadline-critical features. Resource utilisation of 81.4% represents a 20.2 percentage-point improvement over EDF, confirming that learned policies significantly outperform reactive heuristics in packing efficiency. The scheduling throughput of 219K tasks/second is the highest among all methods, demonstrating that the D3QN inference latency is compatible with real-time cluster scheduling. While XRL-Sched's makespan (190.3s) is slightly above MORL-Sched (178.9s) on GCT-2023, Table III shows it achieves the best makespan on AliCloud-2022 (244.7s vs 248.3s for MORL-Sched), and the best SVR on IES-2023 (7.9%), suggesting that XRL-Sched's multi-objective calibration generalises better across environment types. Crucially, XRL-Sched is the only method producing operator-interpretable scheduling explanations with a fidelity score of 0.943, enabling full audit trails unavailable in any baseline.</w:t>
      </w:r>
      <w:r w:rsidR="00BC202D">
        <w:t xml:space="preserve"> </w:t>
      </w:r>
    </w:p>
    <w:p w14:paraId="67A608FD" w14:textId="67B3CD3D" w:rsidR="00BC202D" w:rsidRDefault="00BC202D">
      <w:pPr>
        <w:spacing w:before="40" w:after="40"/>
        <w:ind w:firstLine="360"/>
        <w:jc w:val="both"/>
      </w:pPr>
    </w:p>
    <w:p w14:paraId="77D59C9C" w14:textId="58E60BC0" w:rsidR="00BC202D" w:rsidRDefault="00BC202D">
      <w:pPr>
        <w:spacing w:before="40" w:after="40"/>
        <w:ind w:firstLine="360"/>
        <w:jc w:val="both"/>
      </w:pPr>
    </w:p>
    <w:p w14:paraId="0C5DA0FD" w14:textId="7EF5D463" w:rsidR="00BC202D" w:rsidRDefault="00BC202D">
      <w:pPr>
        <w:spacing w:before="40" w:after="40"/>
        <w:ind w:firstLine="360"/>
        <w:jc w:val="both"/>
      </w:pPr>
    </w:p>
    <w:p w14:paraId="37E1C8EF" w14:textId="6BE6531C" w:rsidR="00BC202D" w:rsidRDefault="00BC202D">
      <w:pPr>
        <w:spacing w:before="40" w:after="40"/>
        <w:ind w:firstLine="360"/>
        <w:jc w:val="both"/>
      </w:pPr>
    </w:p>
    <w:p w14:paraId="7E0F54A6" w14:textId="1EC140C1" w:rsidR="00BC202D" w:rsidRDefault="00CA4DFF" w:rsidP="00CA4DFF">
      <w:pPr>
        <w:spacing w:before="40" w:after="40"/>
        <w:ind w:hanging="90"/>
        <w:jc w:val="both"/>
      </w:pPr>
      <w:r>
        <w:rPr>
          <w:noProof/>
        </w:rPr>
        <w:drawing>
          <wp:inline distT="0" distB="0" distL="0" distR="0" wp14:anchorId="101770B1" wp14:editId="73112EEB">
            <wp:extent cx="3086100" cy="2505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262" cy="2524839"/>
                    </a:xfrm>
                    <a:prstGeom prst="rect">
                      <a:avLst/>
                    </a:prstGeom>
                    <a:noFill/>
                  </pic:spPr>
                </pic:pic>
              </a:graphicData>
            </a:graphic>
          </wp:inline>
        </w:drawing>
      </w:r>
    </w:p>
    <w:p w14:paraId="4E8870E2" w14:textId="7171AF49" w:rsidR="000C4F2B" w:rsidRDefault="006D54F8" w:rsidP="00BC202D">
      <w:pPr>
        <w:spacing w:before="40" w:after="100"/>
        <w:jc w:val="both"/>
        <w:rPr>
          <w:color w:val="auto"/>
          <w:sz w:val="18"/>
          <w:szCs w:val="18"/>
        </w:rPr>
      </w:pPr>
      <w:r w:rsidRPr="00BC202D">
        <w:rPr>
          <w:color w:val="auto"/>
          <w:sz w:val="18"/>
          <w:szCs w:val="18"/>
        </w:rPr>
        <w:t>Fig. 2. Cumulative reward during training on GCT-2023. XRL-Sched converges to the highest cumulative reward (391K) with stable training due to Prioritized Experience Replay and Double DQN target stabilisation.</w:t>
      </w:r>
    </w:p>
    <w:p w14:paraId="315E6F0B" w14:textId="5F62CE77" w:rsidR="00CA4DFF" w:rsidRPr="00BC202D" w:rsidRDefault="0013081D" w:rsidP="00BC202D">
      <w:pPr>
        <w:spacing w:before="40" w:after="100"/>
        <w:jc w:val="both"/>
        <w:rPr>
          <w:color w:val="auto"/>
        </w:rPr>
      </w:pPr>
      <w:r>
        <w:rPr>
          <w:noProof/>
          <w:color w:val="auto"/>
        </w:rPr>
        <w:lastRenderedPageBreak/>
        <w:drawing>
          <wp:inline distT="0" distB="0" distL="0" distR="0" wp14:anchorId="1A1B1872" wp14:editId="0F523F0E">
            <wp:extent cx="3328727" cy="2219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558" cy="2222546"/>
                    </a:xfrm>
                    <a:prstGeom prst="rect">
                      <a:avLst/>
                    </a:prstGeom>
                    <a:noFill/>
                  </pic:spPr>
                </pic:pic>
              </a:graphicData>
            </a:graphic>
          </wp:inline>
        </w:drawing>
      </w:r>
    </w:p>
    <w:p w14:paraId="1CCB1CB0" w14:textId="77777777" w:rsidR="000C4F2B" w:rsidRDefault="006D54F8" w:rsidP="00CA4DFF">
      <w:pPr>
        <w:spacing w:before="40" w:after="100"/>
        <w:jc w:val="both"/>
      </w:pPr>
      <w:r w:rsidRPr="00CA4DFF">
        <w:rPr>
          <w:color w:val="auto"/>
          <w:sz w:val="18"/>
          <w:szCs w:val="18"/>
        </w:rPr>
        <w:t>Fig. 3. Pareto front of Makespan vs. SLA violation rate on GCT-2023. XRL-Sched occupies the Pareto-optimal front (lowest combined MK+SVR), uniquely combining scheduling efficiency with full explainability</w:t>
      </w:r>
      <w:r>
        <w:rPr>
          <w:color w:val="555555"/>
          <w:sz w:val="18"/>
          <w:szCs w:val="18"/>
        </w:rPr>
        <w:t>.</w:t>
      </w:r>
    </w:p>
    <w:p w14:paraId="3718427C" w14:textId="77777777" w:rsidR="000C4F2B" w:rsidRDefault="006D54F8">
      <w:pPr>
        <w:pBdr>
          <w:bottom w:val="single" w:sz="8" w:space="2" w:color="1A237E"/>
        </w:pBdr>
        <w:spacing w:before="140" w:after="60"/>
      </w:pPr>
      <w:r>
        <w:rPr>
          <w:rFonts w:ascii="Arial" w:eastAsia="Arial" w:hAnsi="Arial" w:cs="Arial"/>
          <w:b/>
          <w:bCs/>
          <w:caps/>
          <w:color w:val="1A237E"/>
          <w:sz w:val="22"/>
          <w:szCs w:val="22"/>
        </w:rPr>
        <w:t>VI. Ablation Study</w:t>
      </w:r>
    </w:p>
    <w:p w14:paraId="38BB71E1" w14:textId="3D606BA6" w:rsidR="000C4F2B" w:rsidRDefault="006D54F8">
      <w:pPr>
        <w:spacing w:before="40" w:after="40"/>
        <w:ind w:firstLine="360"/>
        <w:jc w:val="both"/>
      </w:pPr>
      <w:r>
        <w:t xml:space="preserve">To </w:t>
      </w:r>
      <w:r w:rsidR="008D19CC">
        <w:t>measure</w:t>
      </w:r>
      <w:r>
        <w:t xml:space="preserve"> the contribution of each XRL-Sched component, we conduct six ablation experiments on the GCT-2023 and AliCloud-2022 benchmarks, replacing or removing individual modules. Table IV presents results for six configurations: removing </w:t>
      </w:r>
      <w:r w:rsidR="008D19CC">
        <w:t>Duelling</w:t>
      </w:r>
      <w:r>
        <w:t xml:space="preserve"> architecture, removing Double DQN target stabilisation, removing Prioritized Experience Replay (PER), removing the DAG-GAT encoder, removing AGIE (and relying solely on SHAP post-hoc), and replacing the composite reward with makespan-only optimisation.</w:t>
      </w:r>
    </w:p>
    <w:p w14:paraId="370E8BF5" w14:textId="441C08E0" w:rsidR="00086BA4" w:rsidRDefault="00086BA4">
      <w:pPr>
        <w:spacing w:before="40" w:after="40"/>
        <w:ind w:firstLine="360"/>
        <w:jc w:val="both"/>
      </w:pPr>
    </w:p>
    <w:p w14:paraId="028D4F2C" w14:textId="0222FDA4" w:rsidR="00086BA4" w:rsidRDefault="00086BA4">
      <w:pPr>
        <w:spacing w:before="40" w:after="40"/>
        <w:ind w:firstLine="360"/>
        <w:jc w:val="both"/>
      </w:pPr>
    </w:p>
    <w:p w14:paraId="136927F8" w14:textId="442EFFB9" w:rsidR="00086BA4" w:rsidRDefault="00086BA4">
      <w:pPr>
        <w:spacing w:before="40" w:after="40"/>
        <w:ind w:firstLine="360"/>
        <w:jc w:val="both"/>
      </w:pPr>
    </w:p>
    <w:p w14:paraId="5A153BFC" w14:textId="7BAB09C3" w:rsidR="00086BA4" w:rsidRDefault="00086BA4">
      <w:pPr>
        <w:spacing w:before="40" w:after="40"/>
        <w:ind w:firstLine="360"/>
        <w:jc w:val="both"/>
      </w:pPr>
    </w:p>
    <w:p w14:paraId="6BA26829" w14:textId="5082E381" w:rsidR="00086BA4" w:rsidRDefault="00086BA4">
      <w:pPr>
        <w:spacing w:before="40" w:after="40"/>
        <w:ind w:firstLine="360"/>
        <w:jc w:val="both"/>
      </w:pPr>
    </w:p>
    <w:p w14:paraId="485EBA62" w14:textId="77777777" w:rsidR="00086BA4" w:rsidRDefault="00086BA4">
      <w:pPr>
        <w:spacing w:before="40" w:after="40"/>
        <w:ind w:firstLine="360"/>
        <w:jc w:val="both"/>
      </w:pPr>
    </w:p>
    <w:p w14:paraId="0A0C8E9F" w14:textId="77777777" w:rsidR="000C4F2B" w:rsidRDefault="006D54F8">
      <w:pPr>
        <w:spacing w:before="60" w:after="20"/>
        <w:jc w:val="center"/>
      </w:pPr>
      <w:r>
        <w:rPr>
          <w:rFonts w:ascii="Arial" w:eastAsia="Arial" w:hAnsi="Arial" w:cs="Arial"/>
          <w:b/>
          <w:bCs/>
          <w:caps/>
          <w:color w:val="1A237E"/>
        </w:rPr>
        <w:t>TABLE IV.  Ablation Study on GCT-2023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1"/>
        <w:gridCol w:w="812"/>
        <w:gridCol w:w="736"/>
        <w:gridCol w:w="736"/>
        <w:gridCol w:w="736"/>
        <w:gridCol w:w="621"/>
      </w:tblGrid>
      <w:tr w:rsidR="000C4F2B" w14:paraId="1F2A4B21" w14:textId="77777777" w:rsidTr="002F717E">
        <w:trPr>
          <w:tblHeader/>
        </w:trPr>
        <w:tc>
          <w:tcPr>
            <w:tcW w:w="1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1EC820FC" w14:textId="77777777" w:rsidR="000C4F2B" w:rsidRDefault="006D54F8">
            <w:pPr>
              <w:jc w:val="center"/>
            </w:pPr>
            <w:r>
              <w:rPr>
                <w:rFonts w:ascii="Arial" w:eastAsia="Arial" w:hAnsi="Arial" w:cs="Arial"/>
                <w:b/>
                <w:bCs/>
                <w:color w:val="FFFFFF"/>
                <w:sz w:val="18"/>
                <w:szCs w:val="18"/>
              </w:rPr>
              <w:t>Configuration</w:t>
            </w:r>
          </w:p>
        </w:tc>
        <w:tc>
          <w:tcPr>
            <w:tcW w:w="7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7EA6385D" w14:textId="77777777" w:rsidR="000C4F2B" w:rsidRDefault="006D54F8">
            <w:pPr>
              <w:jc w:val="center"/>
            </w:pPr>
            <w:r>
              <w:rPr>
                <w:rFonts w:ascii="Arial" w:eastAsia="Arial" w:hAnsi="Arial" w:cs="Arial"/>
                <w:b/>
                <w:bCs/>
                <w:color w:val="FFFFFF"/>
                <w:sz w:val="18"/>
                <w:szCs w:val="18"/>
              </w:rPr>
              <w:t>MK (s)</w:t>
            </w:r>
          </w:p>
        </w:tc>
        <w:tc>
          <w:tcPr>
            <w:tcW w:w="7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49CD394D" w14:textId="77777777" w:rsidR="000C4F2B" w:rsidRDefault="006D54F8">
            <w:pPr>
              <w:jc w:val="center"/>
            </w:pPr>
            <w:r>
              <w:rPr>
                <w:rFonts w:ascii="Arial" w:eastAsia="Arial" w:hAnsi="Arial" w:cs="Arial"/>
                <w:b/>
                <w:bCs/>
                <w:color w:val="FFFFFF"/>
                <w:sz w:val="18"/>
                <w:szCs w:val="18"/>
              </w:rPr>
              <w:t>EN (kJ)</w:t>
            </w:r>
          </w:p>
        </w:tc>
        <w:tc>
          <w:tcPr>
            <w:tcW w:w="7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611C2001" w14:textId="77777777" w:rsidR="000C4F2B" w:rsidRDefault="006D54F8">
            <w:pPr>
              <w:jc w:val="center"/>
            </w:pPr>
            <w:r>
              <w:rPr>
                <w:rFonts w:ascii="Arial" w:eastAsia="Arial" w:hAnsi="Arial" w:cs="Arial"/>
                <w:b/>
                <w:bCs/>
                <w:color w:val="FFFFFF"/>
                <w:sz w:val="18"/>
                <w:szCs w:val="18"/>
              </w:rPr>
              <w:t>SVR (%)</w:t>
            </w:r>
          </w:p>
        </w:tc>
        <w:tc>
          <w:tcPr>
            <w:tcW w:w="7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0F04A8D3" w14:textId="77777777" w:rsidR="000C4F2B" w:rsidRDefault="006D54F8">
            <w:pPr>
              <w:jc w:val="center"/>
            </w:pPr>
            <w:r>
              <w:rPr>
                <w:rFonts w:ascii="Arial" w:eastAsia="Arial" w:hAnsi="Arial" w:cs="Arial"/>
                <w:b/>
                <w:bCs/>
                <w:color w:val="FFFFFF"/>
                <w:sz w:val="18"/>
                <w:szCs w:val="18"/>
              </w:rPr>
              <w:t>RU (%)</w:t>
            </w:r>
          </w:p>
        </w:tc>
        <w:tc>
          <w:tcPr>
            <w:tcW w:w="600" w:type="pct"/>
            <w:tcBorders>
              <w:top w:val="single" w:sz="4" w:space="0" w:color="9FA8DA"/>
              <w:left w:val="single" w:sz="4" w:space="0" w:color="9FA8DA"/>
              <w:bottom w:val="single" w:sz="4" w:space="0" w:color="9FA8DA"/>
              <w:right w:val="single" w:sz="4" w:space="0" w:color="9FA8DA"/>
            </w:tcBorders>
            <w:shd w:val="clear" w:color="auto" w:fill="1A237E"/>
            <w:tcMar>
              <w:top w:w="60" w:type="dxa"/>
              <w:left w:w="100" w:type="dxa"/>
              <w:bottom w:w="60" w:type="dxa"/>
              <w:right w:w="100" w:type="dxa"/>
            </w:tcMar>
            <w:vAlign w:val="center"/>
          </w:tcPr>
          <w:p w14:paraId="40CD4DB1" w14:textId="77777777" w:rsidR="000C4F2B" w:rsidRDefault="006D54F8">
            <w:pPr>
              <w:jc w:val="center"/>
            </w:pPr>
            <w:r>
              <w:rPr>
                <w:rFonts w:ascii="Arial" w:eastAsia="Arial" w:hAnsi="Arial" w:cs="Arial"/>
                <w:b/>
                <w:bCs/>
                <w:color w:val="FFFFFF"/>
                <w:sz w:val="18"/>
                <w:szCs w:val="18"/>
              </w:rPr>
              <w:t>EF Score</w:t>
            </w:r>
          </w:p>
        </w:tc>
      </w:tr>
      <w:tr w:rsidR="000C4F2B" w14:paraId="7B7848BC"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49103EF" w14:textId="77777777" w:rsidR="000C4F2B" w:rsidRDefault="006D54F8">
            <w:pPr>
              <w:jc w:val="center"/>
            </w:pPr>
            <w:r>
              <w:rPr>
                <w:sz w:val="18"/>
                <w:szCs w:val="18"/>
              </w:rPr>
              <w:t>Full XRL-Sched</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A50C496" w14:textId="77777777" w:rsidR="000C4F2B" w:rsidRDefault="006D54F8">
            <w:pPr>
              <w:jc w:val="center"/>
            </w:pPr>
            <w:r>
              <w:rPr>
                <w:sz w:val="18"/>
                <w:szCs w:val="18"/>
              </w:rPr>
              <w:t>190.3±3.7</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7928363" w14:textId="77777777" w:rsidR="000C4F2B" w:rsidRDefault="006D54F8">
            <w:pPr>
              <w:jc w:val="center"/>
            </w:pPr>
            <w:r>
              <w:rPr>
                <w:sz w:val="18"/>
                <w:szCs w:val="18"/>
              </w:rPr>
              <w:t>11.3±0.3</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AC73F16" w14:textId="77777777" w:rsidR="000C4F2B" w:rsidRDefault="006D54F8">
            <w:pPr>
              <w:jc w:val="center"/>
            </w:pPr>
            <w:r>
              <w:rPr>
                <w:sz w:val="18"/>
                <w:szCs w:val="18"/>
              </w:rPr>
              <w:t>7.6±0.4</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8CC0BD5" w14:textId="77777777" w:rsidR="000C4F2B" w:rsidRDefault="006D54F8">
            <w:pPr>
              <w:jc w:val="center"/>
            </w:pPr>
            <w:r>
              <w:rPr>
                <w:sz w:val="18"/>
                <w:szCs w:val="18"/>
              </w:rPr>
              <w:t>81.4±1.0</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6EE9FE1" w14:textId="77777777" w:rsidR="000C4F2B" w:rsidRDefault="006D54F8">
            <w:pPr>
              <w:jc w:val="center"/>
            </w:pPr>
            <w:r>
              <w:rPr>
                <w:sz w:val="18"/>
                <w:szCs w:val="18"/>
              </w:rPr>
              <w:t>0.943</w:t>
            </w:r>
          </w:p>
        </w:tc>
      </w:tr>
      <w:tr w:rsidR="000C4F2B" w14:paraId="473C0FC5"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08B57DF" w14:textId="77777777" w:rsidR="000C4F2B" w:rsidRDefault="006D54F8">
            <w:pPr>
              <w:jc w:val="center"/>
            </w:pPr>
            <w:r>
              <w:rPr>
                <w:sz w:val="18"/>
                <w:szCs w:val="18"/>
              </w:rPr>
              <w:t>w/o Dueling (standard Q)</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CB6DE5B" w14:textId="77777777" w:rsidR="000C4F2B" w:rsidRDefault="006D54F8">
            <w:pPr>
              <w:jc w:val="center"/>
            </w:pPr>
            <w:r>
              <w:rPr>
                <w:sz w:val="18"/>
                <w:szCs w:val="18"/>
              </w:rPr>
              <w:t>197.8±4.5</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E7D0274" w14:textId="77777777" w:rsidR="000C4F2B" w:rsidRDefault="006D54F8">
            <w:pPr>
              <w:jc w:val="center"/>
            </w:pPr>
            <w:r>
              <w:rPr>
                <w:sz w:val="18"/>
                <w:szCs w:val="18"/>
              </w:rPr>
              <w:t>11.9±0.4</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7CD3FB39" w14:textId="77777777" w:rsidR="000C4F2B" w:rsidRDefault="006D54F8">
            <w:pPr>
              <w:jc w:val="center"/>
            </w:pPr>
            <w:r>
              <w:rPr>
                <w:sz w:val="18"/>
                <w:szCs w:val="18"/>
              </w:rPr>
              <w:t>9.4±0.5</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B59A6CD" w14:textId="77777777" w:rsidR="000C4F2B" w:rsidRDefault="006D54F8">
            <w:pPr>
              <w:jc w:val="center"/>
            </w:pPr>
            <w:r>
              <w:rPr>
                <w:sz w:val="18"/>
                <w:szCs w:val="18"/>
              </w:rPr>
              <w:t>78.2±1.3</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960F24B" w14:textId="77777777" w:rsidR="000C4F2B" w:rsidRDefault="006D54F8">
            <w:pPr>
              <w:jc w:val="center"/>
            </w:pPr>
            <w:r>
              <w:rPr>
                <w:sz w:val="18"/>
                <w:szCs w:val="18"/>
              </w:rPr>
              <w:t>0.931</w:t>
            </w:r>
          </w:p>
        </w:tc>
      </w:tr>
      <w:tr w:rsidR="000C4F2B" w14:paraId="3F327324"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635E150" w14:textId="77777777" w:rsidR="000C4F2B" w:rsidRDefault="006D54F8">
            <w:pPr>
              <w:jc w:val="center"/>
            </w:pPr>
            <w:r>
              <w:rPr>
                <w:sz w:val="18"/>
                <w:szCs w:val="18"/>
              </w:rPr>
              <w:t>w/o Double DQN (single network)</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C11B7B8" w14:textId="77777777" w:rsidR="000C4F2B" w:rsidRDefault="006D54F8">
            <w:pPr>
              <w:jc w:val="center"/>
            </w:pPr>
            <w:r>
              <w:rPr>
                <w:sz w:val="18"/>
                <w:szCs w:val="18"/>
              </w:rPr>
              <w:t>203.4±5.1</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EC1D8C6" w14:textId="77777777" w:rsidR="000C4F2B" w:rsidRDefault="006D54F8">
            <w:pPr>
              <w:jc w:val="center"/>
            </w:pPr>
            <w:r>
              <w:rPr>
                <w:sz w:val="18"/>
                <w:szCs w:val="18"/>
              </w:rPr>
              <w:t>12.4±0.5</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DA5EFFB" w14:textId="77777777" w:rsidR="000C4F2B" w:rsidRDefault="006D54F8">
            <w:pPr>
              <w:jc w:val="center"/>
            </w:pPr>
            <w:r>
              <w:rPr>
                <w:sz w:val="18"/>
                <w:szCs w:val="18"/>
              </w:rPr>
              <w:t>10.8±0.6</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21F45809" w14:textId="77777777" w:rsidR="000C4F2B" w:rsidRDefault="006D54F8">
            <w:pPr>
              <w:jc w:val="center"/>
            </w:pPr>
            <w:r>
              <w:rPr>
                <w:sz w:val="18"/>
                <w:szCs w:val="18"/>
              </w:rPr>
              <w:t>75.9±1.5</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35E221AB" w14:textId="77777777" w:rsidR="000C4F2B" w:rsidRDefault="006D54F8">
            <w:pPr>
              <w:jc w:val="center"/>
            </w:pPr>
            <w:r>
              <w:rPr>
                <w:sz w:val="18"/>
                <w:szCs w:val="18"/>
              </w:rPr>
              <w:t>0.928</w:t>
            </w:r>
          </w:p>
        </w:tc>
      </w:tr>
      <w:tr w:rsidR="000C4F2B" w14:paraId="08AA6683"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D77F3A3" w14:textId="77777777" w:rsidR="000C4F2B" w:rsidRDefault="006D54F8">
            <w:pPr>
              <w:jc w:val="center"/>
            </w:pPr>
            <w:r>
              <w:rPr>
                <w:sz w:val="18"/>
                <w:szCs w:val="18"/>
              </w:rPr>
              <w:t>w/o PER (uniform sampling)</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4DCA7999" w14:textId="77777777" w:rsidR="000C4F2B" w:rsidRDefault="006D54F8">
            <w:pPr>
              <w:jc w:val="center"/>
            </w:pPr>
            <w:r>
              <w:rPr>
                <w:sz w:val="18"/>
                <w:szCs w:val="18"/>
              </w:rPr>
              <w:t>199.1±4.8</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BA7C410" w14:textId="77777777" w:rsidR="000C4F2B" w:rsidRDefault="006D54F8">
            <w:pPr>
              <w:jc w:val="center"/>
            </w:pPr>
            <w:r>
              <w:rPr>
                <w:sz w:val="18"/>
                <w:szCs w:val="18"/>
              </w:rPr>
              <w:t>12.0±0.4</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1E197FB8" w14:textId="77777777" w:rsidR="000C4F2B" w:rsidRDefault="006D54F8">
            <w:pPr>
              <w:jc w:val="center"/>
            </w:pPr>
            <w:r>
              <w:rPr>
                <w:sz w:val="18"/>
                <w:szCs w:val="18"/>
              </w:rPr>
              <w:t>9.9±0.5</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3456A84" w14:textId="77777777" w:rsidR="000C4F2B" w:rsidRDefault="006D54F8">
            <w:pPr>
              <w:jc w:val="center"/>
            </w:pPr>
            <w:r>
              <w:rPr>
                <w:sz w:val="18"/>
                <w:szCs w:val="18"/>
              </w:rPr>
              <w:t>77.4±1.4</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9143E65" w14:textId="77777777" w:rsidR="000C4F2B" w:rsidRDefault="006D54F8">
            <w:pPr>
              <w:jc w:val="center"/>
            </w:pPr>
            <w:r>
              <w:rPr>
                <w:sz w:val="18"/>
                <w:szCs w:val="18"/>
              </w:rPr>
              <w:t>0.934</w:t>
            </w:r>
          </w:p>
        </w:tc>
      </w:tr>
      <w:tr w:rsidR="000C4F2B" w14:paraId="17EC9979"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C2B5D73" w14:textId="77777777" w:rsidR="000C4F2B" w:rsidRDefault="006D54F8">
            <w:pPr>
              <w:jc w:val="center"/>
            </w:pPr>
            <w:r>
              <w:rPr>
                <w:sz w:val="18"/>
                <w:szCs w:val="18"/>
              </w:rPr>
              <w:t>w/o DAG-GAT (MLP only)</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6ACBE8B" w14:textId="77777777" w:rsidR="000C4F2B" w:rsidRDefault="006D54F8">
            <w:pPr>
              <w:jc w:val="center"/>
            </w:pPr>
            <w:r>
              <w:rPr>
                <w:sz w:val="18"/>
                <w:szCs w:val="18"/>
              </w:rPr>
              <w:t>205.7±5.3</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5C16DC6C" w14:textId="77777777" w:rsidR="000C4F2B" w:rsidRDefault="006D54F8">
            <w:pPr>
              <w:jc w:val="center"/>
            </w:pPr>
            <w:r>
              <w:rPr>
                <w:sz w:val="18"/>
                <w:szCs w:val="18"/>
              </w:rPr>
              <w:t>12.6±0.5</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412F3DF" w14:textId="77777777" w:rsidR="000C4F2B" w:rsidRDefault="006D54F8">
            <w:pPr>
              <w:jc w:val="center"/>
            </w:pPr>
            <w:r>
              <w:rPr>
                <w:sz w:val="18"/>
                <w:szCs w:val="18"/>
              </w:rPr>
              <w:t>11.3±0.6</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622ADA5" w14:textId="77777777" w:rsidR="000C4F2B" w:rsidRDefault="006D54F8">
            <w:pPr>
              <w:jc w:val="center"/>
            </w:pPr>
            <w:r>
              <w:rPr>
                <w:sz w:val="18"/>
                <w:szCs w:val="18"/>
              </w:rPr>
              <w:t>74.1±1.6</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B6C61B1" w14:textId="77777777" w:rsidR="000C4F2B" w:rsidRDefault="006D54F8">
            <w:pPr>
              <w:jc w:val="center"/>
            </w:pPr>
            <w:r>
              <w:rPr>
                <w:sz w:val="18"/>
                <w:szCs w:val="18"/>
              </w:rPr>
              <w:t>0.921</w:t>
            </w:r>
          </w:p>
        </w:tc>
      </w:tr>
      <w:tr w:rsidR="000C4F2B" w14:paraId="4CD71420"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6AC86616" w14:textId="77777777" w:rsidR="000C4F2B" w:rsidRDefault="006D54F8">
            <w:pPr>
              <w:jc w:val="center"/>
            </w:pPr>
            <w:r>
              <w:rPr>
                <w:sz w:val="18"/>
                <w:szCs w:val="18"/>
              </w:rPr>
              <w:t>w/o AGIE (SHAP post-hoc only)</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5013D80" w14:textId="77777777" w:rsidR="000C4F2B" w:rsidRDefault="006D54F8">
            <w:pPr>
              <w:jc w:val="center"/>
            </w:pPr>
            <w:r>
              <w:rPr>
                <w:sz w:val="18"/>
                <w:szCs w:val="18"/>
              </w:rPr>
              <w:t>190.5±3.8</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3BA1135E" w14:textId="77777777" w:rsidR="000C4F2B" w:rsidRDefault="006D54F8">
            <w:pPr>
              <w:jc w:val="center"/>
            </w:pPr>
            <w:r>
              <w:rPr>
                <w:sz w:val="18"/>
                <w:szCs w:val="18"/>
              </w:rPr>
              <w:t>11.3±0.3</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2D70DC02" w14:textId="77777777" w:rsidR="000C4F2B" w:rsidRDefault="006D54F8">
            <w:pPr>
              <w:jc w:val="center"/>
            </w:pPr>
            <w:r>
              <w:rPr>
                <w:sz w:val="18"/>
                <w:szCs w:val="18"/>
              </w:rPr>
              <w:t>7.6±0.4</w:t>
            </w:r>
          </w:p>
        </w:tc>
        <w:tc>
          <w:tcPr>
            <w:tcW w:w="7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5DB510EA" w14:textId="77777777" w:rsidR="000C4F2B" w:rsidRDefault="006D54F8">
            <w:pPr>
              <w:jc w:val="center"/>
            </w:pPr>
            <w:r>
              <w:rPr>
                <w:sz w:val="18"/>
                <w:szCs w:val="18"/>
              </w:rPr>
              <w:t>81.3±1.0</w:t>
            </w:r>
          </w:p>
        </w:tc>
        <w:tc>
          <w:tcPr>
            <w:tcW w:w="600" w:type="pct"/>
            <w:tcBorders>
              <w:top w:val="single" w:sz="4" w:space="0" w:color="9FA8DA"/>
              <w:left w:val="single" w:sz="4" w:space="0" w:color="9FA8DA"/>
              <w:bottom w:val="single" w:sz="4" w:space="0" w:color="9FA8DA"/>
              <w:right w:val="single" w:sz="4" w:space="0" w:color="9FA8DA"/>
            </w:tcBorders>
            <w:shd w:val="clear" w:color="auto" w:fill="FFFFFF"/>
            <w:tcMar>
              <w:top w:w="60" w:type="dxa"/>
              <w:left w:w="100" w:type="dxa"/>
              <w:bottom w:w="60" w:type="dxa"/>
              <w:right w:w="100" w:type="dxa"/>
            </w:tcMar>
          </w:tcPr>
          <w:p w14:paraId="0656D932" w14:textId="77777777" w:rsidR="000C4F2B" w:rsidRDefault="006D54F8">
            <w:pPr>
              <w:jc w:val="center"/>
            </w:pPr>
            <w:r>
              <w:rPr>
                <w:sz w:val="18"/>
                <w:szCs w:val="18"/>
              </w:rPr>
              <w:t>0.681</w:t>
            </w:r>
          </w:p>
        </w:tc>
      </w:tr>
      <w:tr w:rsidR="000C4F2B" w14:paraId="6646C262" w14:textId="77777777" w:rsidTr="002F717E">
        <w:tc>
          <w:tcPr>
            <w:tcW w:w="1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722BFBF8" w14:textId="77777777" w:rsidR="000C4F2B" w:rsidRDefault="006D54F8">
            <w:pPr>
              <w:jc w:val="center"/>
            </w:pPr>
            <w:r>
              <w:rPr>
                <w:sz w:val="18"/>
                <w:szCs w:val="18"/>
              </w:rPr>
              <w:t>w/o Composite R (MK-only)</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C6E4BF6" w14:textId="77777777" w:rsidR="000C4F2B" w:rsidRDefault="006D54F8">
            <w:pPr>
              <w:jc w:val="center"/>
            </w:pPr>
            <w:r>
              <w:rPr>
                <w:sz w:val="18"/>
                <w:szCs w:val="18"/>
              </w:rPr>
              <w:t>181.6±3.2</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4E64E160" w14:textId="77777777" w:rsidR="000C4F2B" w:rsidRDefault="006D54F8">
            <w:pPr>
              <w:jc w:val="center"/>
            </w:pPr>
            <w:r>
              <w:rPr>
                <w:sz w:val="18"/>
                <w:szCs w:val="18"/>
              </w:rPr>
              <w:t>15.8±0.7</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0F2704E2" w14:textId="77777777" w:rsidR="000C4F2B" w:rsidRDefault="006D54F8">
            <w:pPr>
              <w:jc w:val="center"/>
            </w:pPr>
            <w:r>
              <w:rPr>
                <w:sz w:val="18"/>
                <w:szCs w:val="18"/>
              </w:rPr>
              <w:t>14.7±0.8</w:t>
            </w:r>
          </w:p>
        </w:tc>
        <w:tc>
          <w:tcPr>
            <w:tcW w:w="7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66F2FFE1" w14:textId="77777777" w:rsidR="000C4F2B" w:rsidRDefault="006D54F8">
            <w:pPr>
              <w:jc w:val="center"/>
            </w:pPr>
            <w:r>
              <w:rPr>
                <w:sz w:val="18"/>
                <w:szCs w:val="18"/>
              </w:rPr>
              <w:t>79.8±1.2</w:t>
            </w:r>
          </w:p>
        </w:tc>
        <w:tc>
          <w:tcPr>
            <w:tcW w:w="600" w:type="pct"/>
            <w:tcBorders>
              <w:top w:val="single" w:sz="4" w:space="0" w:color="9FA8DA"/>
              <w:left w:val="single" w:sz="4" w:space="0" w:color="9FA8DA"/>
              <w:bottom w:val="single" w:sz="4" w:space="0" w:color="9FA8DA"/>
              <w:right w:val="single" w:sz="4" w:space="0" w:color="9FA8DA"/>
            </w:tcBorders>
            <w:shd w:val="clear" w:color="auto" w:fill="E8EAF6"/>
            <w:tcMar>
              <w:top w:w="60" w:type="dxa"/>
              <w:left w:w="100" w:type="dxa"/>
              <w:bottom w:w="60" w:type="dxa"/>
              <w:right w:w="100" w:type="dxa"/>
            </w:tcMar>
          </w:tcPr>
          <w:p w14:paraId="134F5A45" w14:textId="77777777" w:rsidR="000C4F2B" w:rsidRDefault="006D54F8">
            <w:pPr>
              <w:jc w:val="center"/>
            </w:pPr>
            <w:r>
              <w:rPr>
                <w:sz w:val="18"/>
                <w:szCs w:val="18"/>
              </w:rPr>
              <w:t>0.938</w:t>
            </w:r>
          </w:p>
        </w:tc>
      </w:tr>
    </w:tbl>
    <w:p w14:paraId="439C2815" w14:textId="77777777" w:rsidR="000C4F2B" w:rsidRPr="00A01E8E" w:rsidRDefault="006D54F8" w:rsidP="00A01E8E">
      <w:pPr>
        <w:spacing w:before="40" w:after="100"/>
        <w:jc w:val="both"/>
        <w:rPr>
          <w:color w:val="auto"/>
        </w:rPr>
      </w:pPr>
      <w:r w:rsidRPr="00A01E8E">
        <w:rPr>
          <w:color w:val="auto"/>
          <w:sz w:val="18"/>
          <w:szCs w:val="18"/>
        </w:rPr>
        <w:t>TABLE IV. Ablation results on GCT-2023. DAG-GAT encoder and composite reward contribute most to scheduling performance; AGIE is critical for high-fidelity intrinsic explainability.</w:t>
      </w:r>
    </w:p>
    <w:p w14:paraId="58BA787B" w14:textId="3C8BD0FD" w:rsidR="000C4F2B" w:rsidRDefault="006D54F8">
      <w:pPr>
        <w:spacing w:before="40" w:after="40"/>
        <w:ind w:firstLine="360"/>
        <w:jc w:val="both"/>
      </w:pPr>
      <w:r>
        <w:t>The ablation study yields six operationally significant findings. The DAG-GAT encoder (Row 5) contributes the largest scheduling performance gain: its removal increases makespan by 15.4s (+8.1%) and SVR by 3.7 percentage points, confirming that explicit DAG structure reasoning — tracking inter-task dependencies, critical path length, and parallelism potential — is essential for effective scheduling. The composite reward (Row 7) is the most impactful for multi-objective balance: makespan-only optimisation reduces MK by 8.7s but catastrophically increases energy consumption by 39.8% and SVR by 7.1 percentage points, validating that scalarized single-objective DRL yields unstable multi-metric behaviour. The Dueling architecture (Row 2) contributes a 7.5s makespan improvement (+4.0%) by separating state value estimation from advantage computation, enabling better generalisation to unseen scheduling configurations. Double DQN target stabilisation (Row 3) reduces overestimation bias, improving SVR by 3.2 percentage points over single-network DQN. PER (Row 4) accelerates convergence and contributes 2.3 percentage-point SVR improvement through prioritised sampling of rare high-TD-error scheduling transitions. AGIE (Row 6) has minimal impact on scheduling decisions (identical MK and SVR as full model) but nearly doubles the explanation fidelity score (0.943 vs 0.681), demonstrating that intrinsic attention-based attribution substantially outperforms post-hoc SHAP alone in capturing the policy's actual decision rationale in real-time.</w:t>
      </w:r>
    </w:p>
    <w:p w14:paraId="5ADD5F23" w14:textId="7997AAC3" w:rsidR="0013081D" w:rsidRDefault="0013081D">
      <w:pPr>
        <w:spacing w:before="40" w:after="40"/>
        <w:ind w:firstLine="360"/>
        <w:jc w:val="both"/>
      </w:pPr>
    </w:p>
    <w:p w14:paraId="79DAB4AD" w14:textId="56524822" w:rsidR="0013081D" w:rsidRDefault="0013081D">
      <w:pPr>
        <w:spacing w:before="40" w:after="40"/>
        <w:ind w:firstLine="360"/>
        <w:jc w:val="both"/>
      </w:pPr>
    </w:p>
    <w:p w14:paraId="2DA620C9" w14:textId="59449017" w:rsidR="0013081D" w:rsidRDefault="0013081D">
      <w:pPr>
        <w:spacing w:before="40" w:after="40"/>
        <w:ind w:firstLine="360"/>
        <w:jc w:val="both"/>
      </w:pPr>
    </w:p>
    <w:p w14:paraId="3658B0BA" w14:textId="2C25040A" w:rsidR="0013081D" w:rsidRDefault="0013081D" w:rsidP="0013081D">
      <w:pPr>
        <w:spacing w:before="40" w:after="40"/>
        <w:ind w:hanging="180"/>
        <w:jc w:val="both"/>
      </w:pPr>
      <w:r>
        <w:rPr>
          <w:noProof/>
        </w:rPr>
        <w:drawing>
          <wp:inline distT="0" distB="0" distL="0" distR="0" wp14:anchorId="0AE20570" wp14:editId="124F12C5">
            <wp:extent cx="3282950" cy="218717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7078" cy="2189927"/>
                    </a:xfrm>
                    <a:prstGeom prst="rect">
                      <a:avLst/>
                    </a:prstGeom>
                    <a:noFill/>
                  </pic:spPr>
                </pic:pic>
              </a:graphicData>
            </a:graphic>
          </wp:inline>
        </w:drawing>
      </w:r>
    </w:p>
    <w:p w14:paraId="3C971395" w14:textId="637467A5" w:rsidR="000C4F2B" w:rsidRDefault="006D54F8" w:rsidP="0013081D">
      <w:pPr>
        <w:spacing w:before="40" w:after="100"/>
        <w:jc w:val="both"/>
        <w:rPr>
          <w:color w:val="auto"/>
          <w:sz w:val="18"/>
          <w:szCs w:val="18"/>
        </w:rPr>
      </w:pPr>
      <w:r w:rsidRPr="0013081D">
        <w:rPr>
          <w:color w:val="auto"/>
          <w:sz w:val="18"/>
          <w:szCs w:val="18"/>
        </w:rPr>
        <w:lastRenderedPageBreak/>
        <w:t>Fig. 4. Ablation study SLA violation rates on GCT-2023. Composite reward (6.1% SVR penalty when removed) and DAG-GAT encoder (3.7%) contribute most to SLA compliance.</w:t>
      </w:r>
    </w:p>
    <w:p w14:paraId="03B90C7F" w14:textId="6D2118A9" w:rsidR="0013081D" w:rsidRDefault="0013081D" w:rsidP="0013081D">
      <w:pPr>
        <w:spacing w:before="40" w:after="100"/>
        <w:jc w:val="both"/>
        <w:rPr>
          <w:color w:val="auto"/>
        </w:rPr>
      </w:pPr>
    </w:p>
    <w:p w14:paraId="29BBF1E6" w14:textId="4CF31231" w:rsidR="0013081D" w:rsidRPr="0013081D" w:rsidRDefault="0013081D" w:rsidP="0013081D">
      <w:pPr>
        <w:spacing w:before="40" w:after="100"/>
        <w:jc w:val="both"/>
        <w:rPr>
          <w:color w:val="auto"/>
        </w:rPr>
      </w:pPr>
      <w:r>
        <w:rPr>
          <w:noProof/>
          <w:color w:val="auto"/>
        </w:rPr>
        <w:drawing>
          <wp:inline distT="0" distB="0" distL="0" distR="0" wp14:anchorId="1B8BD2F2" wp14:editId="0AE4AFD2">
            <wp:extent cx="3435350" cy="2288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5287" cy="2295329"/>
                    </a:xfrm>
                    <a:prstGeom prst="rect">
                      <a:avLst/>
                    </a:prstGeom>
                    <a:noFill/>
                  </pic:spPr>
                </pic:pic>
              </a:graphicData>
            </a:graphic>
          </wp:inline>
        </w:drawing>
      </w:r>
    </w:p>
    <w:p w14:paraId="66F5B067" w14:textId="77777777" w:rsidR="000C4F2B" w:rsidRPr="0013081D" w:rsidRDefault="006D54F8" w:rsidP="0013081D">
      <w:pPr>
        <w:spacing w:before="40" w:after="100"/>
        <w:jc w:val="both"/>
        <w:rPr>
          <w:color w:val="auto"/>
        </w:rPr>
      </w:pPr>
      <w:r w:rsidRPr="0013081D">
        <w:rPr>
          <w:color w:val="auto"/>
          <w:sz w:val="18"/>
          <w:szCs w:val="18"/>
        </w:rPr>
        <w:t>Fig. 5. Explanation fidelity (Pearson correlation with finite-difference policy Jacobian) during training. Combining AGIE and SHAP (0.943) substantially outperforms either method alone, validating the dual-stream explainability design.</w:t>
      </w:r>
    </w:p>
    <w:p w14:paraId="7A7D4B3D" w14:textId="77777777" w:rsidR="000C4F2B" w:rsidRDefault="006D54F8">
      <w:pPr>
        <w:pBdr>
          <w:bottom w:val="single" w:sz="8" w:space="2" w:color="1A237E"/>
        </w:pBdr>
        <w:spacing w:before="140" w:after="60"/>
      </w:pPr>
      <w:r>
        <w:rPr>
          <w:rFonts w:ascii="Arial" w:eastAsia="Arial" w:hAnsi="Arial" w:cs="Arial"/>
          <w:b/>
          <w:bCs/>
          <w:caps/>
          <w:color w:val="1A237E"/>
          <w:sz w:val="22"/>
          <w:szCs w:val="22"/>
        </w:rPr>
        <w:t>VII. Conclusion</w:t>
      </w:r>
    </w:p>
    <w:p w14:paraId="33BC4B9C" w14:textId="66D4BE16" w:rsidR="000C4F2B" w:rsidRDefault="006D54F8">
      <w:pPr>
        <w:spacing w:before="40" w:after="40"/>
        <w:ind w:firstLine="360"/>
        <w:jc w:val="both"/>
      </w:pPr>
      <w:r>
        <w:t xml:space="preserve">This paper presented XRL-Sched, an explainable deep reinforcement learning framework for resource-aware big data scheduling in edge-cloud environments. XRL-Sched addresses the dual shortcomings of existing DRL schedulers — opacity and multi-objective reward instability — through the integration of a </w:t>
      </w:r>
      <w:r w:rsidR="00A01E8E">
        <w:t>Duelling</w:t>
      </w:r>
      <w:r>
        <w:t xml:space="preserve"> Double Deep Q-Network with Prioritized Experience Replay, an Attention-Guided Intrinsic Explainability module, and a post-hoc SHAP attribution engine. The five-component composite reward function balances makespan, energy consumption, cost, SLA compliance, and load balance via Pareto-calibrated weights, while the DAG-GAT state encoder captures workload dependency structure critical for intelligent task placement. Experiments on Google Cluster Traces, Alibaba Cluster v2, and the IoT-Edge synthetic simulator demonstrate a 23.4% makespan reduction, 18.7% energy savings, and 31.2% SLA violation reduction compared to state-of-the-art heuristics, with scheduling explanations achieving a fidelity score of 0.943. Ablation studies confirm that the DAG-GAT encoder and composite reward are the most impactful components for scheduling performance, while AGIE is critical for high-fidelity real-time explainability.</w:t>
      </w:r>
    </w:p>
    <w:p w14:paraId="59AD819A" w14:textId="77777777" w:rsidR="000C4F2B" w:rsidRDefault="006D54F8">
      <w:pPr>
        <w:spacing w:before="40" w:after="40"/>
        <w:ind w:firstLine="360"/>
        <w:jc w:val="both"/>
      </w:pPr>
      <w:r>
        <w:t>Future work will explore federated multi-cluster XRL-Sched deployments where edge clusters share policy knowledge without exposing sensitive workload data, safe RL formulations with Lagrangian constraint satisfaction for hard SLA guarantees, and continual learning mechanisms to adapt to non-stationary cluster workload distributions without catastrophic forgetting. Integrating causal reasoning into the explanation engine to support counterfactual scheduling analysis represents a compelling direction toward regulatory-compliant AI-driven infrastructure management.</w:t>
      </w:r>
    </w:p>
    <w:p w14:paraId="7051DA4B" w14:textId="77777777" w:rsidR="000C4F2B" w:rsidRDefault="006D54F8">
      <w:pPr>
        <w:pBdr>
          <w:bottom w:val="single" w:sz="8" w:space="2" w:color="1A237E"/>
        </w:pBdr>
        <w:spacing w:before="140" w:after="60"/>
      </w:pPr>
      <w:r>
        <w:rPr>
          <w:rFonts w:ascii="Arial" w:eastAsia="Arial" w:hAnsi="Arial" w:cs="Arial"/>
          <w:b/>
          <w:bCs/>
          <w:caps/>
          <w:color w:val="1A237E"/>
          <w:sz w:val="22"/>
          <w:szCs w:val="22"/>
        </w:rPr>
        <w:t>References</w:t>
      </w:r>
    </w:p>
    <w:p w14:paraId="0F3057ED" w14:textId="4E3F68AA" w:rsidR="000C4F2B" w:rsidRDefault="006D54F8">
      <w:pPr>
        <w:spacing w:before="18" w:after="18"/>
        <w:ind w:left="360" w:hanging="360"/>
        <w:jc w:val="both"/>
      </w:pPr>
      <w:r>
        <w:rPr>
          <w:sz w:val="17"/>
          <w:szCs w:val="17"/>
        </w:rPr>
        <w:t>[1] C. Baru, R. Moore, A. Rajasekar, and M. Wan, "The SDSC storage resource broker," Proc. CASCON, 1998. [Updated context: IDC, "Data Age 2025 Report," 2023.</w:t>
      </w:r>
    </w:p>
    <w:p w14:paraId="4CA9C922" w14:textId="77777777" w:rsidR="000C4F2B" w:rsidRDefault="006D54F8">
      <w:pPr>
        <w:spacing w:before="18" w:after="18"/>
        <w:ind w:left="360" w:hanging="360"/>
        <w:jc w:val="both"/>
      </w:pPr>
      <w:r>
        <w:rPr>
          <w:sz w:val="17"/>
          <w:szCs w:val="17"/>
        </w:rPr>
        <w:t>[2] M. Zaharia, M. Chowdhury, M. J. Franklin, S. Shenker, and I. Stoica, "Spark: Cluster computing with working sets," in Proc. USENIX HotCloud, 2010.</w:t>
      </w:r>
    </w:p>
    <w:p w14:paraId="2895F35F" w14:textId="77777777" w:rsidR="000C4F2B" w:rsidRDefault="006D54F8">
      <w:pPr>
        <w:spacing w:before="18" w:after="18"/>
        <w:ind w:left="360" w:hanging="360"/>
        <w:jc w:val="both"/>
      </w:pPr>
      <w:r>
        <w:rPr>
          <w:sz w:val="17"/>
          <w:szCs w:val="17"/>
        </w:rPr>
        <w:t>[3] E. Deelman, D. Gannon, M. Shields, and I. Taylor, "Workflows and e-science: An overview of workflow system features and capabilities," Future Gener. Comput. Syst., vol. 25, no. 5, pp. 528–540, 2009.</w:t>
      </w:r>
    </w:p>
    <w:p w14:paraId="1BA64B12" w14:textId="77777777" w:rsidR="000C4F2B" w:rsidRDefault="006D54F8">
      <w:pPr>
        <w:spacing w:before="18" w:after="18"/>
        <w:ind w:left="360" w:hanging="360"/>
        <w:jc w:val="both"/>
      </w:pPr>
      <w:r>
        <w:rPr>
          <w:sz w:val="17"/>
          <w:szCs w:val="17"/>
        </w:rPr>
        <w:t>[4] H. Mao, M. Schwarzkopf, S. B. Venkatakrishnan, Z. Meng, and M. Alizadeh, "Learning scheduling algorithms for data processing clusters," in Proc. ACM SIGCOMM, 2019, pp. 270–288.</w:t>
      </w:r>
    </w:p>
    <w:p w14:paraId="559AB6EC" w14:textId="77777777" w:rsidR="000C4F2B" w:rsidRDefault="006D54F8">
      <w:pPr>
        <w:spacing w:before="18" w:after="18"/>
        <w:ind w:left="360" w:hanging="360"/>
        <w:jc w:val="both"/>
      </w:pPr>
      <w:r>
        <w:rPr>
          <w:sz w:val="17"/>
          <w:szCs w:val="17"/>
        </w:rPr>
        <w:t>[5] F. K. Dosilovic, M. Brcic, and N. Hlupic, "Explainable artificial intelligence: A survey," in Proc. MIPRO, 2018, pp. 210–215.</w:t>
      </w:r>
    </w:p>
    <w:p w14:paraId="2B685D38" w14:textId="77777777" w:rsidR="000C4F2B" w:rsidRDefault="006D54F8">
      <w:pPr>
        <w:spacing w:before="18" w:after="18"/>
        <w:ind w:left="360" w:hanging="360"/>
        <w:jc w:val="both"/>
      </w:pPr>
      <w:r>
        <w:rPr>
          <w:sz w:val="17"/>
          <w:szCs w:val="17"/>
        </w:rPr>
        <w:t>[6] R. S. Sutton and A. G. Barto, Reinforcement Learning: An Introduction, 2nd ed. Cambridge, MA: MIT Press, 2018.</w:t>
      </w:r>
    </w:p>
    <w:p w14:paraId="5DCCECE2" w14:textId="77777777" w:rsidR="000C4F2B" w:rsidRDefault="006D54F8">
      <w:pPr>
        <w:spacing w:before="18" w:after="18"/>
        <w:ind w:left="360" w:hanging="360"/>
        <w:jc w:val="both"/>
      </w:pPr>
      <w:r>
        <w:rPr>
          <w:sz w:val="17"/>
          <w:szCs w:val="17"/>
        </w:rPr>
        <w:t>[7] S. Greydanus, A. Koul, J. Dodge, and A. Fern, "Visualizing and understanding Atari agents," in Proc. ICML, 2018, pp. 1792–1801.</w:t>
      </w:r>
    </w:p>
    <w:p w14:paraId="19A87524" w14:textId="77777777" w:rsidR="000C4F2B" w:rsidRDefault="006D54F8">
      <w:pPr>
        <w:spacing w:before="18" w:after="18"/>
        <w:ind w:left="360" w:hanging="360"/>
        <w:jc w:val="both"/>
      </w:pPr>
      <w:r>
        <w:rPr>
          <w:sz w:val="17"/>
          <w:szCs w:val="17"/>
        </w:rPr>
        <w:t>[8] A. Vaswani, N. Shazeer, N. Parmar et al., "Attention is all you need," in Proc. NeurIPS, 2017, pp. 5998–6008.</w:t>
      </w:r>
    </w:p>
    <w:p w14:paraId="6EA2B427" w14:textId="77777777" w:rsidR="000C4F2B" w:rsidRDefault="006D54F8">
      <w:pPr>
        <w:spacing w:before="18" w:after="18"/>
        <w:ind w:left="360" w:hanging="360"/>
        <w:jc w:val="both"/>
      </w:pPr>
      <w:r>
        <w:rPr>
          <w:sz w:val="17"/>
          <w:szCs w:val="17"/>
        </w:rPr>
        <w:t>[9] J. Roijers, P. Vamplew, S. Whiteson, and R. Dazeley, "A survey of multi-objective sequential decision-making," J. Artif. Intell. Res., vol. 48, pp. 67–113, 2013.</w:t>
      </w:r>
    </w:p>
    <w:p w14:paraId="72E62058" w14:textId="77777777" w:rsidR="000C4F2B" w:rsidRDefault="006D54F8">
      <w:pPr>
        <w:spacing w:before="18" w:after="18"/>
        <w:ind w:left="360" w:hanging="360"/>
        <w:jc w:val="both"/>
      </w:pPr>
      <w:r>
        <w:rPr>
          <w:sz w:val="17"/>
          <w:szCs w:val="17"/>
        </w:rPr>
        <w:t>[10] C. L. Liu and J. W. Layland, "Scheduling algorithms for multiprogramming in a hard-real-time environment," J. ACM, vol. 20, no. 1, pp. 46–61, 1973.</w:t>
      </w:r>
    </w:p>
    <w:p w14:paraId="0173CAA1" w14:textId="77777777" w:rsidR="000C4F2B" w:rsidRDefault="006D54F8">
      <w:pPr>
        <w:spacing w:before="18" w:after="18"/>
        <w:ind w:left="360" w:hanging="360"/>
        <w:jc w:val="both"/>
      </w:pPr>
      <w:r>
        <w:rPr>
          <w:sz w:val="17"/>
          <w:szCs w:val="17"/>
        </w:rPr>
        <w:t>[11] S. Deng, H. Zhao, W. Fang, J. Yin, S. Dustdar, and A. Y. Zomaya, "Edge intelligence: The confluence of edge computing and artificial intelligence," IEEE Internet Things J., vol. 7, no. 8, pp. 7457–7469, 2020.</w:t>
      </w:r>
    </w:p>
    <w:p w14:paraId="5231434D" w14:textId="77777777" w:rsidR="000C4F2B" w:rsidRDefault="006D54F8">
      <w:pPr>
        <w:spacing w:before="18" w:after="18"/>
        <w:ind w:left="360" w:hanging="360"/>
        <w:jc w:val="both"/>
      </w:pPr>
      <w:r>
        <w:rPr>
          <w:sz w:val="17"/>
          <w:szCs w:val="17"/>
        </w:rPr>
        <w:t>[12] H. Topcuoglu, S. Hariri, and M.-y. Wu, "Performance-effective and low-complexity task scheduling for heterogeneous computing," IEEE Trans. Parallel Distrib. Syst., vol. 13, no. 3, pp. 260–274, 2002.</w:t>
      </w:r>
    </w:p>
    <w:p w14:paraId="46EFBF62" w14:textId="77777777" w:rsidR="000C4F2B" w:rsidRDefault="006D54F8">
      <w:pPr>
        <w:spacing w:before="18" w:after="18"/>
        <w:ind w:left="360" w:hanging="360"/>
        <w:jc w:val="both"/>
      </w:pPr>
      <w:r>
        <w:rPr>
          <w:sz w:val="17"/>
          <w:szCs w:val="17"/>
        </w:rPr>
        <w:t>[13] A. Tchernykh, U. Schwiegelsohn, E. Yahyapour, and N. Kuzjurin, "Towards understanding uncertainty in cloud computing with risks of confidentiality, integrity, and availability," J. Comput. Sci., vol. 36, p. 100581, 2019.</w:t>
      </w:r>
    </w:p>
    <w:p w14:paraId="768DF2CE" w14:textId="77777777" w:rsidR="000C4F2B" w:rsidRDefault="006D54F8">
      <w:pPr>
        <w:spacing w:before="18" w:after="18"/>
        <w:ind w:left="360" w:hanging="360"/>
        <w:jc w:val="both"/>
      </w:pPr>
      <w:r>
        <w:rPr>
          <w:sz w:val="17"/>
          <w:szCs w:val="17"/>
        </w:rPr>
        <w:t>[14] A. Mirhoseini, A. Goldie, M. Yazgan et al., "A graph placement methodology for fast chip design," Nature, vol. 594, pp. 207–212, 2021.</w:t>
      </w:r>
    </w:p>
    <w:p w14:paraId="3EA8D1BB" w14:textId="77777777" w:rsidR="000C4F2B" w:rsidRDefault="006D54F8">
      <w:pPr>
        <w:spacing w:before="18" w:after="18"/>
        <w:ind w:left="360" w:hanging="360"/>
        <w:jc w:val="both"/>
      </w:pPr>
      <w:r>
        <w:rPr>
          <w:sz w:val="17"/>
          <w:szCs w:val="17"/>
        </w:rPr>
        <w:t>[15] Q. Liu, W. Zhu, A. Y. Zomaya, M. Qiu, and T. Dong, "Resource dynamic allocation and performance prediction for cloud-based applications," J. Supercomput., vol. 70, no. 3, pp. 1170–1191, 2022.</w:t>
      </w:r>
    </w:p>
    <w:p w14:paraId="6D82C760" w14:textId="77777777" w:rsidR="000C4F2B" w:rsidRDefault="006D54F8">
      <w:pPr>
        <w:spacing w:before="18" w:after="18"/>
        <w:ind w:left="360" w:hanging="360"/>
        <w:jc w:val="both"/>
      </w:pPr>
      <w:r>
        <w:rPr>
          <w:sz w:val="17"/>
          <w:szCs w:val="17"/>
        </w:rPr>
        <w:t>[16] J. Park, B. Srikant, T. Liu, and V. Aggarwal, "Scheduling restless bandits over multiple channels via deep reinforcement learning," in Proc. IEEE INFOCOM, 2021, pp. 1–10.</w:t>
      </w:r>
    </w:p>
    <w:p w14:paraId="4D27A2EA" w14:textId="77777777" w:rsidR="000C4F2B" w:rsidRDefault="006D54F8">
      <w:pPr>
        <w:spacing w:before="18" w:after="18"/>
        <w:ind w:left="360" w:hanging="360"/>
        <w:jc w:val="both"/>
      </w:pPr>
      <w:r>
        <w:rPr>
          <w:sz w:val="17"/>
          <w:szCs w:val="17"/>
        </w:rPr>
        <w:t>[17] Z. Zhang, C. Li, X. Yu, C. Zhou, and S. Ci, "e-RL: Communication-efficient distributed deep reinforcement learning framework for autonomous mobile platforms," IEEE Trans. Intell. Transp. Syst., vol. 23, no. 3, pp. 2436–2446, 2022.</w:t>
      </w:r>
    </w:p>
    <w:p w14:paraId="04A1BA5C" w14:textId="77777777" w:rsidR="000C4F2B" w:rsidRDefault="006D54F8">
      <w:pPr>
        <w:spacing w:before="18" w:after="18"/>
        <w:ind w:left="360" w:hanging="360"/>
        <w:jc w:val="both"/>
      </w:pPr>
      <w:r>
        <w:rPr>
          <w:sz w:val="17"/>
          <w:szCs w:val="17"/>
        </w:rPr>
        <w:t>[18] S. M. Lundberg and S.-I. Lee, "A unified approach to interpreting model predictions," in Proc. NeurIPS, 2017, pp. 4765–4774.</w:t>
      </w:r>
    </w:p>
    <w:p w14:paraId="4B771C9C" w14:textId="77777777" w:rsidR="000C4F2B" w:rsidRDefault="006D54F8">
      <w:pPr>
        <w:spacing w:before="18" w:after="18"/>
        <w:ind w:left="360" w:hanging="360"/>
        <w:jc w:val="both"/>
      </w:pPr>
      <w:r>
        <w:rPr>
          <w:sz w:val="17"/>
          <w:szCs w:val="17"/>
        </w:rPr>
        <w:t>[19] M. T. Ribeiro, S. Singh, and C. Guestrin, "Why should I trust you?: Explaining the predictions of any classifier," in Proc. ACM SIGKDD, 2016, pp. 1135–1144.</w:t>
      </w:r>
    </w:p>
    <w:p w14:paraId="33916790" w14:textId="77777777" w:rsidR="000C4F2B" w:rsidRDefault="006D54F8">
      <w:pPr>
        <w:spacing w:before="18" w:after="18"/>
        <w:ind w:left="360" w:hanging="360"/>
        <w:jc w:val="both"/>
      </w:pPr>
      <w:r>
        <w:rPr>
          <w:sz w:val="17"/>
          <w:szCs w:val="17"/>
        </w:rPr>
        <w:t>[20] A. Heuillet, F. Couthouis, and N. Diaz-Rodriguez, "Explainability in deep reinforcement learning," Knowl.-Based Syst., vol. 214, p. 106685, 2021.</w:t>
      </w:r>
    </w:p>
    <w:p w14:paraId="6C3EBF73" w14:textId="77777777" w:rsidR="000C4F2B" w:rsidRDefault="006D54F8">
      <w:pPr>
        <w:spacing w:before="18" w:after="18"/>
        <w:ind w:left="360" w:hanging="360"/>
        <w:jc w:val="both"/>
      </w:pPr>
      <w:r>
        <w:rPr>
          <w:sz w:val="17"/>
          <w:szCs w:val="17"/>
        </w:rPr>
        <w:t>[21] E. Puiutta and E. M. S. P. Veith, "Explainable reinforcement learning: A survey," in Proc. CD-MAKE, 2020, pp. 77–95.</w:t>
      </w:r>
    </w:p>
    <w:p w14:paraId="3E438B33" w14:textId="77777777" w:rsidR="000C4F2B" w:rsidRDefault="006D54F8">
      <w:pPr>
        <w:spacing w:before="18" w:after="18"/>
        <w:ind w:left="360" w:hanging="360"/>
        <w:jc w:val="both"/>
      </w:pPr>
      <w:r>
        <w:rPr>
          <w:sz w:val="17"/>
          <w:szCs w:val="17"/>
        </w:rPr>
        <w:t>[22] W. Shi, J. Cao, Q. Zhang, Y. Li, and L. Xu, "Edge computing: Vision and challenges," IEEE Internet Things J., vol. 3, no. 5, pp. 637–646, 2016.</w:t>
      </w:r>
    </w:p>
    <w:p w14:paraId="403FF713" w14:textId="77777777" w:rsidR="000C4F2B" w:rsidRDefault="006D54F8">
      <w:pPr>
        <w:spacing w:before="18" w:after="18"/>
        <w:ind w:left="360" w:hanging="360"/>
        <w:jc w:val="both"/>
      </w:pPr>
      <w:r>
        <w:rPr>
          <w:sz w:val="17"/>
          <w:szCs w:val="17"/>
        </w:rPr>
        <w:lastRenderedPageBreak/>
        <w:t>[23] X. Wang, Y. Han, V. C. M. Leung, D. Niyato, X. Yan, and X. Chen, "Convergence of edge computing and deep learning: A comprehensive survey," IEEE Commun. Surveys Tuts., vol. 22, no. 2, pp. 869–904, 2020.</w:t>
      </w:r>
    </w:p>
    <w:p w14:paraId="70F65BAE" w14:textId="77777777" w:rsidR="000C4F2B" w:rsidRDefault="006D54F8">
      <w:pPr>
        <w:spacing w:before="18" w:after="18"/>
        <w:ind w:left="360" w:hanging="360"/>
        <w:jc w:val="both"/>
      </w:pPr>
      <w:r>
        <w:rPr>
          <w:sz w:val="17"/>
          <w:szCs w:val="17"/>
        </w:rPr>
        <w:t>[24] M. Chen, Y. Hao, K. Lin, Z. Yuan, and L. Hu, "Caching and computation resource allocation for mobile edge computing with D2D communications," IEEE Trans. Veh. Technol., vol. 67, no. 5, pp. 4572–4582, 2018.</w:t>
      </w:r>
    </w:p>
    <w:p w14:paraId="362822DD" w14:textId="77777777" w:rsidR="000C4F2B" w:rsidRDefault="006D54F8">
      <w:pPr>
        <w:spacing w:before="18" w:after="18"/>
        <w:ind w:left="360" w:hanging="360"/>
        <w:jc w:val="both"/>
      </w:pPr>
      <w:r>
        <w:rPr>
          <w:sz w:val="17"/>
          <w:szCs w:val="17"/>
        </w:rPr>
        <w:t>[25] S. Tuli, S. Ilager, K. Ramamohanarao, and R. Buyya, "Dynamic scheduling for stochastic edge-cloud computing environments using A3C learning and residual recurrent neural networks," IEEE Trans. Mobile Comput., vol. 21, no. 3, pp. 940–954, 2022.</w:t>
      </w:r>
    </w:p>
    <w:p w14:paraId="3CCE4D7B" w14:textId="77777777" w:rsidR="000C4F2B" w:rsidRDefault="006D54F8">
      <w:pPr>
        <w:spacing w:before="18" w:after="18"/>
        <w:ind w:left="360" w:hanging="360"/>
        <w:jc w:val="both"/>
      </w:pPr>
      <w:r>
        <w:rPr>
          <w:sz w:val="17"/>
          <w:szCs w:val="17"/>
        </w:rPr>
        <w:t>[26] R. Mahmud, R. Kotagiri, and R. Buyya, "Fog computing: A taxonomy, survey and future directions," in Internet of Everything. Singapore: Springer, 2018, pp. 103–130.</w:t>
      </w:r>
    </w:p>
    <w:p w14:paraId="517F2F50" w14:textId="77777777" w:rsidR="000C4F2B" w:rsidRDefault="006D54F8">
      <w:pPr>
        <w:spacing w:before="18" w:after="18"/>
        <w:ind w:left="360" w:hanging="360"/>
        <w:jc w:val="both"/>
      </w:pPr>
      <w:r>
        <w:rPr>
          <w:sz w:val="17"/>
          <w:szCs w:val="17"/>
        </w:rPr>
        <w:t>[27] J. Li, M. Su, X. Deng, Y. Han, and K. Nguyen, "A multi-objective particle swarm optimization metaheuristic for workflow scheduling in multi-datacenters," Future Gener. Comput. Syst., vol. 109, pp. 298–310, 2020.</w:t>
      </w:r>
    </w:p>
    <w:p w14:paraId="174702C8" w14:textId="77777777" w:rsidR="000C4F2B" w:rsidRDefault="006D54F8">
      <w:pPr>
        <w:spacing w:before="18" w:after="18"/>
        <w:ind w:left="360" w:hanging="360"/>
        <w:jc w:val="both"/>
      </w:pPr>
      <w:r>
        <w:rPr>
          <w:sz w:val="17"/>
          <w:szCs w:val="17"/>
        </w:rPr>
        <w:t>[28] Z. Peng, W. Xu, X. Xu, and H. Song, "MobileEdge: A mobile edge computing framework for deep learning," Neurocomputing, vol. 491, pp. 49–62, 2022.</w:t>
      </w:r>
    </w:p>
    <w:p w14:paraId="1A4269A8" w14:textId="77777777" w:rsidR="000C4F2B" w:rsidRDefault="006D54F8">
      <w:pPr>
        <w:spacing w:before="18" w:after="18"/>
        <w:ind w:left="360" w:hanging="360"/>
        <w:jc w:val="both"/>
      </w:pPr>
      <w:r>
        <w:rPr>
          <w:sz w:val="17"/>
          <w:szCs w:val="17"/>
        </w:rPr>
        <w:t>[29] W. Zhou, D. Jin, J. Cheng, and L. Ma, "DeepEE: Joint optimization of energy efficiency for massive MIMO systems via deep reinforcement learning," in Proc. IEEE ICDCS, 2020, pp. 797–807.</w:t>
      </w:r>
    </w:p>
    <w:p w14:paraId="00DC11F3" w14:textId="77777777" w:rsidR="000C4F2B" w:rsidRDefault="006D54F8">
      <w:pPr>
        <w:spacing w:before="18" w:after="18"/>
        <w:ind w:left="360" w:hanging="360"/>
        <w:jc w:val="both"/>
      </w:pPr>
      <w:r>
        <w:rPr>
          <w:sz w:val="17"/>
          <w:szCs w:val="17"/>
        </w:rPr>
        <w:t>[30] W. Fan, L. Xu, and D. Niyato, "Constrained multi-objective optimization for IoT-enabled computation offloading in collaborative edge and cloud computing," IEEE Trans. Wirel. Commun., vol. 21, no. 1, pp. 73–87, 2022.</w:t>
      </w:r>
    </w:p>
    <w:sectPr w:rsidR="000C4F2B" w:rsidSect="0013081D">
      <w:type w:val="continuous"/>
      <w:pgSz w:w="12240" w:h="15840"/>
      <w:pgMar w:top="1008" w:right="1008" w:bottom="1008" w:left="1008" w:header="708" w:footer="708"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B40C7" w14:textId="77777777" w:rsidR="0008740F" w:rsidRDefault="0008740F">
      <w:r>
        <w:separator/>
      </w:r>
    </w:p>
  </w:endnote>
  <w:endnote w:type="continuationSeparator" w:id="0">
    <w:p w14:paraId="2BB4C407" w14:textId="77777777" w:rsidR="0008740F" w:rsidRDefault="0008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6E30" w14:textId="77777777" w:rsidR="00F21E9E" w:rsidRDefault="00F21E9E">
    <w:pPr>
      <w:jc w:val="center"/>
    </w:pPr>
    <w:r>
      <w:rPr>
        <w:color w:val="777777"/>
        <w:sz w:val="17"/>
        <w:szCs w:val="17"/>
      </w:rPr>
      <w:t>IEEE Transactions on Parallel and Distributed Systems — Submitted Manuscript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0DBE0" w14:textId="77777777" w:rsidR="0008740F" w:rsidRDefault="0008740F">
      <w:r>
        <w:separator/>
      </w:r>
    </w:p>
  </w:footnote>
  <w:footnote w:type="continuationSeparator" w:id="0">
    <w:p w14:paraId="50586F9E" w14:textId="77777777" w:rsidR="0008740F" w:rsidRDefault="00087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F7F55"/>
    <w:multiLevelType w:val="hybridMultilevel"/>
    <w:tmpl w:val="45F8AD86"/>
    <w:lvl w:ilvl="0" w:tplc="68D4E39E">
      <w:start w:val="1"/>
      <w:numFmt w:val="bullet"/>
      <w:lvlText w:val="●"/>
      <w:lvlJc w:val="left"/>
      <w:pPr>
        <w:ind w:left="720" w:hanging="360"/>
      </w:pPr>
    </w:lvl>
    <w:lvl w:ilvl="1" w:tplc="D9DAF812">
      <w:start w:val="1"/>
      <w:numFmt w:val="bullet"/>
      <w:lvlText w:val="○"/>
      <w:lvlJc w:val="left"/>
      <w:pPr>
        <w:ind w:left="1440" w:hanging="360"/>
      </w:pPr>
    </w:lvl>
    <w:lvl w:ilvl="2" w:tplc="7834D3FA">
      <w:start w:val="1"/>
      <w:numFmt w:val="bullet"/>
      <w:lvlText w:val="■"/>
      <w:lvlJc w:val="left"/>
      <w:pPr>
        <w:ind w:left="2160" w:hanging="360"/>
      </w:pPr>
    </w:lvl>
    <w:lvl w:ilvl="3" w:tplc="AC70E2E2">
      <w:start w:val="1"/>
      <w:numFmt w:val="bullet"/>
      <w:lvlText w:val="●"/>
      <w:lvlJc w:val="left"/>
      <w:pPr>
        <w:ind w:left="2880" w:hanging="360"/>
      </w:pPr>
    </w:lvl>
    <w:lvl w:ilvl="4" w:tplc="973E9BEE">
      <w:start w:val="1"/>
      <w:numFmt w:val="bullet"/>
      <w:lvlText w:val="○"/>
      <w:lvlJc w:val="left"/>
      <w:pPr>
        <w:ind w:left="3600" w:hanging="360"/>
      </w:pPr>
    </w:lvl>
    <w:lvl w:ilvl="5" w:tplc="A5424846">
      <w:start w:val="1"/>
      <w:numFmt w:val="bullet"/>
      <w:lvlText w:val="■"/>
      <w:lvlJc w:val="left"/>
      <w:pPr>
        <w:ind w:left="4320" w:hanging="360"/>
      </w:pPr>
    </w:lvl>
    <w:lvl w:ilvl="6" w:tplc="3ACADA16">
      <w:start w:val="1"/>
      <w:numFmt w:val="bullet"/>
      <w:lvlText w:val="●"/>
      <w:lvlJc w:val="left"/>
      <w:pPr>
        <w:ind w:left="5040" w:hanging="360"/>
      </w:pPr>
    </w:lvl>
    <w:lvl w:ilvl="7" w:tplc="36CC7C58">
      <w:start w:val="1"/>
      <w:numFmt w:val="bullet"/>
      <w:lvlText w:val="●"/>
      <w:lvlJc w:val="left"/>
      <w:pPr>
        <w:ind w:left="5760" w:hanging="360"/>
      </w:pPr>
    </w:lvl>
    <w:lvl w:ilvl="8" w:tplc="B26C55F2">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F2B"/>
    <w:rsid w:val="00086BA4"/>
    <w:rsid w:val="0008740F"/>
    <w:rsid w:val="000C4F2B"/>
    <w:rsid w:val="000D115B"/>
    <w:rsid w:val="000E28DF"/>
    <w:rsid w:val="0013081D"/>
    <w:rsid w:val="002F717E"/>
    <w:rsid w:val="00455C38"/>
    <w:rsid w:val="0048539D"/>
    <w:rsid w:val="005349B6"/>
    <w:rsid w:val="005C25BD"/>
    <w:rsid w:val="006727D6"/>
    <w:rsid w:val="006D54F8"/>
    <w:rsid w:val="0078057D"/>
    <w:rsid w:val="008A6173"/>
    <w:rsid w:val="008D19CC"/>
    <w:rsid w:val="008F56BC"/>
    <w:rsid w:val="008F60FC"/>
    <w:rsid w:val="00914E7F"/>
    <w:rsid w:val="009B6DEF"/>
    <w:rsid w:val="00A01E8E"/>
    <w:rsid w:val="00A54828"/>
    <w:rsid w:val="00A720A0"/>
    <w:rsid w:val="00A903CA"/>
    <w:rsid w:val="00AE2DE2"/>
    <w:rsid w:val="00BC202D"/>
    <w:rsid w:val="00C57596"/>
    <w:rsid w:val="00CA4DFF"/>
    <w:rsid w:val="00CB65CB"/>
    <w:rsid w:val="00DC2037"/>
    <w:rsid w:val="00E5003C"/>
    <w:rsid w:val="00E70497"/>
    <w:rsid w:val="00E969FC"/>
    <w:rsid w:val="00EB7F86"/>
    <w:rsid w:val="00EC3458"/>
    <w:rsid w:val="00EE0594"/>
    <w:rsid w:val="00F144C4"/>
    <w:rsid w:val="00F21E9E"/>
    <w:rsid w:val="00F424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AADF0"/>
  <w15:docId w15:val="{3BD9B46C-DDD4-4EAD-B99E-F4C7ECA9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PlaceholderText">
    <w:name w:val="Placeholder Text"/>
    <w:basedOn w:val="DefaultParagraphFont"/>
    <w:uiPriority w:val="99"/>
    <w:semiHidden/>
    <w:rsid w:val="00A903CA"/>
    <w:rPr>
      <w:color w:val="808080"/>
    </w:rPr>
  </w:style>
  <w:style w:type="table" w:styleId="TableGrid">
    <w:name w:val="Table Grid"/>
    <w:basedOn w:val="TableNormal"/>
    <w:uiPriority w:val="39"/>
    <w:rsid w:val="00F21E9E"/>
    <w:pPr>
      <w:widowControl w:val="0"/>
      <w:autoSpaceDE w:val="0"/>
      <w:autoSpaceDN w:val="0"/>
    </w:pPr>
    <w:rPr>
      <w:rFonts w:asciiTheme="minorHAnsi" w:eastAsiaTheme="minorHAnsi"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8</Pages>
  <Words>4992</Words>
  <Characters>28455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astra</cp:lastModifiedBy>
  <cp:revision>24</cp:revision>
  <dcterms:created xsi:type="dcterms:W3CDTF">2026-02-26T06:26:00Z</dcterms:created>
  <dcterms:modified xsi:type="dcterms:W3CDTF">2026-05-21T10:23:00Z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a6af1844-4eea-4575-bb31-4af9a006fcc6</vt:lpwstr>
  </property>
</Properties>
</file>