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8E74E65" w14:textId="14CD736A" w:rsidR="00917F36" w:rsidRDefault="00917F36" w:rsidP="00917F36">
      <w:pPr>
        <w:pStyle w:val="papertitle"/>
        <w:rPr>
          <w:kern w:val="48"/>
        </w:rPr>
      </w:pPr>
      <w:r w:rsidRPr="00917F36">
        <w:rPr>
          <w:kern w:val="48"/>
        </w:rPr>
        <w:t>Modular-Agent: A Decoupled Framework for LLM-Agnostic Autonomous Systems</w:t>
      </w:r>
    </w:p>
    <w:p w14:paraId="05584A37" w14:textId="77777777" w:rsidR="003C59F8" w:rsidRDefault="003C59F8" w:rsidP="00917F36">
      <w:pPr>
        <w:pStyle w:val="papertitle"/>
        <w:rPr>
          <w:kern w:val="48"/>
        </w:rPr>
      </w:pP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5055"/>
        <w:gridCol w:w="5055"/>
      </w:tblGrid>
      <w:tr w:rsidR="003C59F8" w14:paraId="12057ED2" w14:textId="77777777" w:rsidTr="003C59F8">
        <w:trPr>
          <w:trHeight w:val="1213"/>
        </w:trPr>
        <w:tc>
          <w:tcPr>
            <w:tcW w:w="252.75pt" w:type="dxa"/>
          </w:tcPr>
          <w:p w14:paraId="5925C074" w14:textId="1ECABE1E" w:rsidR="003C59F8" w:rsidRPr="003C59F8" w:rsidRDefault="003C59F8" w:rsidP="003C59F8">
            <w:pPr>
              <w:pStyle w:val="Author"/>
              <w:spacing w:before="5pt" w:beforeAutospacing="1"/>
              <w:rPr>
                <w:sz w:val="18"/>
                <w:szCs w:val="18"/>
              </w:rPr>
            </w:pPr>
            <w:r>
              <w:rPr>
                <w:sz w:val="18"/>
                <w:szCs w:val="18"/>
              </w:rPr>
              <w:t>Anirudh M R</w:t>
            </w:r>
            <w:r w:rsidRPr="00F847A6">
              <w:rPr>
                <w:sz w:val="18"/>
                <w:szCs w:val="18"/>
              </w:rPr>
              <w:t xml:space="preserve"> </w:t>
            </w:r>
            <w:r w:rsidRPr="00F847A6">
              <w:rPr>
                <w:sz w:val="18"/>
                <w:szCs w:val="18"/>
              </w:rPr>
              <w:br/>
            </w:r>
            <w:r>
              <w:rPr>
                <w:i/>
                <w:sz w:val="18"/>
                <w:szCs w:val="18"/>
              </w:rPr>
              <w:t>division of computer science and engineering</w:t>
            </w:r>
            <w:r w:rsidRPr="00F847A6">
              <w:rPr>
                <w:sz w:val="18"/>
                <w:szCs w:val="18"/>
              </w:rPr>
              <w:br/>
            </w:r>
            <w:r w:rsidRPr="00917F36">
              <w:rPr>
                <w:i/>
                <w:sz w:val="18"/>
                <w:szCs w:val="18"/>
              </w:rPr>
              <w:t>Karunya Institute of Technology and Sciences</w:t>
            </w:r>
            <w:r w:rsidRPr="00F847A6">
              <w:rPr>
                <w:i/>
                <w:sz w:val="18"/>
                <w:szCs w:val="18"/>
              </w:rPr>
              <w:br/>
            </w:r>
            <w:r w:rsidRPr="00F847A6">
              <w:rPr>
                <w:sz w:val="18"/>
                <w:szCs w:val="18"/>
              </w:rPr>
              <w:t>C</w:t>
            </w:r>
            <w:r>
              <w:rPr>
                <w:sz w:val="18"/>
                <w:szCs w:val="18"/>
              </w:rPr>
              <w:t>oimbatore</w:t>
            </w:r>
            <w:r w:rsidRPr="00F847A6">
              <w:rPr>
                <w:sz w:val="18"/>
                <w:szCs w:val="18"/>
              </w:rPr>
              <w:t xml:space="preserve">, </w:t>
            </w:r>
            <w:r>
              <w:rPr>
                <w:sz w:val="18"/>
                <w:szCs w:val="18"/>
              </w:rPr>
              <w:t>India</w:t>
            </w:r>
            <w:r w:rsidRPr="00F847A6">
              <w:rPr>
                <w:sz w:val="18"/>
                <w:szCs w:val="18"/>
              </w:rPr>
              <w:br/>
            </w:r>
            <w:r>
              <w:rPr>
                <w:sz w:val="18"/>
                <w:szCs w:val="18"/>
              </w:rPr>
              <w:t>anirudhm@karunya.edu.in</w:t>
            </w:r>
          </w:p>
        </w:tc>
        <w:tc>
          <w:tcPr>
            <w:tcW w:w="252.75pt" w:type="dxa"/>
          </w:tcPr>
          <w:p w14:paraId="18550DF7" w14:textId="3611675E" w:rsidR="003C59F8" w:rsidRDefault="003C59F8" w:rsidP="00917F36">
            <w:pPr>
              <w:pStyle w:val="papertitle"/>
              <w:rPr>
                <w:kern w:val="48"/>
              </w:rPr>
            </w:pPr>
            <w:r>
              <w:rPr>
                <w:sz w:val="18"/>
                <w:szCs w:val="18"/>
              </w:rPr>
              <w:t>Dr. C P Shirley</w:t>
            </w:r>
            <w:r w:rsidRPr="00F847A6">
              <w:rPr>
                <w:sz w:val="18"/>
                <w:szCs w:val="18"/>
              </w:rPr>
              <w:br/>
            </w:r>
            <w:r>
              <w:rPr>
                <w:i/>
                <w:sz w:val="18"/>
                <w:szCs w:val="18"/>
              </w:rPr>
              <w:t>division of computer science and engineering</w:t>
            </w:r>
            <w:r w:rsidRPr="00F847A6">
              <w:rPr>
                <w:sz w:val="18"/>
                <w:szCs w:val="18"/>
              </w:rPr>
              <w:br/>
            </w:r>
            <w:r w:rsidRPr="00917F36">
              <w:rPr>
                <w:i/>
                <w:sz w:val="18"/>
                <w:szCs w:val="18"/>
              </w:rPr>
              <w:t>Karunya Institute of Technology and Sciences</w:t>
            </w:r>
            <w:r w:rsidRPr="00F847A6">
              <w:rPr>
                <w:i/>
                <w:sz w:val="18"/>
                <w:szCs w:val="18"/>
              </w:rPr>
              <w:br/>
            </w:r>
            <w:r w:rsidRPr="00F847A6">
              <w:rPr>
                <w:sz w:val="18"/>
                <w:szCs w:val="18"/>
              </w:rPr>
              <w:t>C</w:t>
            </w:r>
            <w:r>
              <w:rPr>
                <w:sz w:val="18"/>
                <w:szCs w:val="18"/>
              </w:rPr>
              <w:t>oimbatore</w:t>
            </w:r>
            <w:r w:rsidRPr="00F847A6">
              <w:rPr>
                <w:sz w:val="18"/>
                <w:szCs w:val="18"/>
              </w:rPr>
              <w:t xml:space="preserve">, </w:t>
            </w:r>
            <w:r>
              <w:rPr>
                <w:sz w:val="18"/>
                <w:szCs w:val="18"/>
              </w:rPr>
              <w:t>India</w:t>
            </w:r>
            <w:r w:rsidRPr="00F847A6">
              <w:rPr>
                <w:sz w:val="18"/>
                <w:szCs w:val="18"/>
              </w:rPr>
              <w:br/>
            </w:r>
            <w:r w:rsidRPr="00917F36">
              <w:rPr>
                <w:sz w:val="18"/>
                <w:szCs w:val="18"/>
              </w:rPr>
              <w:t>shirleycp@karunya.edu</w:t>
            </w:r>
          </w:p>
        </w:tc>
      </w:tr>
    </w:tbl>
    <w:p w14:paraId="1F960E65" w14:textId="77777777" w:rsidR="00D7522C" w:rsidRPr="00CA4392" w:rsidRDefault="00D7522C" w:rsidP="003C59F8">
      <w:pPr>
        <w:pStyle w:val="Author"/>
        <w:spacing w:before="5pt" w:beforeAutospacing="1" w:after="5pt" w:afterAutospacing="1" w:line="6pt" w:lineRule="auto"/>
        <w:jc w:val="both"/>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0316535E" w14:textId="77777777" w:rsidR="009F1D79" w:rsidRDefault="009F1D79" w:rsidP="003C59F8">
      <w:pPr>
        <w:jc w:val="both"/>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0569040A" w:rsidR="004D72B5" w:rsidRDefault="009303D9" w:rsidP="00972203">
      <w:pPr>
        <w:pStyle w:val="Abstract"/>
        <w:rPr>
          <w:i/>
          <w:iCs/>
        </w:rPr>
      </w:pPr>
      <w:r>
        <w:rPr>
          <w:i/>
          <w:iCs/>
        </w:rPr>
        <w:t>Abstract</w:t>
      </w:r>
      <w:r>
        <w:t>—</w:t>
      </w:r>
      <w:r w:rsidR="00BC1276" w:rsidRPr="00BC1276">
        <w:t xml:space="preserve"> Traditional Machine Learning (ML) and Deep Learning (DL) models offer high accuracy in </w:t>
      </w:r>
      <w:proofErr w:type="spellStart"/>
      <w:r w:rsidR="00BC1276" w:rsidRPr="00BC1276">
        <w:t>specialised</w:t>
      </w:r>
      <w:proofErr w:type="spellEnd"/>
      <w:r w:rsidR="00BC1276" w:rsidRPr="00BC1276">
        <w:t xml:space="preserve"> domains but their operational isolation constrains their utility in dynamic real-world workflows. </w:t>
      </w:r>
      <w:r w:rsidR="003C59F8">
        <w:t>T</w:t>
      </w:r>
      <w:r w:rsidR="00BC1276" w:rsidRPr="00BC1276">
        <w:t xml:space="preserve">his paper </w:t>
      </w:r>
      <w:proofErr w:type="gramStart"/>
      <w:r w:rsidR="00BC1276" w:rsidRPr="00BC1276">
        <w:t>present</w:t>
      </w:r>
      <w:proofErr w:type="gramEnd"/>
      <w:r w:rsidR="00BC1276" w:rsidRPr="00BC1276">
        <w:t xml:space="preserve"> a decoupled framework called “Modular-Agent” to automatically convert standard AI endpoints into fully functional, LLM-agnostic autonomous systems. The framework consumes standard model endpoints and extends them with dynamic agentic capabilities such as contextual memory, semantic routing and tool-use through open-source orchestration frameworks such as </w:t>
      </w:r>
      <w:proofErr w:type="spellStart"/>
      <w:r w:rsidR="00BC1276" w:rsidRPr="00BC1276">
        <w:t>LangChain</w:t>
      </w:r>
      <w:proofErr w:type="spellEnd"/>
      <w:r w:rsidR="00BC1276" w:rsidRPr="00BC1276">
        <w:t xml:space="preserve">, </w:t>
      </w:r>
      <w:proofErr w:type="spellStart"/>
      <w:r w:rsidR="00BC1276" w:rsidRPr="00BC1276">
        <w:t>LangGraph</w:t>
      </w:r>
      <w:proofErr w:type="spellEnd"/>
      <w:r w:rsidR="00BC1276" w:rsidRPr="00BC1276">
        <w:t xml:space="preserve"> and Agno. The actual controller is a sophisticated LLM. This transforms a predictive static tool into an interactive agent. Empirical evaluations show that our automated ingestion pipeline reduces the manual integration boilerplate from over 400 Lines of Code (LOC) to just 14 LOC, facilitating faster deployment timelines. Moreover, the latency analysis indicates that the cognitive routing has little overhead and the total response time is less than one second (~ 447ms). The framework can efficiently package agents into </w:t>
      </w:r>
      <w:proofErr w:type="spellStart"/>
      <w:r w:rsidR="00BC1276" w:rsidRPr="00BC1276">
        <w:t>containerised</w:t>
      </w:r>
      <w:proofErr w:type="spellEnd"/>
      <w:r w:rsidR="00BC1276" w:rsidRPr="00BC1276">
        <w:t xml:space="preserve"> formats with a 95th percentile response latency of 850ms under peak workloads of 1,000 concurrent requests, showing its viability for scalable deployment across AWS, Azure, and GCP. The results conclude that modular agentic wrappers offer a highly scalable solution to </w:t>
      </w:r>
      <w:proofErr w:type="spellStart"/>
      <w:r w:rsidR="00BC1276" w:rsidRPr="00BC1276">
        <w:t>modernise</w:t>
      </w:r>
      <w:proofErr w:type="spellEnd"/>
      <w:r w:rsidR="00BC1276" w:rsidRPr="00BC1276">
        <w:t xml:space="preserve"> legacy AI infrastructures.</w:t>
      </w:r>
    </w:p>
    <w:p w14:paraId="58B10678" w14:textId="2404C564" w:rsidR="009303D9" w:rsidRPr="004D72B5" w:rsidRDefault="004D72B5" w:rsidP="00972203">
      <w:pPr>
        <w:pStyle w:val="Keywords"/>
      </w:pPr>
      <w:r w:rsidRPr="004D72B5">
        <w:t>Keywords—</w:t>
      </w:r>
      <w:r w:rsidR="00BC1276" w:rsidRPr="00BC1276">
        <w:t xml:space="preserve"> agentic AI, LLM orchestration, </w:t>
      </w:r>
      <w:proofErr w:type="spellStart"/>
      <w:r w:rsidR="00BC1276" w:rsidRPr="00BC1276">
        <w:t>LangChain</w:t>
      </w:r>
      <w:proofErr w:type="spellEnd"/>
      <w:r w:rsidR="00BC1276" w:rsidRPr="00BC1276">
        <w:t xml:space="preserve">, </w:t>
      </w:r>
      <w:proofErr w:type="spellStart"/>
      <w:r w:rsidR="00BC1276" w:rsidRPr="00BC1276">
        <w:t>LangGraph</w:t>
      </w:r>
      <w:proofErr w:type="spellEnd"/>
      <w:r w:rsidR="00BC1276" w:rsidRPr="00BC1276">
        <w:t>, autonomous systems, cloud deployment, modular architecture, tool-use, containerization</w:t>
      </w:r>
    </w:p>
    <w:p w14:paraId="1A521F3C" w14:textId="55D0C0FC" w:rsidR="009303D9" w:rsidRPr="00D632BE" w:rsidRDefault="009303D9" w:rsidP="006B6B66">
      <w:pPr>
        <w:pStyle w:val="Heading1"/>
      </w:pPr>
      <w:r w:rsidRPr="00D632BE">
        <w:t>Introduction</w:t>
      </w:r>
    </w:p>
    <w:p w14:paraId="7F2A2944" w14:textId="77777777" w:rsidR="00BC1276" w:rsidRDefault="00BC1276" w:rsidP="00BC1276">
      <w:pPr>
        <w:pStyle w:val="BodyText"/>
      </w:pPr>
      <w:r w:rsidRPr="0073701D">
        <w:t>The contemporary artificial intelligence ecosystem is characterised by a fundamental architectural bifurcation of highly specialised predictive engines and broad generative controllers. Most of the specialised models, including traditional Machine Learning (ML), Deep Learning (DL) and Reinforcement Learning (RL), are designed for “Point Intelligence” [1]. These architectures are designed to handle high dimensional data by optimising for deterministic tensor operations [2], and have achieved state of the art accuracy in narrow tasks like image classification or anomaly detection</w:t>
      </w:r>
      <w:r>
        <w:t>.</w:t>
      </w:r>
    </w:p>
    <w:p w14:paraId="0F7E037A" w14:textId="523E977E" w:rsidR="00BC1276" w:rsidRDefault="00BC1276" w:rsidP="00BC1276">
      <w:pPr>
        <w:pStyle w:val="BodyText"/>
      </w:pPr>
      <w:r w:rsidRPr="0073701D">
        <w:t>The conventional predictive deep learning model is a brilliant but strictly isolated expert. Given a high resolution retinal fundus scan, the model returns a high precision but semantically hollow response (e.g.</w:t>
      </w:r>
      <w:r w:rsidR="00507478">
        <w:t xml:space="preserve"> </w:t>
      </w:r>
      <w:r w:rsidRPr="0073701D">
        <w:t xml:space="preserve">Diabetic Retinopathy: Positive with 94.2% confidence). The model, although algorithmically sophisticated, lacks the "Contextual Intelligence" to justify its logic, verify patient history, or communicate autonomously with healthcare providers. </w:t>
      </w:r>
      <w:r w:rsidRPr="0073701D">
        <w:t>Therefore, the human operator needs to translate the mathematical output into a practical workflow [3].</w:t>
      </w:r>
    </w:p>
    <w:p w14:paraId="5B84FB04" w14:textId="50F7B379" w:rsidR="009303D9" w:rsidRPr="005B520E" w:rsidRDefault="00BC1276" w:rsidP="00BC1276">
      <w:pPr>
        <w:pStyle w:val="BodyText"/>
      </w:pPr>
      <w:r w:rsidRPr="0073701D">
        <w:t xml:space="preserve">The “Modular-Agent” framework aims to overcome this isolation bottleneck by providing a decoupled operational wrapper which translates raw algorithmic outputs into actionable semantic insights. The framework combines the deterministic predictive power with semantic intelligence by leveraging the core executive brain of the basic Large Language Models (LLMs) [4] and provides dynamic functionalities such as bidirectional API tooling, conversational memory buffers, and multi-step </w:t>
      </w:r>
      <w:proofErr w:type="spellStart"/>
      <w:r w:rsidRPr="0073701D">
        <w:t>ReAct</w:t>
      </w:r>
      <w:proofErr w:type="spellEnd"/>
      <w:r w:rsidRPr="0073701D">
        <w:t xml:space="preserve"> (Reasoning and Acting) execution [5].</w:t>
      </w:r>
    </w:p>
    <w:p w14:paraId="179EA777" w14:textId="23E8228E" w:rsidR="009303D9" w:rsidRPr="006B6B66" w:rsidRDefault="00BC1276" w:rsidP="006B6B66">
      <w:pPr>
        <w:pStyle w:val="Heading1"/>
      </w:pPr>
      <w:r>
        <w:t>Literature Survey</w:t>
      </w:r>
    </w:p>
    <w:p w14:paraId="3C8B3FFF" w14:textId="328A956A" w:rsidR="009303D9" w:rsidRDefault="00BC1276" w:rsidP="00ED0149">
      <w:pPr>
        <w:pStyle w:val="Heading2"/>
      </w:pPr>
      <w:r>
        <w:t>The Evolution of Predictive AI</w:t>
      </w:r>
    </w:p>
    <w:p w14:paraId="5183BA3F" w14:textId="77777777" w:rsidR="00BC1276" w:rsidRDefault="00BC1276" w:rsidP="00BC1276">
      <w:pPr>
        <w:pStyle w:val="BodyText"/>
      </w:pPr>
      <w:r>
        <w:t xml:space="preserve">Historically, the trajectory of artificial intelligence has been dominated by highly specialized, narrow-task computational engines. Foundational research in ML and DL has consistently prioritized predictive accuracy over systemic interoperability. Convolutional Neural Networks (CNNs)—particularly architectures employing deep residual learning like </w:t>
      </w:r>
      <w:proofErr w:type="spellStart"/>
      <w:r>
        <w:t>ResNet</w:t>
      </w:r>
      <w:proofErr w:type="spellEnd"/>
      <w:r>
        <w:t>, or inverted residual bottlenecks like MobileNetV2 [6]—have achieved superhuman accuracy in complex diagnostic tasks [7], including the multi-class classification of medical imagery.</w:t>
      </w:r>
    </w:p>
    <w:p w14:paraId="4522E337" w14:textId="49D40808" w:rsidR="009303D9" w:rsidRPr="005B520E" w:rsidRDefault="00BC1276" w:rsidP="00BC1276">
      <w:pPr>
        <w:pStyle w:val="BodyText"/>
      </w:pPr>
      <w:r>
        <w:t>A critical review of current medical AI literature highlights two systemic constraints: the “black box” interpretability crisis and strict operational isolation. Because these predictive models operate through opaque layers of non-linear transformations, their final outputs are fundamentally deterministic but semantically hollow. Generating an output probability tensor provides a statistically valid classification but offers zero clinical context. These architectures lack the cognitive capacity to cross-reference probabilities against Electronic Health Records (EHR) or autonomously trigger downstream administrative events</w:t>
      </w:r>
      <w:r w:rsidR="009303D9" w:rsidRPr="005B520E">
        <w:t>.</w:t>
      </w:r>
    </w:p>
    <w:p w14:paraId="66739D0E" w14:textId="571CED17" w:rsidR="009303D9" w:rsidRPr="005B520E" w:rsidRDefault="00BC1276" w:rsidP="00BC1276">
      <w:pPr>
        <w:pStyle w:val="Heading2"/>
      </w:pPr>
      <w:r w:rsidRPr="00BC1276">
        <w:t>Rise of Large Language Models (LLMs)</w:t>
      </w:r>
    </w:p>
    <w:p w14:paraId="6705EEF9" w14:textId="77777777" w:rsidR="003727B2" w:rsidRDefault="003727B2" w:rsidP="003727B2">
      <w:pPr>
        <w:pStyle w:val="BodyText"/>
      </w:pPr>
      <w:r>
        <w:t xml:space="preserve">The introduction of foundational LLMs—architected upon the transformer neural network topology—marked a monumental paradigm shift, transitioning AI from rigid task-specific algorithms toward flexible semantic understanding. Modern iterations such as GPT-4, Llama 3, and Gemini [8], [9], [10] possess vast generalized knowledge bases and exhibit unprecedented zero-shot reasoning. However, rigorous empirical testing reveals a critical structural flaw: because LLMs function as probabilistic token predictors rather than </w:t>
      </w:r>
      <w:r>
        <w:lastRenderedPageBreak/>
        <w:t>deterministic logic engines, they suffer from persistent “hallucinations” [11]. This architectural limitation becomes a severe liability in safety-critical clinical domains.</w:t>
      </w:r>
    </w:p>
    <w:p w14:paraId="69ADB114" w14:textId="61DB7826" w:rsidR="003727B2" w:rsidRDefault="003727B2" w:rsidP="003727B2">
      <w:pPr>
        <w:pStyle w:val="BodyText"/>
      </w:pPr>
      <w:r>
        <w:t xml:space="preserve">To resolve this dichotomy, recent computer science literature emphasizes “Tool Calling” [12]. Through specialized instruction fine-tuning, an LLM is trained to cognitively recognize the boundaries of its own capabilities. When presented with a task outside its native processing—such as diagnosing a retinal scan—the model outputs a strictly formatted, machine-readable JSON command designed to trigger an external API. This framework shifts the LLM’s operational role from a flawed oracle to a robust “Cognitive Orchestrator.” Table </w:t>
      </w:r>
      <w:r w:rsidR="009C7314">
        <w:t>I</w:t>
      </w:r>
      <w:r>
        <w:t xml:space="preserve"> provides a comparative summary of the LLM providers supported by the Modular-Agent framework.</w:t>
      </w:r>
    </w:p>
    <w:p w14:paraId="24B81428" w14:textId="144E2508" w:rsidR="003727B2" w:rsidRPr="005B520E" w:rsidRDefault="003727B2" w:rsidP="003727B2">
      <w:pPr>
        <w:pStyle w:val="tablehead"/>
      </w:pPr>
      <w:r>
        <w:t>Comparison of Supported LLM Providers</w:t>
      </w:r>
    </w:p>
    <w:tbl>
      <w:tblPr>
        <w:tblW w:w="243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698"/>
        <w:gridCol w:w="1134"/>
        <w:gridCol w:w="851"/>
        <w:gridCol w:w="1177"/>
      </w:tblGrid>
      <w:tr w:rsidR="003727B2" w14:paraId="63EF24B1" w14:textId="77777777" w:rsidTr="00507478">
        <w:trPr>
          <w:trHeight w:val="240"/>
          <w:tblHeader/>
          <w:jc w:val="center"/>
        </w:trPr>
        <w:tc>
          <w:tcPr>
            <w:tcW w:w="84.90pt" w:type="dxa"/>
            <w:vAlign w:val="center"/>
          </w:tcPr>
          <w:p w14:paraId="7391BBAA" w14:textId="53DCA9BD" w:rsidR="003727B2" w:rsidRPr="003727B2" w:rsidRDefault="003727B2" w:rsidP="003727B2">
            <w:pPr>
              <w:rPr>
                <w:b/>
                <w:bCs/>
                <w:sz w:val="16"/>
                <w:szCs w:val="16"/>
              </w:rPr>
            </w:pPr>
            <w:r w:rsidRPr="003727B2">
              <w:rPr>
                <w:b/>
                <w:bCs/>
                <w:sz w:val="16"/>
                <w:szCs w:val="16"/>
              </w:rPr>
              <w:t>LLM Model</w:t>
            </w:r>
          </w:p>
        </w:tc>
        <w:tc>
          <w:tcPr>
            <w:tcW w:w="56.70pt" w:type="dxa"/>
            <w:vAlign w:val="center"/>
          </w:tcPr>
          <w:p w14:paraId="38D95E05" w14:textId="6FD333F3" w:rsidR="003727B2" w:rsidRPr="003727B2" w:rsidRDefault="003727B2" w:rsidP="003727B2">
            <w:pPr>
              <w:pStyle w:val="tablecolsubhead"/>
              <w:rPr>
                <w:i w:val="0"/>
                <w:iCs w:val="0"/>
                <w:sz w:val="16"/>
                <w:szCs w:val="16"/>
              </w:rPr>
            </w:pPr>
            <w:r w:rsidRPr="003727B2">
              <w:rPr>
                <w:i w:val="0"/>
                <w:iCs w:val="0"/>
                <w:sz w:val="16"/>
                <w:szCs w:val="16"/>
              </w:rPr>
              <w:t>License</w:t>
            </w:r>
          </w:p>
        </w:tc>
        <w:tc>
          <w:tcPr>
            <w:tcW w:w="42.55pt" w:type="dxa"/>
            <w:vAlign w:val="center"/>
          </w:tcPr>
          <w:p w14:paraId="05F8CA00" w14:textId="18852AA4" w:rsidR="003727B2" w:rsidRPr="003727B2" w:rsidRDefault="003727B2" w:rsidP="003727B2">
            <w:pPr>
              <w:pStyle w:val="tablecolsubhead"/>
              <w:rPr>
                <w:i w:val="0"/>
                <w:iCs w:val="0"/>
                <w:sz w:val="16"/>
                <w:szCs w:val="16"/>
              </w:rPr>
            </w:pPr>
            <w:r w:rsidRPr="003727B2">
              <w:rPr>
                <w:i w:val="0"/>
                <w:iCs w:val="0"/>
                <w:sz w:val="16"/>
                <w:szCs w:val="16"/>
              </w:rPr>
              <w:t>Tool-Call</w:t>
            </w:r>
          </w:p>
        </w:tc>
        <w:tc>
          <w:tcPr>
            <w:tcW w:w="58.85pt" w:type="dxa"/>
            <w:vAlign w:val="center"/>
          </w:tcPr>
          <w:p w14:paraId="346A0FDB" w14:textId="6AE99F42" w:rsidR="003727B2" w:rsidRPr="003727B2" w:rsidRDefault="003727B2" w:rsidP="003727B2">
            <w:pPr>
              <w:pStyle w:val="tablecolsubhead"/>
              <w:rPr>
                <w:i w:val="0"/>
                <w:iCs w:val="0"/>
                <w:sz w:val="16"/>
                <w:szCs w:val="16"/>
              </w:rPr>
            </w:pPr>
            <w:r w:rsidRPr="003727B2">
              <w:rPr>
                <w:i w:val="0"/>
                <w:iCs w:val="0"/>
                <w:sz w:val="16"/>
                <w:szCs w:val="16"/>
              </w:rPr>
              <w:t>Integration</w:t>
            </w:r>
          </w:p>
        </w:tc>
      </w:tr>
      <w:tr w:rsidR="003727B2" w14:paraId="4CEFF593" w14:textId="77777777" w:rsidTr="00507478">
        <w:trPr>
          <w:trHeight w:val="320"/>
          <w:jc w:val="center"/>
        </w:trPr>
        <w:tc>
          <w:tcPr>
            <w:tcW w:w="84.90pt" w:type="dxa"/>
            <w:vAlign w:val="center"/>
          </w:tcPr>
          <w:p w14:paraId="685F75DC" w14:textId="635B54E9" w:rsidR="003727B2" w:rsidRPr="003727B2" w:rsidRDefault="003727B2" w:rsidP="003727B2">
            <w:pPr>
              <w:pStyle w:val="tablecopy"/>
            </w:pPr>
            <w:r w:rsidRPr="003727B2">
              <w:t>GPT-4o (OpenAI)</w:t>
            </w:r>
          </w:p>
        </w:tc>
        <w:tc>
          <w:tcPr>
            <w:tcW w:w="56.70pt" w:type="dxa"/>
            <w:vAlign w:val="center"/>
          </w:tcPr>
          <w:p w14:paraId="313977C7" w14:textId="2F7E20E2" w:rsidR="003727B2" w:rsidRPr="003727B2" w:rsidRDefault="003727B2" w:rsidP="003727B2">
            <w:pPr>
              <w:pStyle w:val="tablecopy"/>
            </w:pPr>
            <w:r w:rsidRPr="003727B2">
              <w:t>Proprietary</w:t>
            </w:r>
          </w:p>
        </w:tc>
        <w:tc>
          <w:tcPr>
            <w:tcW w:w="42.55pt" w:type="dxa"/>
            <w:vAlign w:val="center"/>
          </w:tcPr>
          <w:p w14:paraId="04B4D4A1" w14:textId="14C0448A" w:rsidR="003727B2" w:rsidRPr="003727B2" w:rsidRDefault="003727B2" w:rsidP="003727B2">
            <w:pPr>
              <w:rPr>
                <w:sz w:val="16"/>
                <w:szCs w:val="16"/>
              </w:rPr>
            </w:pPr>
            <w:r w:rsidRPr="003727B2">
              <w:rPr>
                <w:sz w:val="16"/>
                <w:szCs w:val="16"/>
              </w:rPr>
              <w:t>High</w:t>
            </w:r>
          </w:p>
        </w:tc>
        <w:tc>
          <w:tcPr>
            <w:tcW w:w="58.85pt" w:type="dxa"/>
            <w:vAlign w:val="center"/>
          </w:tcPr>
          <w:p w14:paraId="284DD4F8" w14:textId="2F120BB8" w:rsidR="003727B2" w:rsidRPr="003727B2" w:rsidRDefault="003727B2" w:rsidP="003727B2">
            <w:pPr>
              <w:rPr>
                <w:sz w:val="16"/>
                <w:szCs w:val="16"/>
              </w:rPr>
            </w:pPr>
            <w:r w:rsidRPr="003727B2">
              <w:rPr>
                <w:sz w:val="16"/>
                <w:szCs w:val="16"/>
              </w:rPr>
              <w:t>REST/SDK</w:t>
            </w:r>
          </w:p>
        </w:tc>
      </w:tr>
      <w:tr w:rsidR="003727B2" w14:paraId="562DC370" w14:textId="77777777" w:rsidTr="00507478">
        <w:trPr>
          <w:trHeight w:val="320"/>
          <w:jc w:val="center"/>
        </w:trPr>
        <w:tc>
          <w:tcPr>
            <w:tcW w:w="84.90pt" w:type="dxa"/>
            <w:vAlign w:val="center"/>
          </w:tcPr>
          <w:p w14:paraId="2FFEDEF0" w14:textId="6258646A" w:rsidR="003727B2" w:rsidRPr="003727B2" w:rsidRDefault="003727B2" w:rsidP="003727B2">
            <w:pPr>
              <w:pStyle w:val="tablecopy"/>
            </w:pPr>
            <w:r w:rsidRPr="003727B2">
              <w:t>Llama 3.3 70B (Meta)</w:t>
            </w:r>
          </w:p>
        </w:tc>
        <w:tc>
          <w:tcPr>
            <w:tcW w:w="56.70pt" w:type="dxa"/>
            <w:vAlign w:val="center"/>
          </w:tcPr>
          <w:p w14:paraId="5FBB6411" w14:textId="741116CA" w:rsidR="003727B2" w:rsidRPr="003727B2" w:rsidRDefault="003727B2" w:rsidP="003727B2">
            <w:pPr>
              <w:pStyle w:val="tablecopy"/>
            </w:pPr>
            <w:r w:rsidRPr="003727B2">
              <w:t>Open-source</w:t>
            </w:r>
          </w:p>
        </w:tc>
        <w:tc>
          <w:tcPr>
            <w:tcW w:w="42.55pt" w:type="dxa"/>
            <w:vAlign w:val="center"/>
          </w:tcPr>
          <w:p w14:paraId="32FAD9EF" w14:textId="4EA42CE2" w:rsidR="003727B2" w:rsidRPr="003727B2" w:rsidRDefault="003727B2" w:rsidP="003727B2">
            <w:pPr>
              <w:rPr>
                <w:sz w:val="16"/>
                <w:szCs w:val="16"/>
              </w:rPr>
            </w:pPr>
            <w:r w:rsidRPr="003727B2">
              <w:rPr>
                <w:sz w:val="16"/>
                <w:szCs w:val="16"/>
              </w:rPr>
              <w:t>High</w:t>
            </w:r>
          </w:p>
        </w:tc>
        <w:tc>
          <w:tcPr>
            <w:tcW w:w="58.85pt" w:type="dxa"/>
            <w:vAlign w:val="center"/>
          </w:tcPr>
          <w:p w14:paraId="5C878608" w14:textId="0B5AAA5A" w:rsidR="003727B2" w:rsidRPr="003727B2" w:rsidRDefault="003727B2" w:rsidP="003727B2">
            <w:pPr>
              <w:rPr>
                <w:sz w:val="16"/>
                <w:szCs w:val="16"/>
              </w:rPr>
            </w:pPr>
            <w:proofErr w:type="spellStart"/>
            <w:r w:rsidRPr="003727B2">
              <w:rPr>
                <w:sz w:val="16"/>
                <w:szCs w:val="16"/>
              </w:rPr>
              <w:t>Groq</w:t>
            </w:r>
            <w:proofErr w:type="spellEnd"/>
            <w:r w:rsidRPr="003727B2">
              <w:rPr>
                <w:sz w:val="16"/>
                <w:szCs w:val="16"/>
              </w:rPr>
              <w:t>/</w:t>
            </w:r>
            <w:proofErr w:type="spellStart"/>
            <w:r w:rsidRPr="003727B2">
              <w:rPr>
                <w:sz w:val="16"/>
                <w:szCs w:val="16"/>
              </w:rPr>
              <w:t>Ollama</w:t>
            </w:r>
            <w:proofErr w:type="spellEnd"/>
          </w:p>
        </w:tc>
      </w:tr>
      <w:tr w:rsidR="003727B2" w14:paraId="03D28F86" w14:textId="77777777" w:rsidTr="00507478">
        <w:trPr>
          <w:trHeight w:val="320"/>
          <w:jc w:val="center"/>
        </w:trPr>
        <w:tc>
          <w:tcPr>
            <w:tcW w:w="84.90pt" w:type="dxa"/>
            <w:vAlign w:val="center"/>
          </w:tcPr>
          <w:p w14:paraId="75FE6CF9" w14:textId="304606C7" w:rsidR="003727B2" w:rsidRPr="003727B2" w:rsidRDefault="003727B2" w:rsidP="003727B2">
            <w:pPr>
              <w:pStyle w:val="tablecopy"/>
            </w:pPr>
            <w:r w:rsidRPr="003727B2">
              <w:t>Gemini 1.5 Pro</w:t>
            </w:r>
          </w:p>
        </w:tc>
        <w:tc>
          <w:tcPr>
            <w:tcW w:w="56.70pt" w:type="dxa"/>
            <w:vAlign w:val="center"/>
          </w:tcPr>
          <w:p w14:paraId="3CA786D1" w14:textId="097ED018" w:rsidR="003727B2" w:rsidRPr="003727B2" w:rsidRDefault="003727B2" w:rsidP="003727B2">
            <w:pPr>
              <w:pStyle w:val="tablecopy"/>
            </w:pPr>
            <w:r w:rsidRPr="003727B2">
              <w:t>Proprietary</w:t>
            </w:r>
          </w:p>
        </w:tc>
        <w:tc>
          <w:tcPr>
            <w:tcW w:w="42.55pt" w:type="dxa"/>
            <w:vAlign w:val="center"/>
          </w:tcPr>
          <w:p w14:paraId="01EBE229" w14:textId="6101ED5A" w:rsidR="003727B2" w:rsidRPr="003727B2" w:rsidRDefault="003727B2" w:rsidP="003727B2">
            <w:pPr>
              <w:rPr>
                <w:sz w:val="16"/>
                <w:szCs w:val="16"/>
              </w:rPr>
            </w:pPr>
            <w:r w:rsidRPr="003727B2">
              <w:rPr>
                <w:sz w:val="16"/>
                <w:szCs w:val="16"/>
              </w:rPr>
              <w:t>High</w:t>
            </w:r>
          </w:p>
        </w:tc>
        <w:tc>
          <w:tcPr>
            <w:tcW w:w="58.85pt" w:type="dxa"/>
            <w:vAlign w:val="center"/>
          </w:tcPr>
          <w:p w14:paraId="514FF764" w14:textId="21FB7E39" w:rsidR="003727B2" w:rsidRPr="003727B2" w:rsidRDefault="003727B2" w:rsidP="003727B2">
            <w:pPr>
              <w:rPr>
                <w:sz w:val="16"/>
                <w:szCs w:val="16"/>
              </w:rPr>
            </w:pPr>
            <w:r w:rsidRPr="003727B2">
              <w:rPr>
                <w:sz w:val="16"/>
                <w:szCs w:val="16"/>
              </w:rPr>
              <w:t>Vertex AI</w:t>
            </w:r>
          </w:p>
        </w:tc>
      </w:tr>
      <w:tr w:rsidR="003727B2" w14:paraId="2D29C2CC" w14:textId="77777777" w:rsidTr="00507478">
        <w:trPr>
          <w:trHeight w:val="320"/>
          <w:jc w:val="center"/>
        </w:trPr>
        <w:tc>
          <w:tcPr>
            <w:tcW w:w="84.90pt" w:type="dxa"/>
            <w:vAlign w:val="center"/>
          </w:tcPr>
          <w:p w14:paraId="5A3D5406" w14:textId="48261318" w:rsidR="003727B2" w:rsidRPr="003727B2" w:rsidRDefault="003727B2" w:rsidP="003727B2">
            <w:pPr>
              <w:pStyle w:val="tablecopy"/>
            </w:pPr>
            <w:r w:rsidRPr="003727B2">
              <w:t>Claude 3.5 Sonnet</w:t>
            </w:r>
          </w:p>
        </w:tc>
        <w:tc>
          <w:tcPr>
            <w:tcW w:w="56.70pt" w:type="dxa"/>
            <w:vAlign w:val="center"/>
          </w:tcPr>
          <w:p w14:paraId="7DCD4836" w14:textId="77B75702" w:rsidR="003727B2" w:rsidRPr="003727B2" w:rsidRDefault="003727B2" w:rsidP="003727B2">
            <w:pPr>
              <w:pStyle w:val="tablecopy"/>
            </w:pPr>
            <w:r w:rsidRPr="003727B2">
              <w:t>Proprietary</w:t>
            </w:r>
          </w:p>
        </w:tc>
        <w:tc>
          <w:tcPr>
            <w:tcW w:w="42.55pt" w:type="dxa"/>
            <w:vAlign w:val="center"/>
          </w:tcPr>
          <w:p w14:paraId="47583E3F" w14:textId="4F91D904" w:rsidR="003727B2" w:rsidRPr="003727B2" w:rsidRDefault="003727B2" w:rsidP="003727B2">
            <w:pPr>
              <w:rPr>
                <w:sz w:val="16"/>
                <w:szCs w:val="16"/>
              </w:rPr>
            </w:pPr>
            <w:r w:rsidRPr="003727B2">
              <w:rPr>
                <w:sz w:val="16"/>
                <w:szCs w:val="16"/>
              </w:rPr>
              <w:t>High</w:t>
            </w:r>
          </w:p>
        </w:tc>
        <w:tc>
          <w:tcPr>
            <w:tcW w:w="58.85pt" w:type="dxa"/>
            <w:vAlign w:val="center"/>
          </w:tcPr>
          <w:p w14:paraId="1F58CFD4" w14:textId="293F60DF" w:rsidR="003727B2" w:rsidRPr="003727B2" w:rsidRDefault="003727B2" w:rsidP="003727B2">
            <w:pPr>
              <w:rPr>
                <w:sz w:val="16"/>
                <w:szCs w:val="16"/>
              </w:rPr>
            </w:pPr>
            <w:r w:rsidRPr="003727B2">
              <w:rPr>
                <w:sz w:val="16"/>
                <w:szCs w:val="16"/>
              </w:rPr>
              <w:t>Anthropic API</w:t>
            </w:r>
          </w:p>
        </w:tc>
      </w:tr>
      <w:tr w:rsidR="003727B2" w14:paraId="5C9F8BF5" w14:textId="77777777" w:rsidTr="00507478">
        <w:trPr>
          <w:trHeight w:val="320"/>
          <w:jc w:val="center"/>
        </w:trPr>
        <w:tc>
          <w:tcPr>
            <w:tcW w:w="84.90pt" w:type="dxa"/>
            <w:vAlign w:val="center"/>
          </w:tcPr>
          <w:p w14:paraId="48C2686D" w14:textId="7F740C7F" w:rsidR="003727B2" w:rsidRPr="003727B2" w:rsidRDefault="003727B2" w:rsidP="003727B2">
            <w:pPr>
              <w:pStyle w:val="tablecopy"/>
            </w:pPr>
            <w:r w:rsidRPr="003727B2">
              <w:t>Mistral Large</w:t>
            </w:r>
          </w:p>
        </w:tc>
        <w:tc>
          <w:tcPr>
            <w:tcW w:w="56.70pt" w:type="dxa"/>
            <w:vAlign w:val="center"/>
          </w:tcPr>
          <w:p w14:paraId="652D017A" w14:textId="22105AE6" w:rsidR="003727B2" w:rsidRPr="003727B2" w:rsidRDefault="003727B2" w:rsidP="003727B2">
            <w:pPr>
              <w:pStyle w:val="tablecopy"/>
            </w:pPr>
            <w:r w:rsidRPr="003727B2">
              <w:t>Open-weight</w:t>
            </w:r>
          </w:p>
        </w:tc>
        <w:tc>
          <w:tcPr>
            <w:tcW w:w="42.55pt" w:type="dxa"/>
            <w:vAlign w:val="center"/>
          </w:tcPr>
          <w:p w14:paraId="0A9E8409" w14:textId="687BFFA5" w:rsidR="003727B2" w:rsidRPr="003727B2" w:rsidRDefault="003727B2" w:rsidP="003727B2">
            <w:pPr>
              <w:rPr>
                <w:sz w:val="16"/>
                <w:szCs w:val="16"/>
              </w:rPr>
            </w:pPr>
            <w:r w:rsidRPr="003727B2">
              <w:rPr>
                <w:sz w:val="16"/>
                <w:szCs w:val="16"/>
              </w:rPr>
              <w:t>Medium</w:t>
            </w:r>
          </w:p>
        </w:tc>
        <w:tc>
          <w:tcPr>
            <w:tcW w:w="58.85pt" w:type="dxa"/>
            <w:vAlign w:val="center"/>
          </w:tcPr>
          <w:p w14:paraId="7E3BF128" w14:textId="780B51D4" w:rsidR="003727B2" w:rsidRPr="003727B2" w:rsidRDefault="003727B2" w:rsidP="003727B2">
            <w:pPr>
              <w:rPr>
                <w:sz w:val="16"/>
                <w:szCs w:val="16"/>
              </w:rPr>
            </w:pPr>
            <w:r w:rsidRPr="003727B2">
              <w:rPr>
                <w:sz w:val="16"/>
                <w:szCs w:val="16"/>
              </w:rPr>
              <w:t>Mistral API</w:t>
            </w:r>
          </w:p>
        </w:tc>
      </w:tr>
    </w:tbl>
    <w:p w14:paraId="77DAECB7" w14:textId="77777777" w:rsidR="003727B2" w:rsidRDefault="003727B2" w:rsidP="003727B2">
      <w:pPr>
        <w:pStyle w:val="BodyText"/>
        <w:ind w:firstLine="0pt"/>
      </w:pPr>
    </w:p>
    <w:p w14:paraId="39A4ED25" w14:textId="0BF62202" w:rsidR="003727B2" w:rsidRDefault="003727B2" w:rsidP="003727B2">
      <w:pPr>
        <w:pStyle w:val="Heading2"/>
      </w:pPr>
      <w:r>
        <w:t xml:space="preserve"> Agentic Frameworks: LangChain and Agno</w:t>
      </w:r>
    </w:p>
    <w:p w14:paraId="072A7EBC" w14:textId="75998DA2" w:rsidR="003727B2" w:rsidRDefault="003727B2" w:rsidP="003727B2">
      <w:pPr>
        <w:pStyle w:val="BodyText"/>
      </w:pPr>
      <w:r w:rsidRPr="00AE5C57">
        <w:t xml:space="preserve">The generative-AI landscape was first disrupted by </w:t>
      </w:r>
      <w:proofErr w:type="spellStart"/>
      <w:r w:rsidRPr="00AE5C57">
        <w:t>LangChain</w:t>
      </w:r>
      <w:proofErr w:type="spellEnd"/>
      <w:r w:rsidRPr="00AE5C57">
        <w:t xml:space="preserve"> [13], which popularized “prompt chaining” to linearly chain LLM inferences with external data sources. But linear chains are structurally inadequate for true autonomous behaviour which requires cyclical, non-deterministic decision-making. </w:t>
      </w:r>
      <w:proofErr w:type="spellStart"/>
      <w:r w:rsidRPr="00AE5C57">
        <w:t>LangGraph</w:t>
      </w:r>
      <w:proofErr w:type="spellEnd"/>
      <w:r w:rsidRPr="00AE5C57">
        <w:t xml:space="preserve"> [14] solved this problem by proposing a graph-based cyclical management of states. </w:t>
      </w:r>
      <w:proofErr w:type="spellStart"/>
      <w:r w:rsidRPr="00AE5C57">
        <w:t>LangGraph</w:t>
      </w:r>
      <w:proofErr w:type="spellEnd"/>
      <w:r w:rsidRPr="00AE5C57">
        <w:t xml:space="preserve"> supports multi-step, iterative reasoning by </w:t>
      </w:r>
      <w:proofErr w:type="spellStart"/>
      <w:r w:rsidRPr="00AE5C57">
        <w:t>modeling</w:t>
      </w:r>
      <w:proofErr w:type="spellEnd"/>
      <w:r w:rsidRPr="00AE5C57">
        <w:t xml:space="preserve"> the agent’s workflow as a complex network of nodes and edges. A structured comparison of these frameworks is provided in Table </w:t>
      </w:r>
      <w:r w:rsidR="009C7314">
        <w:t>II</w:t>
      </w:r>
      <w:r>
        <w:t>.</w:t>
      </w:r>
    </w:p>
    <w:p w14:paraId="23B05685" w14:textId="5A8CBFD9" w:rsidR="003727B2" w:rsidRPr="005B520E" w:rsidRDefault="003727B2" w:rsidP="003727B2">
      <w:pPr>
        <w:pStyle w:val="tablehead"/>
      </w:pPr>
      <w:r>
        <w:t>Agentic Orchestration Frameworks Comparison</w:t>
      </w:r>
    </w:p>
    <w:tbl>
      <w:tblPr>
        <w:tblW w:w="259.2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131"/>
        <w:gridCol w:w="1134"/>
        <w:gridCol w:w="993"/>
        <w:gridCol w:w="992"/>
        <w:gridCol w:w="934"/>
      </w:tblGrid>
      <w:tr w:rsidR="00F50C0F" w14:paraId="2A77174C" w14:textId="7BA33A93" w:rsidTr="00507478">
        <w:trPr>
          <w:trHeight w:val="352"/>
          <w:tblHeader/>
          <w:jc w:val="center"/>
        </w:trPr>
        <w:tc>
          <w:tcPr>
            <w:tcW w:w="56.55pt" w:type="dxa"/>
            <w:vAlign w:val="center"/>
          </w:tcPr>
          <w:p w14:paraId="5E7446DC" w14:textId="703EB44D" w:rsidR="00F50C0F" w:rsidRPr="00F50C0F" w:rsidRDefault="00F50C0F" w:rsidP="00F50C0F">
            <w:pPr>
              <w:rPr>
                <w:sz w:val="16"/>
                <w:szCs w:val="16"/>
              </w:rPr>
            </w:pPr>
            <w:r w:rsidRPr="00F50C0F">
              <w:rPr>
                <w:b/>
                <w:bCs/>
                <w:sz w:val="16"/>
                <w:szCs w:val="16"/>
              </w:rPr>
              <w:t>Framework</w:t>
            </w:r>
          </w:p>
        </w:tc>
        <w:tc>
          <w:tcPr>
            <w:tcW w:w="56.70pt" w:type="dxa"/>
            <w:vAlign w:val="center"/>
          </w:tcPr>
          <w:p w14:paraId="2DCF477B" w14:textId="4F28EB10" w:rsidR="00F50C0F" w:rsidRPr="00F50C0F" w:rsidRDefault="00F50C0F" w:rsidP="00F50C0F">
            <w:pPr>
              <w:pStyle w:val="tablecolsubhead"/>
              <w:rPr>
                <w:i w:val="0"/>
                <w:iCs w:val="0"/>
                <w:sz w:val="16"/>
                <w:szCs w:val="16"/>
              </w:rPr>
            </w:pPr>
            <w:r w:rsidRPr="00F50C0F">
              <w:rPr>
                <w:i w:val="0"/>
                <w:iCs w:val="0"/>
                <w:sz w:val="16"/>
                <w:szCs w:val="16"/>
              </w:rPr>
              <w:t>Paradigm</w:t>
            </w:r>
          </w:p>
        </w:tc>
        <w:tc>
          <w:tcPr>
            <w:tcW w:w="49.65pt" w:type="dxa"/>
            <w:vAlign w:val="center"/>
          </w:tcPr>
          <w:p w14:paraId="03F60032" w14:textId="65AED292" w:rsidR="00F50C0F" w:rsidRPr="00F50C0F" w:rsidRDefault="00F50C0F" w:rsidP="00F50C0F">
            <w:pPr>
              <w:pStyle w:val="tablecolsubhead"/>
              <w:rPr>
                <w:i w:val="0"/>
                <w:iCs w:val="0"/>
                <w:sz w:val="16"/>
                <w:szCs w:val="16"/>
              </w:rPr>
            </w:pPr>
            <w:r w:rsidRPr="00F50C0F">
              <w:rPr>
                <w:i w:val="0"/>
                <w:iCs w:val="0"/>
                <w:sz w:val="16"/>
                <w:szCs w:val="16"/>
              </w:rPr>
              <w:t>Complexity</w:t>
            </w:r>
          </w:p>
        </w:tc>
        <w:tc>
          <w:tcPr>
            <w:tcW w:w="49.60pt" w:type="dxa"/>
            <w:vAlign w:val="center"/>
          </w:tcPr>
          <w:p w14:paraId="0F722EB9" w14:textId="34F12F2F" w:rsidR="00F50C0F" w:rsidRPr="00F50C0F" w:rsidRDefault="00F50C0F" w:rsidP="00F50C0F">
            <w:pPr>
              <w:pStyle w:val="tablecolsubhead"/>
              <w:rPr>
                <w:i w:val="0"/>
                <w:iCs w:val="0"/>
                <w:sz w:val="16"/>
                <w:szCs w:val="16"/>
              </w:rPr>
            </w:pPr>
            <w:proofErr w:type="spellStart"/>
            <w:r w:rsidRPr="00F50C0F">
              <w:rPr>
                <w:i w:val="0"/>
                <w:iCs w:val="0"/>
                <w:sz w:val="16"/>
                <w:szCs w:val="16"/>
              </w:rPr>
              <w:t>LangChain</w:t>
            </w:r>
            <w:proofErr w:type="spellEnd"/>
            <w:r w:rsidRPr="00F50C0F">
              <w:rPr>
                <w:i w:val="0"/>
                <w:iCs w:val="0"/>
                <w:sz w:val="16"/>
                <w:szCs w:val="16"/>
              </w:rPr>
              <w:t xml:space="preserve"> Compat.</w:t>
            </w:r>
          </w:p>
        </w:tc>
        <w:tc>
          <w:tcPr>
            <w:tcW w:w="46.70pt" w:type="dxa"/>
            <w:vAlign w:val="center"/>
          </w:tcPr>
          <w:p w14:paraId="400B0A05" w14:textId="23ABFE82" w:rsidR="00F50C0F" w:rsidRPr="00F50C0F" w:rsidRDefault="00F50C0F" w:rsidP="00F50C0F">
            <w:pPr>
              <w:pStyle w:val="tablecolsubhead"/>
              <w:rPr>
                <w:i w:val="0"/>
                <w:iCs w:val="0"/>
                <w:sz w:val="16"/>
                <w:szCs w:val="16"/>
              </w:rPr>
            </w:pPr>
            <w:r w:rsidRPr="00F50C0F">
              <w:rPr>
                <w:i w:val="0"/>
                <w:iCs w:val="0"/>
                <w:sz w:val="16"/>
                <w:szCs w:val="16"/>
              </w:rPr>
              <w:t>Ease of Use</w:t>
            </w:r>
          </w:p>
        </w:tc>
      </w:tr>
      <w:tr w:rsidR="00F50C0F" w14:paraId="3059DB3D" w14:textId="028C3BF6" w:rsidTr="00507478">
        <w:trPr>
          <w:trHeight w:val="470"/>
          <w:jc w:val="center"/>
        </w:trPr>
        <w:tc>
          <w:tcPr>
            <w:tcW w:w="56.55pt" w:type="dxa"/>
            <w:vAlign w:val="center"/>
          </w:tcPr>
          <w:p w14:paraId="35C578E8" w14:textId="3FAC5BFB" w:rsidR="00F50C0F" w:rsidRPr="00F50C0F" w:rsidRDefault="00F50C0F" w:rsidP="00F50C0F">
            <w:pPr>
              <w:pStyle w:val="tablecopy"/>
            </w:pPr>
            <w:r w:rsidRPr="00F50C0F">
              <w:t>LangChain</w:t>
            </w:r>
          </w:p>
        </w:tc>
        <w:tc>
          <w:tcPr>
            <w:tcW w:w="56.70pt" w:type="dxa"/>
            <w:vAlign w:val="center"/>
          </w:tcPr>
          <w:p w14:paraId="73BC1BE4" w14:textId="1A02E336" w:rsidR="00F50C0F" w:rsidRPr="00F50C0F" w:rsidRDefault="00F50C0F" w:rsidP="00F50C0F">
            <w:pPr>
              <w:pStyle w:val="tablecopy"/>
            </w:pPr>
            <w:r w:rsidRPr="00F50C0F">
              <w:t>Chain-based</w:t>
            </w:r>
          </w:p>
        </w:tc>
        <w:tc>
          <w:tcPr>
            <w:tcW w:w="49.65pt" w:type="dxa"/>
            <w:vAlign w:val="center"/>
          </w:tcPr>
          <w:p w14:paraId="12870233" w14:textId="7BD35067" w:rsidR="00F50C0F" w:rsidRPr="00F50C0F" w:rsidRDefault="00F50C0F" w:rsidP="00F50C0F">
            <w:pPr>
              <w:rPr>
                <w:sz w:val="16"/>
                <w:szCs w:val="16"/>
              </w:rPr>
            </w:pPr>
            <w:r w:rsidRPr="00F50C0F">
              <w:rPr>
                <w:sz w:val="16"/>
                <w:szCs w:val="16"/>
              </w:rPr>
              <w:t>Medium</w:t>
            </w:r>
          </w:p>
        </w:tc>
        <w:tc>
          <w:tcPr>
            <w:tcW w:w="49.60pt" w:type="dxa"/>
            <w:vAlign w:val="center"/>
          </w:tcPr>
          <w:p w14:paraId="606C287B" w14:textId="74C06BB0" w:rsidR="00F50C0F" w:rsidRPr="00F50C0F" w:rsidRDefault="00F50C0F" w:rsidP="00F50C0F">
            <w:pPr>
              <w:rPr>
                <w:sz w:val="16"/>
                <w:szCs w:val="16"/>
              </w:rPr>
            </w:pPr>
            <w:r w:rsidRPr="00F50C0F">
              <w:rPr>
                <w:sz w:val="16"/>
                <w:szCs w:val="16"/>
              </w:rPr>
              <w:t>Extensive</w:t>
            </w:r>
          </w:p>
        </w:tc>
        <w:tc>
          <w:tcPr>
            <w:tcW w:w="46.70pt" w:type="dxa"/>
            <w:vAlign w:val="center"/>
          </w:tcPr>
          <w:p w14:paraId="58E4ED2F" w14:textId="14F02AEA" w:rsidR="00F50C0F" w:rsidRPr="00F50C0F" w:rsidRDefault="00F50C0F" w:rsidP="00F50C0F">
            <w:pPr>
              <w:rPr>
                <w:sz w:val="16"/>
                <w:szCs w:val="16"/>
              </w:rPr>
            </w:pPr>
            <w:r w:rsidRPr="00F50C0F">
              <w:rPr>
                <w:sz w:val="16"/>
                <w:szCs w:val="16"/>
              </w:rPr>
              <w:t>High</w:t>
            </w:r>
          </w:p>
        </w:tc>
      </w:tr>
      <w:tr w:rsidR="00F50C0F" w14:paraId="40B35558" w14:textId="616C1358" w:rsidTr="00507478">
        <w:trPr>
          <w:trHeight w:val="470"/>
          <w:jc w:val="center"/>
        </w:trPr>
        <w:tc>
          <w:tcPr>
            <w:tcW w:w="56.55pt" w:type="dxa"/>
            <w:vAlign w:val="center"/>
          </w:tcPr>
          <w:p w14:paraId="2D717FF6" w14:textId="5CAAFCBE" w:rsidR="00F50C0F" w:rsidRPr="00F50C0F" w:rsidRDefault="00F50C0F" w:rsidP="00F50C0F">
            <w:pPr>
              <w:pStyle w:val="tablecopy"/>
            </w:pPr>
            <w:r w:rsidRPr="00F50C0F">
              <w:t>LangGraph</w:t>
            </w:r>
          </w:p>
        </w:tc>
        <w:tc>
          <w:tcPr>
            <w:tcW w:w="56.70pt" w:type="dxa"/>
            <w:vAlign w:val="center"/>
          </w:tcPr>
          <w:p w14:paraId="7646D3E9" w14:textId="26AEE588" w:rsidR="00F50C0F" w:rsidRPr="00F50C0F" w:rsidRDefault="00F50C0F" w:rsidP="00F50C0F">
            <w:pPr>
              <w:pStyle w:val="tablecopy"/>
            </w:pPr>
            <w:r w:rsidRPr="00F50C0F">
              <w:t>Graph/DAG</w:t>
            </w:r>
          </w:p>
        </w:tc>
        <w:tc>
          <w:tcPr>
            <w:tcW w:w="49.65pt" w:type="dxa"/>
            <w:vAlign w:val="center"/>
          </w:tcPr>
          <w:p w14:paraId="163C7FCB" w14:textId="1EA86A73" w:rsidR="00F50C0F" w:rsidRPr="00F50C0F" w:rsidRDefault="00F50C0F" w:rsidP="00F50C0F">
            <w:pPr>
              <w:rPr>
                <w:sz w:val="16"/>
                <w:szCs w:val="16"/>
              </w:rPr>
            </w:pPr>
            <w:r w:rsidRPr="00F50C0F">
              <w:rPr>
                <w:sz w:val="16"/>
                <w:szCs w:val="16"/>
              </w:rPr>
              <w:t>High</w:t>
            </w:r>
          </w:p>
        </w:tc>
        <w:tc>
          <w:tcPr>
            <w:tcW w:w="49.60pt" w:type="dxa"/>
            <w:vAlign w:val="center"/>
          </w:tcPr>
          <w:p w14:paraId="29FF42D3" w14:textId="3E0881AA" w:rsidR="00F50C0F" w:rsidRPr="00F50C0F" w:rsidRDefault="00F50C0F" w:rsidP="00F50C0F">
            <w:pPr>
              <w:rPr>
                <w:sz w:val="16"/>
                <w:szCs w:val="16"/>
              </w:rPr>
            </w:pPr>
            <w:r w:rsidRPr="00F50C0F">
              <w:rPr>
                <w:sz w:val="16"/>
                <w:szCs w:val="16"/>
              </w:rPr>
              <w:t>Extensive</w:t>
            </w:r>
          </w:p>
        </w:tc>
        <w:tc>
          <w:tcPr>
            <w:tcW w:w="46.70pt" w:type="dxa"/>
            <w:vAlign w:val="center"/>
          </w:tcPr>
          <w:p w14:paraId="0A2EFDB3" w14:textId="67631FF6" w:rsidR="00F50C0F" w:rsidRPr="00F50C0F" w:rsidRDefault="00F50C0F" w:rsidP="00F50C0F">
            <w:pPr>
              <w:rPr>
                <w:sz w:val="16"/>
                <w:szCs w:val="16"/>
              </w:rPr>
            </w:pPr>
            <w:r w:rsidRPr="00F50C0F">
              <w:rPr>
                <w:sz w:val="16"/>
                <w:szCs w:val="16"/>
              </w:rPr>
              <w:t>Medium</w:t>
            </w:r>
          </w:p>
        </w:tc>
      </w:tr>
      <w:tr w:rsidR="00F50C0F" w14:paraId="4ED79C3C" w14:textId="77777777" w:rsidTr="00507478">
        <w:trPr>
          <w:trHeight w:val="470"/>
          <w:jc w:val="center"/>
        </w:trPr>
        <w:tc>
          <w:tcPr>
            <w:tcW w:w="56.55pt" w:type="dxa"/>
            <w:vAlign w:val="center"/>
          </w:tcPr>
          <w:p w14:paraId="36DF0676" w14:textId="60CE0BF6" w:rsidR="00F50C0F" w:rsidRPr="00F50C0F" w:rsidRDefault="00F50C0F" w:rsidP="00F50C0F">
            <w:pPr>
              <w:pStyle w:val="tablecopy"/>
            </w:pPr>
            <w:r w:rsidRPr="00F50C0F">
              <w:t>Agno</w:t>
            </w:r>
          </w:p>
        </w:tc>
        <w:tc>
          <w:tcPr>
            <w:tcW w:w="56.70pt" w:type="dxa"/>
            <w:vAlign w:val="center"/>
          </w:tcPr>
          <w:p w14:paraId="2507AD1E" w14:textId="5BADD646" w:rsidR="00F50C0F" w:rsidRPr="00F50C0F" w:rsidRDefault="00F50C0F" w:rsidP="00F50C0F">
            <w:pPr>
              <w:pStyle w:val="tablecopy"/>
            </w:pPr>
            <w:r w:rsidRPr="00F50C0F">
              <w:t>Lightweight</w:t>
            </w:r>
          </w:p>
        </w:tc>
        <w:tc>
          <w:tcPr>
            <w:tcW w:w="49.65pt" w:type="dxa"/>
            <w:vAlign w:val="center"/>
          </w:tcPr>
          <w:p w14:paraId="32891FFB" w14:textId="37022993" w:rsidR="00F50C0F" w:rsidRPr="00F50C0F" w:rsidRDefault="00F50C0F" w:rsidP="00F50C0F">
            <w:pPr>
              <w:rPr>
                <w:sz w:val="16"/>
                <w:szCs w:val="16"/>
              </w:rPr>
            </w:pPr>
            <w:r w:rsidRPr="00F50C0F">
              <w:rPr>
                <w:sz w:val="16"/>
                <w:szCs w:val="16"/>
              </w:rPr>
              <w:t>Low</w:t>
            </w:r>
          </w:p>
        </w:tc>
        <w:tc>
          <w:tcPr>
            <w:tcW w:w="49.60pt" w:type="dxa"/>
            <w:vAlign w:val="center"/>
          </w:tcPr>
          <w:p w14:paraId="519CAFFB" w14:textId="6901C6B0" w:rsidR="00F50C0F" w:rsidRPr="00F50C0F" w:rsidRDefault="00F50C0F" w:rsidP="00F50C0F">
            <w:pPr>
              <w:rPr>
                <w:sz w:val="16"/>
                <w:szCs w:val="16"/>
              </w:rPr>
            </w:pPr>
            <w:r w:rsidRPr="00F50C0F">
              <w:rPr>
                <w:sz w:val="16"/>
                <w:szCs w:val="16"/>
              </w:rPr>
              <w:t>Moderate</w:t>
            </w:r>
          </w:p>
        </w:tc>
        <w:tc>
          <w:tcPr>
            <w:tcW w:w="46.70pt" w:type="dxa"/>
            <w:vAlign w:val="center"/>
          </w:tcPr>
          <w:p w14:paraId="03181B2F" w14:textId="0430496C" w:rsidR="00F50C0F" w:rsidRPr="00F50C0F" w:rsidRDefault="00F50C0F" w:rsidP="00F50C0F">
            <w:pPr>
              <w:rPr>
                <w:sz w:val="16"/>
                <w:szCs w:val="16"/>
              </w:rPr>
            </w:pPr>
            <w:r w:rsidRPr="00F50C0F">
              <w:rPr>
                <w:sz w:val="16"/>
                <w:szCs w:val="16"/>
              </w:rPr>
              <w:t>High</w:t>
            </w:r>
          </w:p>
        </w:tc>
      </w:tr>
      <w:tr w:rsidR="00F50C0F" w14:paraId="7C1E1B84" w14:textId="77777777" w:rsidTr="00507478">
        <w:trPr>
          <w:trHeight w:val="470"/>
          <w:jc w:val="center"/>
        </w:trPr>
        <w:tc>
          <w:tcPr>
            <w:tcW w:w="56.55pt" w:type="dxa"/>
            <w:vAlign w:val="center"/>
          </w:tcPr>
          <w:p w14:paraId="16E8CF93" w14:textId="4B7D74E6" w:rsidR="00F50C0F" w:rsidRPr="00F50C0F" w:rsidRDefault="00F50C0F" w:rsidP="00F50C0F">
            <w:pPr>
              <w:pStyle w:val="tablecopy"/>
            </w:pPr>
            <w:r w:rsidRPr="00F50C0F">
              <w:t>AutoGen</w:t>
            </w:r>
          </w:p>
        </w:tc>
        <w:tc>
          <w:tcPr>
            <w:tcW w:w="56.70pt" w:type="dxa"/>
            <w:vAlign w:val="center"/>
          </w:tcPr>
          <w:p w14:paraId="7C6FEE2D" w14:textId="26FA6C08" w:rsidR="00F50C0F" w:rsidRPr="00F50C0F" w:rsidRDefault="00F50C0F" w:rsidP="00F50C0F">
            <w:pPr>
              <w:pStyle w:val="tablecopy"/>
            </w:pPr>
            <w:r w:rsidRPr="00F50C0F">
              <w:t>Multi-Agent</w:t>
            </w:r>
          </w:p>
        </w:tc>
        <w:tc>
          <w:tcPr>
            <w:tcW w:w="49.65pt" w:type="dxa"/>
            <w:vAlign w:val="center"/>
          </w:tcPr>
          <w:p w14:paraId="6D1121E4" w14:textId="700F2587" w:rsidR="00F50C0F" w:rsidRPr="00F50C0F" w:rsidRDefault="00F50C0F" w:rsidP="00F50C0F">
            <w:pPr>
              <w:rPr>
                <w:sz w:val="16"/>
                <w:szCs w:val="16"/>
              </w:rPr>
            </w:pPr>
            <w:r w:rsidRPr="00F50C0F">
              <w:rPr>
                <w:sz w:val="16"/>
                <w:szCs w:val="16"/>
              </w:rPr>
              <w:t>Very High</w:t>
            </w:r>
          </w:p>
        </w:tc>
        <w:tc>
          <w:tcPr>
            <w:tcW w:w="49.60pt" w:type="dxa"/>
            <w:vAlign w:val="center"/>
          </w:tcPr>
          <w:p w14:paraId="454E173F" w14:textId="101F95D8" w:rsidR="00F50C0F" w:rsidRPr="00F50C0F" w:rsidRDefault="00F50C0F" w:rsidP="00F50C0F">
            <w:pPr>
              <w:rPr>
                <w:sz w:val="16"/>
                <w:szCs w:val="16"/>
              </w:rPr>
            </w:pPr>
            <w:r w:rsidRPr="00F50C0F">
              <w:rPr>
                <w:sz w:val="16"/>
                <w:szCs w:val="16"/>
              </w:rPr>
              <w:t>Moderate</w:t>
            </w:r>
          </w:p>
        </w:tc>
        <w:tc>
          <w:tcPr>
            <w:tcW w:w="46.70pt" w:type="dxa"/>
            <w:vAlign w:val="center"/>
          </w:tcPr>
          <w:p w14:paraId="5FDEA99F" w14:textId="26C4453B" w:rsidR="00F50C0F" w:rsidRPr="00F50C0F" w:rsidRDefault="00F50C0F" w:rsidP="00F50C0F">
            <w:pPr>
              <w:rPr>
                <w:sz w:val="16"/>
                <w:szCs w:val="16"/>
              </w:rPr>
            </w:pPr>
            <w:r w:rsidRPr="00F50C0F">
              <w:rPr>
                <w:sz w:val="16"/>
                <w:szCs w:val="16"/>
              </w:rPr>
              <w:t>Medium</w:t>
            </w:r>
          </w:p>
        </w:tc>
      </w:tr>
      <w:tr w:rsidR="00F50C0F" w14:paraId="4776E1F1" w14:textId="77777777" w:rsidTr="00507478">
        <w:trPr>
          <w:trHeight w:val="470"/>
          <w:jc w:val="center"/>
        </w:trPr>
        <w:tc>
          <w:tcPr>
            <w:tcW w:w="56.55pt" w:type="dxa"/>
            <w:vAlign w:val="center"/>
          </w:tcPr>
          <w:p w14:paraId="73DA588F" w14:textId="4B8D1AF7" w:rsidR="00F50C0F" w:rsidRPr="00F50C0F" w:rsidRDefault="00F50C0F" w:rsidP="00F50C0F">
            <w:pPr>
              <w:pStyle w:val="tablecopy"/>
            </w:pPr>
            <w:r w:rsidRPr="00F50C0F">
              <w:t>CrewAI</w:t>
            </w:r>
          </w:p>
        </w:tc>
        <w:tc>
          <w:tcPr>
            <w:tcW w:w="56.70pt" w:type="dxa"/>
            <w:vAlign w:val="center"/>
          </w:tcPr>
          <w:p w14:paraId="1A845B37" w14:textId="7F5042E8" w:rsidR="00F50C0F" w:rsidRPr="00F50C0F" w:rsidRDefault="00F50C0F" w:rsidP="00F50C0F">
            <w:pPr>
              <w:pStyle w:val="tablecopy"/>
            </w:pPr>
            <w:r w:rsidRPr="00F50C0F">
              <w:t>Role-based</w:t>
            </w:r>
          </w:p>
        </w:tc>
        <w:tc>
          <w:tcPr>
            <w:tcW w:w="49.65pt" w:type="dxa"/>
            <w:vAlign w:val="center"/>
          </w:tcPr>
          <w:p w14:paraId="62AC0ACB" w14:textId="4523B292" w:rsidR="00F50C0F" w:rsidRPr="00F50C0F" w:rsidRDefault="00F50C0F" w:rsidP="00F50C0F">
            <w:pPr>
              <w:rPr>
                <w:sz w:val="16"/>
                <w:szCs w:val="16"/>
              </w:rPr>
            </w:pPr>
            <w:r w:rsidRPr="00F50C0F">
              <w:rPr>
                <w:sz w:val="16"/>
                <w:szCs w:val="16"/>
              </w:rPr>
              <w:t>Medium</w:t>
            </w:r>
          </w:p>
        </w:tc>
        <w:tc>
          <w:tcPr>
            <w:tcW w:w="49.60pt" w:type="dxa"/>
            <w:vAlign w:val="center"/>
          </w:tcPr>
          <w:p w14:paraId="7D270853" w14:textId="05866149" w:rsidR="00F50C0F" w:rsidRPr="00F50C0F" w:rsidRDefault="00F50C0F" w:rsidP="00F50C0F">
            <w:pPr>
              <w:rPr>
                <w:sz w:val="16"/>
                <w:szCs w:val="16"/>
              </w:rPr>
            </w:pPr>
            <w:r w:rsidRPr="00F50C0F">
              <w:rPr>
                <w:sz w:val="16"/>
                <w:szCs w:val="16"/>
              </w:rPr>
              <w:t>Moderate</w:t>
            </w:r>
          </w:p>
        </w:tc>
        <w:tc>
          <w:tcPr>
            <w:tcW w:w="46.70pt" w:type="dxa"/>
            <w:vAlign w:val="center"/>
          </w:tcPr>
          <w:p w14:paraId="5D775EA6" w14:textId="0F4EE39F" w:rsidR="00F50C0F" w:rsidRPr="00F50C0F" w:rsidRDefault="00F50C0F" w:rsidP="00F50C0F">
            <w:pPr>
              <w:rPr>
                <w:sz w:val="16"/>
                <w:szCs w:val="16"/>
              </w:rPr>
            </w:pPr>
            <w:r w:rsidRPr="00F50C0F">
              <w:rPr>
                <w:sz w:val="16"/>
                <w:szCs w:val="16"/>
              </w:rPr>
              <w:t>High</w:t>
            </w:r>
          </w:p>
        </w:tc>
      </w:tr>
    </w:tbl>
    <w:p w14:paraId="306239F1" w14:textId="77777777" w:rsidR="00BA0664" w:rsidRDefault="00F50C0F" w:rsidP="00F50C0F">
      <w:pPr>
        <w:pStyle w:val="BodyText"/>
      </w:pPr>
      <w:r>
        <w:tab/>
      </w:r>
    </w:p>
    <w:p w14:paraId="23116B16" w14:textId="0BED79B1" w:rsidR="00BC1276" w:rsidRPr="005B520E" w:rsidRDefault="00F50C0F" w:rsidP="00F50C0F">
      <w:pPr>
        <w:pStyle w:val="BodyText"/>
      </w:pPr>
      <w:r w:rsidRPr="00AE5C57">
        <w:t xml:space="preserve">A thorough examination of these frameworks reveals a significant architectural void. </w:t>
      </w:r>
      <w:proofErr w:type="spellStart"/>
      <w:r w:rsidRPr="00AE5C57">
        <w:t>LangChain</w:t>
      </w:r>
      <w:proofErr w:type="spellEnd"/>
      <w:r w:rsidRPr="00AE5C57">
        <w:t xml:space="preserve"> and Agno provide the building blocks to create the structure of autonomous agents, but they do not inherently know about external models. Developers are still required to write custom integration code manually, define rigid </w:t>
      </w:r>
      <w:proofErr w:type="spellStart"/>
      <w:r w:rsidRPr="00AE5C57">
        <w:t>Pydantic</w:t>
      </w:r>
      <w:proofErr w:type="spellEnd"/>
      <w:r w:rsidRPr="00AE5C57">
        <w:t xml:space="preserve"> schemas [15], and create bespoke tool definitions for each specific predictive model they want to integrate. Th</w:t>
      </w:r>
      <w:r>
        <w:t>is project</w:t>
      </w:r>
      <w:r w:rsidRPr="00AE5C57">
        <w:t xml:space="preserve"> is a natural evolution of </w:t>
      </w:r>
      <w:r w:rsidRPr="00AE5C57">
        <w:t>these existing orchestration frameworks to develop a new, automated integration layer that systematically eliminates this manual coding bottleneck.</w:t>
      </w:r>
    </w:p>
    <w:p w14:paraId="17F150FC" w14:textId="6C8FC845" w:rsidR="009303D9" w:rsidRDefault="00F50C0F" w:rsidP="006B6B66">
      <w:pPr>
        <w:pStyle w:val="Heading1"/>
      </w:pPr>
      <w:r>
        <w:t>Proposed Methodology</w:t>
      </w:r>
    </w:p>
    <w:p w14:paraId="22217789" w14:textId="2BD18BF8" w:rsidR="009303D9" w:rsidRDefault="00F50C0F" w:rsidP="00ED0149">
      <w:pPr>
        <w:pStyle w:val="Heading2"/>
      </w:pPr>
      <w:r>
        <w:t>System Architecture</w:t>
      </w:r>
    </w:p>
    <w:p w14:paraId="1968FA31" w14:textId="55C79EA2" w:rsidR="00F50C0F" w:rsidRDefault="003C59F8" w:rsidP="00F50C0F">
      <w:pPr>
        <w:pStyle w:val="BodyText"/>
      </w:pPr>
      <w:r>
        <w:t>This paper</w:t>
      </w:r>
      <w:r w:rsidR="00F50C0F" w:rsidRPr="00CC1AF5">
        <w:t xml:space="preserve"> propose a “Modular-Agent” framework which is structured as a highly modular, three-stage operational pipeline, with the explicit intention to fundamentally disentangle deterministic predictive logic from semantic cognitive orchestration. Modular-Agent framework operationally addresses this risk by imposing a strict layer of abstraction, based on the software engineering principle of separation of concerns. The mathematical model and the natural language processor run in fully isolated execution environments that communicate only via strictly typed and validated JSON data payloads.</w:t>
      </w:r>
    </w:p>
    <w:p w14:paraId="78F3884D" w14:textId="61D31797" w:rsidR="009303D9" w:rsidRDefault="00F50C0F" w:rsidP="00F50C0F">
      <w:pPr>
        <w:pStyle w:val="BodyText"/>
      </w:pPr>
      <w:r w:rsidRPr="00CC1AF5">
        <w:t>A key design constraint of this architecture is that it is completely LLM-agnostic. The generative AI landscape is moving too fast and too chaotically for an enterprise clinical system to be inextricably tied to a single foundation model provider without introducing unacceptable architectural fragility. The framework employs unified API interfaces and standardised function-calling protocols so that the central reasoning engine can be dynamically hot-swapped without breaking the connection to the underlying predictive tool</w:t>
      </w:r>
      <w:r>
        <w:t>.</w:t>
      </w:r>
      <w:r w:rsidR="009C7314">
        <w:t xml:space="preserve"> </w:t>
      </w:r>
      <w:r w:rsidR="009C7314" w:rsidRPr="009C7314">
        <w:rPr>
          <w:lang w:val="en-US"/>
        </w:rPr>
        <w:t>An overview of the Modular-Agent architecture, detailing the three-stage operational pipeline from model ingestion to cloud deployment, is illustrated in Fig 1</w:t>
      </w:r>
    </w:p>
    <w:p w14:paraId="22144205" w14:textId="66CAB895" w:rsidR="0025495C" w:rsidRDefault="0025495C" w:rsidP="0025495C">
      <w:pPr>
        <w:pStyle w:val="BodyText"/>
        <w:ind w:firstLine="0pt"/>
      </w:pPr>
      <w:r>
        <w:rPr>
          <w:noProof/>
        </w:rPr>
        <w:drawing>
          <wp:inline distT="0" distB="0" distL="0" distR="0" wp14:anchorId="0A181FBF" wp14:editId="4ABF52BF">
            <wp:extent cx="3089910" cy="1685290"/>
            <wp:effectExtent l="0" t="0" r="0" b="0"/>
            <wp:docPr id="904390398"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04390398" name="Picture 90439039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9910" cy="1685290"/>
                    </a:xfrm>
                    <a:prstGeom prst="rect">
                      <a:avLst/>
                    </a:prstGeom>
                  </pic:spPr>
                </pic:pic>
              </a:graphicData>
            </a:graphic>
          </wp:inline>
        </w:drawing>
      </w:r>
    </w:p>
    <w:p w14:paraId="29F5836A" w14:textId="31704278" w:rsidR="0025495C" w:rsidRPr="009C7314" w:rsidRDefault="009C7314" w:rsidP="0025495C">
      <w:pPr>
        <w:pStyle w:val="BodyText"/>
        <w:ind w:firstLine="0pt"/>
        <w:rPr>
          <w:sz w:val="16"/>
          <w:szCs w:val="16"/>
        </w:rPr>
      </w:pPr>
      <w:r w:rsidRPr="009C7314">
        <w:rPr>
          <w:sz w:val="16"/>
          <w:szCs w:val="16"/>
        </w:rPr>
        <w:t>Fig. 1.</w:t>
      </w:r>
      <w:r w:rsidRPr="009C7314">
        <w:rPr>
          <w:sz w:val="16"/>
          <w:szCs w:val="16"/>
        </w:rPr>
        <w:tab/>
        <w:t>Architecture Diagram</w:t>
      </w:r>
    </w:p>
    <w:p w14:paraId="31C0E164" w14:textId="5F37F1EE" w:rsidR="009303D9" w:rsidRDefault="00F50C0F" w:rsidP="00F50C0F">
      <w:pPr>
        <w:pStyle w:val="Heading2"/>
      </w:pPr>
      <w:r>
        <w:t>Stage 1: Ingesting the Isolated Model</w:t>
      </w:r>
    </w:p>
    <w:p w14:paraId="539460DC" w14:textId="7E3ED05F" w:rsidR="009303D9" w:rsidRPr="005B520E" w:rsidRDefault="00F50C0F" w:rsidP="00F50C0F">
      <w:pPr>
        <w:pStyle w:val="BodyText"/>
      </w:pPr>
      <w:r>
        <w:t>The initial phase focuses on system ingestion and schema formalisation. The framework accepts an existing AI model in various formats, from active RESTful API endpoints (e.g., AWS SageMaker) to raw localised weight files (such as .h5 or .</w:t>
      </w:r>
      <w:proofErr w:type="spellStart"/>
      <w:r>
        <w:t>keras</w:t>
      </w:r>
      <w:proofErr w:type="spellEnd"/>
      <w:r>
        <w:t xml:space="preserve"> files). Upon ingestion, an automated schema parser maps the strict input and output dimensions of the predictive model. The framework autonomously generates a localised Python wrapper using strict data validation libraries (such as </w:t>
      </w:r>
      <w:proofErr w:type="spellStart"/>
      <w:r>
        <w:t>Pydantic</w:t>
      </w:r>
      <w:proofErr w:type="spellEnd"/>
      <w:r>
        <w:t>) to enforce type safety, and programmatically generates a formal @tool decorator translating the raw mathematical requirements into a semantic docstring manifest that is conceptually understandable to the downstream language model.</w:t>
      </w:r>
    </w:p>
    <w:p w14:paraId="7E54C8D6" w14:textId="04DA615E" w:rsidR="009303D9" w:rsidRPr="005B520E" w:rsidRDefault="00F50C0F" w:rsidP="00F50C0F">
      <w:pPr>
        <w:pStyle w:val="Heading2"/>
      </w:pPr>
      <w:r>
        <w:t>Stage 2: Building the Cognitive Brain</w:t>
      </w:r>
    </w:p>
    <w:p w14:paraId="68B32B7E" w14:textId="77777777" w:rsidR="00F50C0F" w:rsidRDefault="00F50C0F" w:rsidP="00F50C0F">
      <w:pPr>
        <w:pStyle w:val="BodyText"/>
      </w:pPr>
      <w:r>
        <w:t xml:space="preserve">Once the schema of the predictive tool is successfully formalised, the framework automatically writes the required integration code to initialise a basic LLM using graph-based state management frameworks like </w:t>
      </w:r>
      <w:proofErr w:type="spellStart"/>
      <w:r>
        <w:t>LangChain</w:t>
      </w:r>
      <w:proofErr w:type="spellEnd"/>
      <w:r>
        <w:t xml:space="preserve"> and </w:t>
      </w:r>
      <w:proofErr w:type="spellStart"/>
      <w:r>
        <w:lastRenderedPageBreak/>
        <w:t>LangGraph</w:t>
      </w:r>
      <w:proofErr w:type="spellEnd"/>
      <w:r>
        <w:t>. This approach fundamentally changes the static model with a cyclical "Reasoning and Acting" (</w:t>
      </w:r>
      <w:proofErr w:type="spellStart"/>
      <w:r>
        <w:t>ReAct</w:t>
      </w:r>
      <w:proofErr w:type="spellEnd"/>
      <w:r>
        <w:t xml:space="preserve">) logic loop. The </w:t>
      </w:r>
      <w:proofErr w:type="spellStart"/>
      <w:r>
        <w:t>ReAct</w:t>
      </w:r>
      <w:proofErr w:type="spellEnd"/>
      <w:r>
        <w:t xml:space="preserve"> loop consists of four sequential cognitive states: Think, Act, Observe and Synthesise .</w:t>
      </w:r>
    </w:p>
    <w:p w14:paraId="0EEED555" w14:textId="7EB5B63E" w:rsidR="009303D9" w:rsidRDefault="00F50C0F" w:rsidP="00F50C0F">
      <w:pPr>
        <w:pStyle w:val="BodyText"/>
      </w:pPr>
      <w:r>
        <w:t xml:space="preserve">The framework injects a standardised memory module, usually a rolling conversational buffer or a structured state-dictionary, endowing the isolated model with a “cognitive </w:t>
      </w:r>
      <w:proofErr w:type="spellStart"/>
      <w:r>
        <w:t>brain.The</w:t>
      </w:r>
      <w:proofErr w:type="spellEnd"/>
      <w:r>
        <w:t xml:space="preserve"> resulting autonomous entity can understand subtle natural language commands, logically route requests to figure out if and when to trigger the predictive tool, and synthesize raw mathematical probabilities into professional human readable formats.</w:t>
      </w:r>
    </w:p>
    <w:p w14:paraId="7B7ADA1E" w14:textId="01636CEA" w:rsidR="009303D9" w:rsidRDefault="00F50C0F" w:rsidP="00ED0149">
      <w:pPr>
        <w:pStyle w:val="Heading2"/>
      </w:pPr>
      <w:r>
        <w:t>Stage 3: Cloud Deployment Strategy</w:t>
      </w:r>
    </w:p>
    <w:p w14:paraId="75446D9B" w14:textId="1E2F5F8E" w:rsidR="009303D9" w:rsidRDefault="00F50C0F" w:rsidP="00E7596C">
      <w:pPr>
        <w:pStyle w:val="BodyText"/>
      </w:pPr>
      <w:r w:rsidRPr="007044C5">
        <w:t xml:space="preserve">The last phase is about strong packaging and scalability. The system programmatically generates highly optimised multi-stage </w:t>
      </w:r>
      <w:proofErr w:type="spellStart"/>
      <w:r w:rsidRPr="007044C5">
        <w:t>Dockerfiles</w:t>
      </w:r>
      <w:proofErr w:type="spellEnd"/>
      <w:r w:rsidRPr="007044C5">
        <w:t xml:space="preserve"> to containerise the environment, ensuring parity between the local development and production servers. Additionally, the framework automatically produces Infrastructure-as-Code (</w:t>
      </w:r>
      <w:proofErr w:type="spellStart"/>
      <w:r w:rsidRPr="007044C5">
        <w:t>IaC</w:t>
      </w:r>
      <w:proofErr w:type="spellEnd"/>
      <w:r w:rsidRPr="007044C5">
        <w:t xml:space="preserve">) scripts (e.g., Terraform configurations or Kubernetes manifests) tailored for deployment on hyperscale cloud environments [16][17][18]. Table </w:t>
      </w:r>
      <w:r w:rsidR="009C7314">
        <w:t>III</w:t>
      </w:r>
      <w:r w:rsidRPr="007044C5">
        <w:t xml:space="preserve"> </w:t>
      </w:r>
      <w:r w:rsidR="009C7314">
        <w:t>represents</w:t>
      </w:r>
      <w:r w:rsidRPr="007044C5">
        <w:t xml:space="preserve"> cloud deployment platforms comparison</w:t>
      </w:r>
      <w:r w:rsidR="009303D9" w:rsidRPr="005B520E">
        <w:t>.</w:t>
      </w:r>
    </w:p>
    <w:p w14:paraId="05846106" w14:textId="63020AEB" w:rsidR="00F50C0F" w:rsidRPr="005B520E" w:rsidRDefault="00F50C0F" w:rsidP="00F50C0F">
      <w:pPr>
        <w:pStyle w:val="tablehead"/>
      </w:pPr>
      <w:r>
        <w:t>Cloud Deployment Platform Comparison</w:t>
      </w:r>
    </w:p>
    <w:tbl>
      <w:tblPr>
        <w:tblW w:w="243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840"/>
        <w:gridCol w:w="1134"/>
        <w:gridCol w:w="851"/>
        <w:gridCol w:w="1035"/>
      </w:tblGrid>
      <w:tr w:rsidR="00F50C0F" w14:paraId="5E17BF8C" w14:textId="77777777" w:rsidTr="00507478">
        <w:trPr>
          <w:trHeight w:val="240"/>
          <w:tblHeader/>
          <w:jc w:val="center"/>
        </w:trPr>
        <w:tc>
          <w:tcPr>
            <w:tcW w:w="92pt" w:type="dxa"/>
            <w:vAlign w:val="center"/>
          </w:tcPr>
          <w:p w14:paraId="0DD6FEBF" w14:textId="7A1B260E" w:rsidR="00F50C0F" w:rsidRPr="00F50C0F" w:rsidRDefault="00F50C0F" w:rsidP="00F50C0F">
            <w:pPr>
              <w:rPr>
                <w:sz w:val="16"/>
                <w:szCs w:val="16"/>
              </w:rPr>
            </w:pPr>
            <w:r w:rsidRPr="00F50C0F">
              <w:rPr>
                <w:b/>
                <w:bCs/>
                <w:sz w:val="16"/>
                <w:szCs w:val="16"/>
              </w:rPr>
              <w:t>Platform</w:t>
            </w:r>
          </w:p>
        </w:tc>
        <w:tc>
          <w:tcPr>
            <w:tcW w:w="56.70pt" w:type="dxa"/>
            <w:vAlign w:val="center"/>
          </w:tcPr>
          <w:p w14:paraId="0BF7A48E" w14:textId="7027A4F5" w:rsidR="00F50C0F" w:rsidRPr="00F50C0F" w:rsidRDefault="00F50C0F" w:rsidP="00F50C0F">
            <w:pPr>
              <w:pStyle w:val="tablecolsubhead"/>
              <w:rPr>
                <w:i w:val="0"/>
                <w:iCs w:val="0"/>
                <w:sz w:val="16"/>
                <w:szCs w:val="16"/>
              </w:rPr>
            </w:pPr>
            <w:r w:rsidRPr="00F50C0F">
              <w:rPr>
                <w:i w:val="0"/>
                <w:iCs w:val="0"/>
                <w:sz w:val="16"/>
                <w:szCs w:val="16"/>
              </w:rPr>
              <w:t>Runtime</w:t>
            </w:r>
          </w:p>
        </w:tc>
        <w:tc>
          <w:tcPr>
            <w:tcW w:w="42.55pt" w:type="dxa"/>
            <w:vAlign w:val="center"/>
          </w:tcPr>
          <w:p w14:paraId="367093C8" w14:textId="0A03DEB7" w:rsidR="00F50C0F" w:rsidRPr="00F50C0F" w:rsidRDefault="00F50C0F" w:rsidP="00F50C0F">
            <w:pPr>
              <w:pStyle w:val="tablecolsubhead"/>
              <w:rPr>
                <w:i w:val="0"/>
                <w:iCs w:val="0"/>
                <w:sz w:val="16"/>
                <w:szCs w:val="16"/>
              </w:rPr>
            </w:pPr>
            <w:r w:rsidRPr="00F50C0F">
              <w:rPr>
                <w:i w:val="0"/>
                <w:iCs w:val="0"/>
                <w:sz w:val="16"/>
                <w:szCs w:val="16"/>
              </w:rPr>
              <w:t>Registry</w:t>
            </w:r>
          </w:p>
        </w:tc>
        <w:tc>
          <w:tcPr>
            <w:tcW w:w="51.75pt" w:type="dxa"/>
            <w:vAlign w:val="center"/>
          </w:tcPr>
          <w:p w14:paraId="17E24257" w14:textId="4767F883" w:rsidR="00F50C0F" w:rsidRPr="00F50C0F" w:rsidRDefault="00F50C0F" w:rsidP="00F50C0F">
            <w:pPr>
              <w:pStyle w:val="tablecolsubhead"/>
              <w:rPr>
                <w:i w:val="0"/>
                <w:iCs w:val="0"/>
                <w:sz w:val="16"/>
                <w:szCs w:val="16"/>
              </w:rPr>
            </w:pPr>
            <w:r w:rsidRPr="00F50C0F">
              <w:rPr>
                <w:i w:val="0"/>
                <w:iCs w:val="0"/>
                <w:sz w:val="16"/>
                <w:szCs w:val="16"/>
              </w:rPr>
              <w:t>Scaling</w:t>
            </w:r>
          </w:p>
        </w:tc>
      </w:tr>
      <w:tr w:rsidR="00F50C0F" w14:paraId="1E2D67E0" w14:textId="77777777" w:rsidTr="00507478">
        <w:trPr>
          <w:trHeight w:val="320"/>
          <w:jc w:val="center"/>
        </w:trPr>
        <w:tc>
          <w:tcPr>
            <w:tcW w:w="92pt" w:type="dxa"/>
            <w:vAlign w:val="center"/>
          </w:tcPr>
          <w:p w14:paraId="501C43B0" w14:textId="23055336" w:rsidR="00F50C0F" w:rsidRPr="00507478" w:rsidRDefault="00F50C0F" w:rsidP="00F50C0F">
            <w:pPr>
              <w:pStyle w:val="tablecopy"/>
            </w:pPr>
            <w:r w:rsidRPr="00507478">
              <w:t>AWS ECS/AppRunner</w:t>
            </w:r>
          </w:p>
        </w:tc>
        <w:tc>
          <w:tcPr>
            <w:tcW w:w="56.70pt" w:type="dxa"/>
            <w:vAlign w:val="center"/>
          </w:tcPr>
          <w:p w14:paraId="675D8B01" w14:textId="66DB5ED9" w:rsidR="00F50C0F" w:rsidRPr="00507478" w:rsidRDefault="00F50C0F" w:rsidP="00F50C0F">
            <w:pPr>
              <w:pStyle w:val="tablecopy"/>
            </w:pPr>
            <w:r w:rsidRPr="00507478">
              <w:t>Fargate (serverless)</w:t>
            </w:r>
          </w:p>
        </w:tc>
        <w:tc>
          <w:tcPr>
            <w:tcW w:w="42.55pt" w:type="dxa"/>
            <w:vAlign w:val="center"/>
          </w:tcPr>
          <w:p w14:paraId="0AAA9DED" w14:textId="08D29875" w:rsidR="00F50C0F" w:rsidRPr="00507478" w:rsidRDefault="00F50C0F" w:rsidP="00F50C0F">
            <w:pPr>
              <w:rPr>
                <w:sz w:val="16"/>
                <w:szCs w:val="16"/>
              </w:rPr>
            </w:pPr>
            <w:r w:rsidRPr="00507478">
              <w:rPr>
                <w:sz w:val="16"/>
                <w:szCs w:val="16"/>
              </w:rPr>
              <w:t>ECR</w:t>
            </w:r>
          </w:p>
        </w:tc>
        <w:tc>
          <w:tcPr>
            <w:tcW w:w="51.75pt" w:type="dxa"/>
            <w:vAlign w:val="center"/>
          </w:tcPr>
          <w:p w14:paraId="4E794A8A" w14:textId="122F6A04" w:rsidR="00F50C0F" w:rsidRPr="00507478" w:rsidRDefault="00F50C0F" w:rsidP="00F50C0F">
            <w:pPr>
              <w:rPr>
                <w:sz w:val="16"/>
                <w:szCs w:val="16"/>
              </w:rPr>
            </w:pPr>
            <w:r w:rsidRPr="00507478">
              <w:rPr>
                <w:sz w:val="16"/>
                <w:szCs w:val="16"/>
              </w:rPr>
              <w:t>ALB + Auto Scaling</w:t>
            </w:r>
          </w:p>
        </w:tc>
      </w:tr>
      <w:tr w:rsidR="00F50C0F" w14:paraId="58E29EC9" w14:textId="77777777" w:rsidTr="00507478">
        <w:trPr>
          <w:trHeight w:val="320"/>
          <w:jc w:val="center"/>
        </w:trPr>
        <w:tc>
          <w:tcPr>
            <w:tcW w:w="92pt" w:type="dxa"/>
            <w:vAlign w:val="center"/>
          </w:tcPr>
          <w:p w14:paraId="5147BDBB" w14:textId="4002E70E" w:rsidR="00F50C0F" w:rsidRPr="00507478" w:rsidRDefault="00F50C0F" w:rsidP="00F50C0F">
            <w:pPr>
              <w:pStyle w:val="tablecopy"/>
            </w:pPr>
            <w:r w:rsidRPr="00507478">
              <w:t>GCP Cloud Run</w:t>
            </w:r>
          </w:p>
        </w:tc>
        <w:tc>
          <w:tcPr>
            <w:tcW w:w="56.70pt" w:type="dxa"/>
            <w:vAlign w:val="center"/>
          </w:tcPr>
          <w:p w14:paraId="48469164" w14:textId="4A66E87D" w:rsidR="00F50C0F" w:rsidRPr="00507478" w:rsidRDefault="00F50C0F" w:rsidP="00F50C0F">
            <w:pPr>
              <w:pStyle w:val="tablecopy"/>
            </w:pPr>
            <w:r w:rsidRPr="00507478">
              <w:t>Knative (serverless)</w:t>
            </w:r>
          </w:p>
        </w:tc>
        <w:tc>
          <w:tcPr>
            <w:tcW w:w="42.55pt" w:type="dxa"/>
            <w:vAlign w:val="center"/>
          </w:tcPr>
          <w:p w14:paraId="564476BA" w14:textId="68F1EC88" w:rsidR="00F50C0F" w:rsidRPr="00507478" w:rsidRDefault="00F50C0F" w:rsidP="00F50C0F">
            <w:pPr>
              <w:rPr>
                <w:sz w:val="16"/>
                <w:szCs w:val="16"/>
              </w:rPr>
            </w:pPr>
            <w:r w:rsidRPr="00507478">
              <w:rPr>
                <w:sz w:val="16"/>
                <w:szCs w:val="16"/>
              </w:rPr>
              <w:t>Artifact Reg.</w:t>
            </w:r>
          </w:p>
        </w:tc>
        <w:tc>
          <w:tcPr>
            <w:tcW w:w="51.75pt" w:type="dxa"/>
            <w:vAlign w:val="center"/>
          </w:tcPr>
          <w:p w14:paraId="1B8BAFC3" w14:textId="240C178B" w:rsidR="00F50C0F" w:rsidRPr="00507478" w:rsidRDefault="00F50C0F" w:rsidP="00F50C0F">
            <w:pPr>
              <w:rPr>
                <w:sz w:val="16"/>
                <w:szCs w:val="16"/>
              </w:rPr>
            </w:pPr>
            <w:r w:rsidRPr="00507478">
              <w:rPr>
                <w:sz w:val="16"/>
                <w:szCs w:val="16"/>
              </w:rPr>
              <w:t>Global LB</w:t>
            </w:r>
          </w:p>
        </w:tc>
      </w:tr>
      <w:tr w:rsidR="00F50C0F" w14:paraId="63251A5C" w14:textId="77777777" w:rsidTr="00507478">
        <w:trPr>
          <w:trHeight w:val="320"/>
          <w:jc w:val="center"/>
        </w:trPr>
        <w:tc>
          <w:tcPr>
            <w:tcW w:w="92pt" w:type="dxa"/>
            <w:vAlign w:val="center"/>
          </w:tcPr>
          <w:p w14:paraId="5E5F13B2" w14:textId="7EEFE5D1" w:rsidR="00F50C0F" w:rsidRPr="00507478" w:rsidRDefault="00F50C0F" w:rsidP="00F50C0F">
            <w:pPr>
              <w:pStyle w:val="tablecopy"/>
            </w:pPr>
            <w:r w:rsidRPr="00507478">
              <w:t>Azure Container Apps</w:t>
            </w:r>
          </w:p>
        </w:tc>
        <w:tc>
          <w:tcPr>
            <w:tcW w:w="56.70pt" w:type="dxa"/>
            <w:vAlign w:val="center"/>
          </w:tcPr>
          <w:p w14:paraId="00838808" w14:textId="54507737" w:rsidR="00F50C0F" w:rsidRPr="00507478" w:rsidRDefault="00F50C0F" w:rsidP="00F50C0F">
            <w:pPr>
              <w:pStyle w:val="tablecopy"/>
            </w:pPr>
            <w:r w:rsidRPr="00507478">
              <w:t>KEDA-based</w:t>
            </w:r>
          </w:p>
        </w:tc>
        <w:tc>
          <w:tcPr>
            <w:tcW w:w="42.55pt" w:type="dxa"/>
            <w:vAlign w:val="center"/>
          </w:tcPr>
          <w:p w14:paraId="510651C1" w14:textId="2DFA4F39" w:rsidR="00F50C0F" w:rsidRPr="00507478" w:rsidRDefault="00F50C0F" w:rsidP="00F50C0F">
            <w:pPr>
              <w:rPr>
                <w:sz w:val="16"/>
                <w:szCs w:val="16"/>
              </w:rPr>
            </w:pPr>
            <w:r w:rsidRPr="00507478">
              <w:rPr>
                <w:sz w:val="16"/>
                <w:szCs w:val="16"/>
              </w:rPr>
              <w:t>ACR</w:t>
            </w:r>
          </w:p>
        </w:tc>
        <w:tc>
          <w:tcPr>
            <w:tcW w:w="51.75pt" w:type="dxa"/>
            <w:vAlign w:val="center"/>
          </w:tcPr>
          <w:p w14:paraId="7A7B3174" w14:textId="76BE1A2A" w:rsidR="00F50C0F" w:rsidRPr="00507478" w:rsidRDefault="00F50C0F" w:rsidP="00F50C0F">
            <w:pPr>
              <w:rPr>
                <w:sz w:val="16"/>
                <w:szCs w:val="16"/>
              </w:rPr>
            </w:pPr>
            <w:proofErr w:type="spellStart"/>
            <w:r w:rsidRPr="00507478">
              <w:rPr>
                <w:sz w:val="16"/>
                <w:szCs w:val="16"/>
              </w:rPr>
              <w:t>Dapr</w:t>
            </w:r>
            <w:proofErr w:type="spellEnd"/>
            <w:r w:rsidRPr="00507478">
              <w:rPr>
                <w:sz w:val="16"/>
                <w:szCs w:val="16"/>
              </w:rPr>
              <w:t xml:space="preserve"> sidecar</w:t>
            </w:r>
          </w:p>
        </w:tc>
      </w:tr>
      <w:tr w:rsidR="00F50C0F" w14:paraId="2E22D333" w14:textId="77777777" w:rsidTr="00507478">
        <w:trPr>
          <w:trHeight w:val="320"/>
          <w:jc w:val="center"/>
        </w:trPr>
        <w:tc>
          <w:tcPr>
            <w:tcW w:w="92pt" w:type="dxa"/>
            <w:vAlign w:val="center"/>
          </w:tcPr>
          <w:p w14:paraId="5225130A" w14:textId="75FEC300" w:rsidR="00F50C0F" w:rsidRPr="00507478" w:rsidRDefault="00F50C0F" w:rsidP="00F50C0F">
            <w:pPr>
              <w:pStyle w:val="tablecopy"/>
            </w:pPr>
            <w:r w:rsidRPr="00507478">
              <w:t>Kubernetes (self-hosted)</w:t>
            </w:r>
          </w:p>
        </w:tc>
        <w:tc>
          <w:tcPr>
            <w:tcW w:w="56.70pt" w:type="dxa"/>
            <w:vAlign w:val="center"/>
          </w:tcPr>
          <w:p w14:paraId="73583F7F" w14:textId="498BE00B" w:rsidR="00F50C0F" w:rsidRPr="00507478" w:rsidRDefault="00F50C0F" w:rsidP="00F50C0F">
            <w:pPr>
              <w:pStyle w:val="tablecopy"/>
            </w:pPr>
            <w:r w:rsidRPr="00507478">
              <w:t>Custom cluster</w:t>
            </w:r>
          </w:p>
        </w:tc>
        <w:tc>
          <w:tcPr>
            <w:tcW w:w="42.55pt" w:type="dxa"/>
            <w:vAlign w:val="center"/>
          </w:tcPr>
          <w:p w14:paraId="1B88D550" w14:textId="161EE861" w:rsidR="00F50C0F" w:rsidRPr="00507478" w:rsidRDefault="00F50C0F" w:rsidP="00F50C0F">
            <w:pPr>
              <w:rPr>
                <w:sz w:val="16"/>
                <w:szCs w:val="16"/>
              </w:rPr>
            </w:pPr>
            <w:r w:rsidRPr="00507478">
              <w:rPr>
                <w:sz w:val="16"/>
                <w:szCs w:val="16"/>
              </w:rPr>
              <w:t>Any registry</w:t>
            </w:r>
          </w:p>
        </w:tc>
        <w:tc>
          <w:tcPr>
            <w:tcW w:w="51.75pt" w:type="dxa"/>
            <w:vAlign w:val="center"/>
          </w:tcPr>
          <w:p w14:paraId="6B6C205F" w14:textId="3AC597AC" w:rsidR="00F50C0F" w:rsidRPr="00507478" w:rsidRDefault="00F50C0F" w:rsidP="00F50C0F">
            <w:pPr>
              <w:rPr>
                <w:sz w:val="16"/>
                <w:szCs w:val="16"/>
              </w:rPr>
            </w:pPr>
            <w:r w:rsidRPr="00507478">
              <w:rPr>
                <w:sz w:val="16"/>
                <w:szCs w:val="16"/>
              </w:rPr>
              <w:t>HPA/KEDA</w:t>
            </w:r>
          </w:p>
        </w:tc>
      </w:tr>
    </w:tbl>
    <w:p w14:paraId="34BDB76B" w14:textId="77777777" w:rsidR="00F50C0F" w:rsidRPr="005B520E" w:rsidRDefault="00F50C0F" w:rsidP="00F50C0F">
      <w:pPr>
        <w:pStyle w:val="BodyText"/>
        <w:ind w:firstLine="0pt"/>
      </w:pPr>
    </w:p>
    <w:p w14:paraId="42CD3244" w14:textId="4619C2D3" w:rsidR="009303D9" w:rsidRPr="005B520E" w:rsidRDefault="00507478" w:rsidP="00507478">
      <w:pPr>
        <w:pStyle w:val="Heading1"/>
      </w:pPr>
      <w:r>
        <w:t>Implementation</w:t>
      </w:r>
    </w:p>
    <w:p w14:paraId="550E2495" w14:textId="2C575BDF" w:rsidR="009303D9" w:rsidRDefault="00507478" w:rsidP="00ED0149">
      <w:pPr>
        <w:pStyle w:val="Heading2"/>
      </w:pPr>
      <w:r>
        <w:t>Framework Setup and Tool Binding</w:t>
      </w:r>
    </w:p>
    <w:p w14:paraId="32931098" w14:textId="77777777" w:rsidR="00507478" w:rsidRDefault="00507478" w:rsidP="00507478">
      <w:pPr>
        <w:pStyle w:val="BodyText"/>
      </w:pPr>
      <w:r>
        <w:t xml:space="preserve">The core operational logic of the Modular-Agent framework is implemented entirely in Python, chosen for its ubiquitous support across both deep learning libraries (TensorFlow, </w:t>
      </w:r>
      <w:proofErr w:type="spellStart"/>
      <w:r>
        <w:t>PyTorch</w:t>
      </w:r>
      <w:proofErr w:type="spellEnd"/>
      <w:r>
        <w:t xml:space="preserve">) [19], [20] and agentic orchestration frameworks. The foundational step involves constructing the automated tool-binding mechanism. When a user initializes the framework with a target model endpoint, the system utilizes </w:t>
      </w:r>
      <w:proofErr w:type="spellStart"/>
      <w:r>
        <w:t>Pydantic</w:t>
      </w:r>
      <w:proofErr w:type="spellEnd"/>
      <w:r>
        <w:t xml:space="preserve"> [15] to dynamically construct a schema representing the model’s input and output requirements. This strict validation is critical; LLMs are prone to formatting errors, and </w:t>
      </w:r>
      <w:proofErr w:type="spellStart"/>
      <w:r>
        <w:t>Pydantic</w:t>
      </w:r>
      <w:proofErr w:type="spellEnd"/>
      <w:r>
        <w:t xml:space="preserve"> ensures that any data passed from the LLM to the predictive model strictly adheres to the required tensor shapes or JSON structures, preventing runtime crashes.</w:t>
      </w:r>
    </w:p>
    <w:p w14:paraId="2CDA38EC" w14:textId="7C9D492C" w:rsidR="007D6232" w:rsidRPr="00507478" w:rsidRDefault="00507478" w:rsidP="00507478">
      <w:pPr>
        <w:pStyle w:val="BodyText"/>
      </w:pPr>
      <w:r>
        <w:t xml:space="preserve">The framework programmatically generates a Python function wrapping the model call and applies a @tool decorator, leveraging the </w:t>
      </w:r>
      <w:proofErr w:type="spellStart"/>
      <w:r>
        <w:t>LangChain</w:t>
      </w:r>
      <w:proofErr w:type="spellEnd"/>
      <w:r>
        <w:t xml:space="preserve"> architecture. A crucial implementation detail is the automated generation of the tool’s docstring. The framework synthesizes a comprehensive description—such as, “Use this tool exclusively to pass a retinal image path and receive a diabetic retinopathy confidence score.” This auto-generated docstring is injected directly into the LLM’s system prompt, serving as the primary semantic heuristic the LLM uses to determine when to route a specific task to the predictive model</w:t>
      </w:r>
      <w:r w:rsidR="009303D9" w:rsidRPr="005B520E">
        <w:t>.</w:t>
      </w:r>
    </w:p>
    <w:p w14:paraId="3C56E4E8" w14:textId="1831F24D" w:rsidR="009303D9" w:rsidRDefault="00507478" w:rsidP="00ED0149">
      <w:pPr>
        <w:pStyle w:val="Heading2"/>
      </w:pPr>
      <w:r>
        <w:t>LLM-Agnostic Routing</w:t>
      </w:r>
    </w:p>
    <w:p w14:paraId="1999643D" w14:textId="77777777" w:rsidR="00507478" w:rsidRDefault="00507478" w:rsidP="00507478">
      <w:pPr>
        <w:pStyle w:val="BodyText"/>
      </w:pPr>
      <w:r>
        <w:t xml:space="preserve">Achieving true hardware and LLM-provider independence was a primary implementation objective. The framework implements an abstraction layer utilizing </w:t>
      </w:r>
      <w:proofErr w:type="spellStart"/>
      <w:r>
        <w:t>LangChain’s</w:t>
      </w:r>
      <w:proofErr w:type="spellEnd"/>
      <w:r>
        <w:t xml:space="preserve"> unified </w:t>
      </w:r>
      <w:proofErr w:type="spellStart"/>
      <w:r>
        <w:t>ChatModels</w:t>
      </w:r>
      <w:proofErr w:type="spellEnd"/>
      <w:r>
        <w:t xml:space="preserve"> interface. Rather than hardcoding API calls to OpenAI, Anthropic, or </w:t>
      </w:r>
      <w:proofErr w:type="spellStart"/>
      <w:r>
        <w:t>xAI</w:t>
      </w:r>
      <w:proofErr w:type="spellEnd"/>
      <w:r>
        <w:t xml:space="preserve">, the system utilizes a generic </w:t>
      </w:r>
      <w:proofErr w:type="spellStart"/>
      <w:r>
        <w:t>BaseChatModel</w:t>
      </w:r>
      <w:proofErr w:type="spellEnd"/>
      <w:r>
        <w:t xml:space="preserve"> class. Developers simply pass a .env configuration file specifying their desired provider. The framework dynamically instantiates the appropriate API client at runtime.</w:t>
      </w:r>
    </w:p>
    <w:p w14:paraId="1B7223DD" w14:textId="7F25903D" w:rsidR="009303D9" w:rsidRPr="005B520E" w:rsidRDefault="00507478" w:rsidP="00507478">
      <w:pPr>
        <w:pStyle w:val="BodyText"/>
      </w:pPr>
      <w:r>
        <w:t xml:space="preserve">The core operational intelligence is driven by the implementation of a </w:t>
      </w:r>
      <w:proofErr w:type="spellStart"/>
      <w:r>
        <w:t>ReAct</w:t>
      </w:r>
      <w:proofErr w:type="spellEnd"/>
      <w:r>
        <w:t xml:space="preserve"> prompting strategy. The agent is structured as a cyclical </w:t>
      </w:r>
      <w:proofErr w:type="spellStart"/>
      <w:r>
        <w:t>LangGraph</w:t>
      </w:r>
      <w:proofErr w:type="spellEnd"/>
      <w:r>
        <w:t xml:space="preserve"> state machine. Upon receiving a user query, the state machine forces the LLM through a strict sequence: Think (evaluate the request against available tools), Act (generate the JSON payload), Observe (execute the predictive model and return results), and Synthesize (translate raw output into a coherent natural language response)</w:t>
      </w:r>
      <w:r w:rsidR="009303D9" w:rsidRPr="005B520E">
        <w:t>.</w:t>
      </w:r>
    </w:p>
    <w:p w14:paraId="04D6A610" w14:textId="1870F240" w:rsidR="009303D9" w:rsidRDefault="00507478" w:rsidP="00ED0149">
      <w:pPr>
        <w:pStyle w:val="Heading2"/>
      </w:pPr>
      <w:r>
        <w:t>Containerisation for Cloud Environments</w:t>
      </w:r>
    </w:p>
    <w:p w14:paraId="1877E843" w14:textId="77777777" w:rsidR="00507478" w:rsidRDefault="00507478" w:rsidP="00507478">
      <w:pPr>
        <w:pStyle w:val="BodyText"/>
      </w:pPr>
      <w:r>
        <w:t xml:space="preserve">The Modular-Agent system features an automated </w:t>
      </w:r>
      <w:proofErr w:type="spellStart"/>
      <w:r>
        <w:t>Dockerization</w:t>
      </w:r>
      <w:proofErr w:type="spellEnd"/>
      <w:r>
        <w:t xml:space="preserve"> module that systematically eliminates the manual overhead of local dependency management. The framework dynamically parses the environment’s requirements and programmatically generates an optimized, multi-stage </w:t>
      </w:r>
      <w:proofErr w:type="spellStart"/>
      <w:r>
        <w:t>Dockerfile</w:t>
      </w:r>
      <w:proofErr w:type="spellEnd"/>
      <w:r>
        <w:t xml:space="preserve"> [22]. By leveraging Docker layer caching, the framework isolates heavy, immutable deep learning binaries into a foundational base layer, while the volatile, frequently updated agentic orchestration code is compiled into a subsequent lightweight top layer. This strict separation drastically minimizes the final container image size, reduces deployment network bandwidth, and critically mitigates cold-start latency [23].</w:t>
      </w:r>
    </w:p>
    <w:p w14:paraId="6C54798D" w14:textId="7B232FEE" w:rsidR="0080791D" w:rsidRDefault="00507478" w:rsidP="00507478">
      <w:pPr>
        <w:pStyle w:val="BodyText"/>
      </w:pPr>
      <w:r>
        <w:t>Furthermore, the framework implements a dynamic Infrastructure-as-Code (</w:t>
      </w:r>
      <w:proofErr w:type="spellStart"/>
      <w:r>
        <w:t>IaC</w:t>
      </w:r>
      <w:proofErr w:type="spellEnd"/>
      <w:r>
        <w:t xml:space="preserve">) generator. The system algorithmically translates the agent’s environmental variables and port requirements into standardized, platform-specific deployment manifests. Depending on the developer’s specified target, the framework autonomously outputs AWS ECS task definitions; generates </w:t>
      </w:r>
      <w:proofErr w:type="spellStart"/>
      <w:r>
        <w:t>Knative</w:t>
      </w:r>
      <w:proofErr w:type="spellEnd"/>
      <w:r>
        <w:t>-based Cloud Run YAML manifests for GCP; and constructs Azure Resource Manager (ARM) Container Apps templates for Microsoft Azure</w:t>
      </w:r>
      <w:r w:rsidR="0080791D" w:rsidRPr="005B520E">
        <w:t>.</w:t>
      </w:r>
    </w:p>
    <w:p w14:paraId="5622EDBD" w14:textId="5078F5B2" w:rsidR="00507478" w:rsidRPr="005B520E" w:rsidRDefault="00507478" w:rsidP="00507478">
      <w:pPr>
        <w:pStyle w:val="Heading1"/>
      </w:pPr>
      <w:r>
        <w:t>Results and Discussion</w:t>
      </w:r>
    </w:p>
    <w:p w14:paraId="2D4086E5" w14:textId="77777777" w:rsidR="00507478" w:rsidRDefault="00507478" w:rsidP="00507478">
      <w:pPr>
        <w:pStyle w:val="BodyText"/>
      </w:pPr>
      <w:r>
        <w:tab/>
      </w:r>
      <w:r w:rsidRPr="0073701D">
        <w:t>A series of quantitative benchmarks were conducted to empirically verify the operational efficiency and scalability of the Modular-Agent framework. The experimental setup was executed in a local hardware environment with an NVIDIA GeForce RTX 3060 GPU and Python 3.12 to set baseline inference metrics and cloud scalability was tested with a containerized Kubernetes deployment. The first assessment was on the reduction of manual engineering overhead in the ingestion of an isolated deep learning diagnostic model (a retinal disease classification CNN). For the comparison between the auto-generated wrapper code and the manually engineered integration script, the radon static analysis tool was used. The manual integration in the traditional way had 412 Lines of Code (LOC) and a cyclomatic complexity of 24</w:t>
      </w:r>
      <w:r>
        <w:t xml:space="preserve">. </w:t>
      </w:r>
      <w:r w:rsidRPr="00CC1AF5">
        <w:t xml:space="preserve">In contrast, the automated </w:t>
      </w:r>
      <w:proofErr w:type="spellStart"/>
      <w:r w:rsidRPr="00CC1AF5">
        <w:t>Pydantic</w:t>
      </w:r>
      <w:proofErr w:type="spellEnd"/>
      <w:r w:rsidRPr="00CC1AF5">
        <w:t xml:space="preserve"> schema generation and tool-binding pipeline reduced the required boilerplate to just 14 LOC with a cyclomatic complexity of 2.  This implies that the structure is </w:t>
      </w:r>
      <w:r w:rsidRPr="00CC1AF5">
        <w:lastRenderedPageBreak/>
        <w:t>exponentially less fragile, and it verifies the ability of the framework to accelerate time-to-deployment substantially.</w:t>
      </w:r>
    </w:p>
    <w:p w14:paraId="1F83D7FC" w14:textId="77777777" w:rsidR="00507478" w:rsidRDefault="00507478" w:rsidP="00507478">
      <w:pPr>
        <w:pStyle w:val="BodyText"/>
      </w:pPr>
      <w:r w:rsidRPr="00CC1AF5">
        <w:t xml:space="preserve">We conducted a detailed latency overhead analysis to quantify the computational tax imposed by the </w:t>
      </w:r>
      <w:proofErr w:type="spellStart"/>
      <w:r w:rsidRPr="00CC1AF5">
        <w:t>LangGraph</w:t>
      </w:r>
      <w:proofErr w:type="spellEnd"/>
      <w:r w:rsidRPr="00CC1AF5">
        <w:t xml:space="preserve"> </w:t>
      </w:r>
      <w:proofErr w:type="spellStart"/>
      <w:r w:rsidRPr="00CC1AF5">
        <w:t>ReAct</w:t>
      </w:r>
      <w:proofErr w:type="spellEnd"/>
      <w:r w:rsidRPr="00CC1AF5">
        <w:t xml:space="preserve"> orchestration loop. The raw deterministic inference of the CNN on the RTX 3060 took 45 milliseconds as a baseline computation time. The cognitive routing added measurable but tolerable latency when encapsulated in the framework. The orchestration sequence was recorded as: the first 'Think' step (tool evaluation) had an average of 115ms; the 'Act' step (JSON payload generation) had an average of 82ms, the 'Observe' step (triggering the isolated CNN) matched the baseline with 45ms, and the final 'Synthesize' step (natural language translation) had an average of 205ms. The overall end-to-end multi-turn interaction was resolved in ~447ms. The sub-second total response time of the system indicates that the semantic overhead does not hinder the framework from being applied in near-real-time clinical workflows</w:t>
      </w:r>
      <w:r>
        <w:t>.</w:t>
      </w:r>
    </w:p>
    <w:p w14:paraId="20019B64" w14:textId="3B883BCC" w:rsidR="00507478" w:rsidRDefault="00507478" w:rsidP="00507478">
      <w:pPr>
        <w:pStyle w:val="BodyText"/>
      </w:pPr>
      <w:r w:rsidRPr="00CC1AF5">
        <w:t>Later, the system’s enterprise-level scalability and LLM-agnostic architecture were demonstrated. We employed the Locust load-testing tool to simulate a traffic spike from 10 to 1,000 concurrent API requests against the auto-generated Docker containers. Under maximum load, the 95th percentile response latency was 850ms, and container cold-start times averaged 1.2 seconds. Additionally, the abstraction layer’s operational agility was evaluated by benchmarking the Time to First Token (TTFT) and total Tokens Per Second (TPS) across different foundational models without changing the underlying predictive tool.</w:t>
      </w:r>
      <w:r>
        <w:t xml:space="preserve"> </w:t>
      </w:r>
      <w:r w:rsidRPr="00CC1AF5">
        <w:t xml:space="preserve">As shown in Table </w:t>
      </w:r>
      <w:r w:rsidR="009C7314">
        <w:t>IV</w:t>
      </w:r>
      <w:r w:rsidRPr="00CC1AF5">
        <w:t xml:space="preserve">, the move from a localized model to a high-throughput </w:t>
      </w:r>
      <w:proofErr w:type="spellStart"/>
      <w:r w:rsidRPr="00CC1AF5">
        <w:t>Groq</w:t>
      </w:r>
      <w:proofErr w:type="spellEnd"/>
      <w:r w:rsidRPr="00CC1AF5">
        <w:t>-hosted endpoint resulted in a massive increase in throughput. This validated that the cognitive reasoning engine can be dynamically hot-swapped to optimize for latency without requiring any retraining or redeployment of the isolated predictive architecture</w:t>
      </w:r>
      <w:r>
        <w:t>.</w:t>
      </w:r>
    </w:p>
    <w:p w14:paraId="5A5F80F1" w14:textId="4F60C8E8" w:rsidR="009B3F9F" w:rsidRPr="005B520E" w:rsidRDefault="009B3F9F" w:rsidP="009B3F9F">
      <w:pPr>
        <w:pStyle w:val="tablehead"/>
      </w:pPr>
      <w:r>
        <w:t>LLM Provider Throughput Comparison</w:t>
      </w:r>
    </w:p>
    <w:tbl>
      <w:tblPr>
        <w:tblW w:w="243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2265"/>
        <w:gridCol w:w="795"/>
        <w:gridCol w:w="900"/>
        <w:gridCol w:w="900"/>
      </w:tblGrid>
      <w:tr w:rsidR="009B3F9F" w14:paraId="0FC45DD8" w14:textId="77777777" w:rsidTr="009B3F9F">
        <w:trPr>
          <w:cantSplit/>
          <w:trHeight w:val="240"/>
          <w:tblHeader/>
          <w:jc w:val="center"/>
        </w:trPr>
        <w:tc>
          <w:tcPr>
            <w:tcW w:w="113.25pt" w:type="dxa"/>
            <w:vAlign w:val="center"/>
          </w:tcPr>
          <w:p w14:paraId="3726E538" w14:textId="28ABD6AF" w:rsidR="009B3F9F" w:rsidRPr="009B3F9F" w:rsidRDefault="009B3F9F" w:rsidP="009B3F9F">
            <w:pPr>
              <w:rPr>
                <w:b/>
                <w:bCs/>
                <w:sz w:val="16"/>
                <w:szCs w:val="16"/>
              </w:rPr>
            </w:pPr>
            <w:r w:rsidRPr="009B3F9F">
              <w:rPr>
                <w:rStyle w:val="Strong"/>
                <w:sz w:val="16"/>
                <w:szCs w:val="16"/>
              </w:rPr>
              <w:t>Provider / Model</w:t>
            </w:r>
          </w:p>
        </w:tc>
        <w:tc>
          <w:tcPr>
            <w:tcW w:w="39.75pt" w:type="dxa"/>
            <w:vAlign w:val="center"/>
          </w:tcPr>
          <w:p w14:paraId="6A345CD3" w14:textId="376C0AD3" w:rsidR="009B3F9F" w:rsidRPr="009B3F9F" w:rsidRDefault="009B3F9F" w:rsidP="009B3F9F">
            <w:pPr>
              <w:pStyle w:val="tablecolsubhead"/>
              <w:rPr>
                <w:i w:val="0"/>
                <w:iCs w:val="0"/>
                <w:sz w:val="16"/>
                <w:szCs w:val="16"/>
              </w:rPr>
            </w:pPr>
            <w:r w:rsidRPr="009B3F9F">
              <w:rPr>
                <w:rStyle w:val="Strong"/>
                <w:b/>
                <w:bCs/>
                <w:i w:val="0"/>
                <w:iCs w:val="0"/>
                <w:sz w:val="16"/>
                <w:szCs w:val="16"/>
              </w:rPr>
              <w:t>TTFT (sec)</w:t>
            </w:r>
          </w:p>
        </w:tc>
        <w:tc>
          <w:tcPr>
            <w:tcW w:w="45pt" w:type="dxa"/>
            <w:vAlign w:val="center"/>
          </w:tcPr>
          <w:p w14:paraId="75D9EF6E" w14:textId="4EE04161" w:rsidR="009B3F9F" w:rsidRPr="009B3F9F" w:rsidRDefault="009B3F9F" w:rsidP="009B3F9F">
            <w:pPr>
              <w:pStyle w:val="tablecolsubhead"/>
              <w:rPr>
                <w:i w:val="0"/>
                <w:iCs w:val="0"/>
                <w:sz w:val="16"/>
                <w:szCs w:val="16"/>
              </w:rPr>
            </w:pPr>
            <w:r w:rsidRPr="009B3F9F">
              <w:rPr>
                <w:rStyle w:val="Strong"/>
                <w:b/>
                <w:bCs/>
                <w:i w:val="0"/>
                <w:iCs w:val="0"/>
                <w:sz w:val="16"/>
                <w:szCs w:val="16"/>
              </w:rPr>
              <w:t>TPS</w:t>
            </w:r>
          </w:p>
        </w:tc>
        <w:tc>
          <w:tcPr>
            <w:tcW w:w="45pt" w:type="dxa"/>
            <w:vAlign w:val="center"/>
          </w:tcPr>
          <w:p w14:paraId="44C33490" w14:textId="02DE8445" w:rsidR="009B3F9F" w:rsidRPr="009B3F9F" w:rsidRDefault="009B3F9F" w:rsidP="009B3F9F">
            <w:pPr>
              <w:pStyle w:val="tablecolsubhead"/>
              <w:rPr>
                <w:i w:val="0"/>
                <w:iCs w:val="0"/>
                <w:sz w:val="16"/>
                <w:szCs w:val="16"/>
              </w:rPr>
            </w:pPr>
            <w:r w:rsidRPr="009B3F9F">
              <w:rPr>
                <w:rStyle w:val="Strong"/>
                <w:b/>
                <w:bCs/>
                <w:i w:val="0"/>
                <w:iCs w:val="0"/>
                <w:sz w:val="16"/>
                <w:szCs w:val="16"/>
              </w:rPr>
              <w:t>API Interface</w:t>
            </w:r>
          </w:p>
        </w:tc>
      </w:tr>
      <w:tr w:rsidR="009B3F9F" w14:paraId="6C89D667" w14:textId="77777777" w:rsidTr="009B3F9F">
        <w:trPr>
          <w:trHeight w:val="320"/>
          <w:jc w:val="center"/>
        </w:trPr>
        <w:tc>
          <w:tcPr>
            <w:tcW w:w="113.25pt" w:type="dxa"/>
            <w:vAlign w:val="center"/>
          </w:tcPr>
          <w:p w14:paraId="7B50DFA9" w14:textId="5F0C8FDD" w:rsidR="009B3F9F" w:rsidRPr="009B3F9F" w:rsidRDefault="009B3F9F" w:rsidP="009B3F9F">
            <w:pPr>
              <w:pStyle w:val="tablecopy"/>
            </w:pPr>
            <w:r w:rsidRPr="009B3F9F">
              <w:t>Local (Llama 3 8B - RTX 3060)</w:t>
            </w:r>
          </w:p>
        </w:tc>
        <w:tc>
          <w:tcPr>
            <w:tcW w:w="39.75pt" w:type="dxa"/>
            <w:vAlign w:val="center"/>
          </w:tcPr>
          <w:p w14:paraId="68A15F70" w14:textId="665FCCA5" w:rsidR="009B3F9F" w:rsidRPr="009B3F9F" w:rsidRDefault="009B3F9F" w:rsidP="009B3F9F">
            <w:pPr>
              <w:pStyle w:val="tablecopy"/>
            </w:pPr>
            <w:r w:rsidRPr="009B3F9F">
              <w:t>0.85</w:t>
            </w:r>
          </w:p>
        </w:tc>
        <w:tc>
          <w:tcPr>
            <w:tcW w:w="45pt" w:type="dxa"/>
            <w:vAlign w:val="center"/>
          </w:tcPr>
          <w:p w14:paraId="11D72E12" w14:textId="043AD5D9" w:rsidR="009B3F9F" w:rsidRPr="009B3F9F" w:rsidRDefault="009B3F9F" w:rsidP="009B3F9F">
            <w:pPr>
              <w:rPr>
                <w:sz w:val="16"/>
                <w:szCs w:val="16"/>
              </w:rPr>
            </w:pPr>
            <w:r w:rsidRPr="009B3F9F">
              <w:rPr>
                <w:sz w:val="16"/>
                <w:szCs w:val="16"/>
              </w:rPr>
              <w:t>35.2</w:t>
            </w:r>
          </w:p>
        </w:tc>
        <w:tc>
          <w:tcPr>
            <w:tcW w:w="45pt" w:type="dxa"/>
            <w:vAlign w:val="center"/>
          </w:tcPr>
          <w:p w14:paraId="070F2EFA" w14:textId="602A9BA1" w:rsidR="009B3F9F" w:rsidRPr="009B3F9F" w:rsidRDefault="009B3F9F" w:rsidP="009B3F9F">
            <w:pPr>
              <w:rPr>
                <w:sz w:val="16"/>
                <w:szCs w:val="16"/>
              </w:rPr>
            </w:pPr>
            <w:proofErr w:type="spellStart"/>
            <w:r w:rsidRPr="009B3F9F">
              <w:rPr>
                <w:sz w:val="16"/>
                <w:szCs w:val="16"/>
              </w:rPr>
              <w:t>Ollama</w:t>
            </w:r>
            <w:proofErr w:type="spellEnd"/>
          </w:p>
        </w:tc>
      </w:tr>
      <w:tr w:rsidR="009B3F9F" w14:paraId="5AEA0FFD" w14:textId="77777777" w:rsidTr="009B3F9F">
        <w:trPr>
          <w:trHeight w:val="320"/>
          <w:jc w:val="center"/>
        </w:trPr>
        <w:tc>
          <w:tcPr>
            <w:tcW w:w="113.25pt" w:type="dxa"/>
            <w:vAlign w:val="center"/>
          </w:tcPr>
          <w:p w14:paraId="31827629" w14:textId="5DA1595C" w:rsidR="009B3F9F" w:rsidRPr="009B3F9F" w:rsidRDefault="009B3F9F" w:rsidP="009B3F9F">
            <w:pPr>
              <w:pStyle w:val="tablecopy"/>
            </w:pPr>
            <w:r w:rsidRPr="009B3F9F">
              <w:t>Proprietary (GPT-4o)</w:t>
            </w:r>
          </w:p>
        </w:tc>
        <w:tc>
          <w:tcPr>
            <w:tcW w:w="39.75pt" w:type="dxa"/>
            <w:vAlign w:val="center"/>
          </w:tcPr>
          <w:p w14:paraId="74FBC0EF" w14:textId="11EE1184" w:rsidR="009B3F9F" w:rsidRPr="009B3F9F" w:rsidRDefault="009B3F9F" w:rsidP="009B3F9F">
            <w:pPr>
              <w:pStyle w:val="tablecopy"/>
            </w:pPr>
            <w:r w:rsidRPr="009B3F9F">
              <w:t>0.42</w:t>
            </w:r>
          </w:p>
        </w:tc>
        <w:tc>
          <w:tcPr>
            <w:tcW w:w="45pt" w:type="dxa"/>
            <w:vAlign w:val="center"/>
          </w:tcPr>
          <w:p w14:paraId="792579F2" w14:textId="7522A86D" w:rsidR="009B3F9F" w:rsidRPr="009B3F9F" w:rsidRDefault="009B3F9F" w:rsidP="009B3F9F">
            <w:pPr>
              <w:rPr>
                <w:sz w:val="16"/>
                <w:szCs w:val="16"/>
              </w:rPr>
            </w:pPr>
            <w:r w:rsidRPr="009B3F9F">
              <w:rPr>
                <w:sz w:val="16"/>
                <w:szCs w:val="16"/>
              </w:rPr>
              <w:t>78.5</w:t>
            </w:r>
          </w:p>
        </w:tc>
        <w:tc>
          <w:tcPr>
            <w:tcW w:w="45pt" w:type="dxa"/>
            <w:vAlign w:val="center"/>
          </w:tcPr>
          <w:p w14:paraId="2DC43320" w14:textId="4DA455A2" w:rsidR="009B3F9F" w:rsidRPr="009B3F9F" w:rsidRDefault="009B3F9F" w:rsidP="009B3F9F">
            <w:pPr>
              <w:rPr>
                <w:sz w:val="16"/>
                <w:szCs w:val="16"/>
              </w:rPr>
            </w:pPr>
            <w:r w:rsidRPr="009B3F9F">
              <w:rPr>
                <w:sz w:val="16"/>
                <w:szCs w:val="16"/>
              </w:rPr>
              <w:t>REST / SDK</w:t>
            </w:r>
          </w:p>
        </w:tc>
      </w:tr>
      <w:tr w:rsidR="009B3F9F" w14:paraId="123C9805" w14:textId="77777777" w:rsidTr="009B3F9F">
        <w:trPr>
          <w:trHeight w:val="320"/>
          <w:jc w:val="center"/>
        </w:trPr>
        <w:tc>
          <w:tcPr>
            <w:tcW w:w="113.25pt" w:type="dxa"/>
            <w:vAlign w:val="center"/>
          </w:tcPr>
          <w:p w14:paraId="78E532B9" w14:textId="34760164" w:rsidR="009B3F9F" w:rsidRPr="009B3F9F" w:rsidRDefault="009B3F9F" w:rsidP="009B3F9F">
            <w:pPr>
              <w:pStyle w:val="tablecopy"/>
            </w:pPr>
            <w:r w:rsidRPr="009B3F9F">
              <w:t>Cloud-Native (Llama 3.3 70B)</w:t>
            </w:r>
          </w:p>
        </w:tc>
        <w:tc>
          <w:tcPr>
            <w:tcW w:w="39.75pt" w:type="dxa"/>
            <w:vAlign w:val="center"/>
          </w:tcPr>
          <w:p w14:paraId="0BD7D52D" w14:textId="2E20357E" w:rsidR="009B3F9F" w:rsidRPr="009B3F9F" w:rsidRDefault="009B3F9F" w:rsidP="009B3F9F">
            <w:pPr>
              <w:pStyle w:val="tablecopy"/>
            </w:pPr>
            <w:r w:rsidRPr="009B3F9F">
              <w:t>0.18</w:t>
            </w:r>
          </w:p>
        </w:tc>
        <w:tc>
          <w:tcPr>
            <w:tcW w:w="45pt" w:type="dxa"/>
            <w:vAlign w:val="center"/>
          </w:tcPr>
          <w:p w14:paraId="7219DD76" w14:textId="24B0E649" w:rsidR="009B3F9F" w:rsidRPr="009B3F9F" w:rsidRDefault="009B3F9F" w:rsidP="009B3F9F">
            <w:pPr>
              <w:rPr>
                <w:sz w:val="16"/>
                <w:szCs w:val="16"/>
              </w:rPr>
            </w:pPr>
            <w:r w:rsidRPr="009B3F9F">
              <w:rPr>
                <w:sz w:val="16"/>
                <w:szCs w:val="16"/>
              </w:rPr>
              <w:t>312.4</w:t>
            </w:r>
          </w:p>
        </w:tc>
        <w:tc>
          <w:tcPr>
            <w:tcW w:w="45pt" w:type="dxa"/>
            <w:vAlign w:val="center"/>
          </w:tcPr>
          <w:p w14:paraId="6551E7F5" w14:textId="317F4B3F" w:rsidR="009B3F9F" w:rsidRPr="009B3F9F" w:rsidRDefault="009B3F9F" w:rsidP="009B3F9F">
            <w:pPr>
              <w:rPr>
                <w:sz w:val="16"/>
                <w:szCs w:val="16"/>
              </w:rPr>
            </w:pPr>
            <w:proofErr w:type="spellStart"/>
            <w:r w:rsidRPr="009B3F9F">
              <w:rPr>
                <w:sz w:val="16"/>
                <w:szCs w:val="16"/>
              </w:rPr>
              <w:t>Groq</w:t>
            </w:r>
            <w:proofErr w:type="spellEnd"/>
          </w:p>
        </w:tc>
      </w:tr>
    </w:tbl>
    <w:p w14:paraId="0F4AEEF4" w14:textId="77777777" w:rsidR="009B3F9F" w:rsidRDefault="009B3F9F" w:rsidP="009B3F9F">
      <w:pPr>
        <w:pStyle w:val="BodyText"/>
        <w:ind w:firstLine="0pt"/>
      </w:pPr>
    </w:p>
    <w:p w14:paraId="45E9BC78" w14:textId="61960B40" w:rsidR="00507478" w:rsidRPr="005B520E" w:rsidRDefault="009B3F9F" w:rsidP="009B3F9F">
      <w:pPr>
        <w:pStyle w:val="Heading5"/>
      </w:pPr>
      <w:r>
        <w:t>Conclusion</w:t>
      </w:r>
    </w:p>
    <w:p w14:paraId="6DF5C80B" w14:textId="36CE1C71" w:rsidR="009B3F9F" w:rsidRDefault="009B3F9F" w:rsidP="009B3F9F">
      <w:pPr>
        <w:pStyle w:val="BodyText"/>
      </w:pPr>
      <w:r w:rsidRPr="00AE5C57">
        <w:t>Th</w:t>
      </w:r>
      <w:r>
        <w:t>is paper</w:t>
      </w:r>
      <w:r w:rsidRPr="00AE5C57">
        <w:t xml:space="preserve"> overcomes the limitations of isolated AI models by providing an automated pipeline for agentic modernisation. By consuming standard machine learning or deep learning endpoints and wrapping them with orchestration frameworks such as </w:t>
      </w:r>
      <w:proofErr w:type="spellStart"/>
      <w:r w:rsidRPr="00AE5C57">
        <w:t>LangChain</w:t>
      </w:r>
      <w:proofErr w:type="spellEnd"/>
      <w:r w:rsidRPr="00AE5C57">
        <w:t xml:space="preserve"> and Agno, the system essentially gives static models the ability to reason, remember, and converse in natural language. Also, the automated deployment packaging means that such complex multi-agent systems can be quickly brought to market and scaled efficiently across AWS, GCP, and Azure.</w:t>
      </w:r>
    </w:p>
    <w:p w14:paraId="39D7A7EF" w14:textId="1C25E7EE" w:rsidR="00575BCA" w:rsidRDefault="009B3F9F" w:rsidP="009B3F9F">
      <w:pPr>
        <w:pStyle w:val="BodyText"/>
      </w:pPr>
      <w:r w:rsidRPr="00AE5C57">
        <w:t xml:space="preserve">This analysis reveals some shortcomings even if the current framework bridges well predictive tools and LLMs. The system is very dependent on the reasoning ability of the selected base LLM. If the LLM hallucinates, it may misuse </w:t>
      </w:r>
      <w:r w:rsidRPr="00AE5C57">
        <w:t>the predictive tool. Latency due to sequential API calls can also be a problem for real-time edge applications. Future work shall be dedicated to deploying localised, fine-tuned smaller language models (SLMs) as the cognitive brain directly on the edge, as well as to extending the framework to support multi-modal agentic workflows</w:t>
      </w:r>
      <w:r>
        <w:t>.</w:t>
      </w:r>
    </w:p>
    <w:p w14:paraId="639745EE" w14:textId="79C21075" w:rsidR="009B3F9F" w:rsidRPr="005B520E" w:rsidRDefault="009B3F9F" w:rsidP="009B3F9F">
      <w:pPr>
        <w:pStyle w:val="Heading5"/>
      </w:pPr>
      <w:r w:rsidRPr="005B520E">
        <w:t>Acknowledgment</w:t>
      </w:r>
    </w:p>
    <w:p w14:paraId="3D62B824" w14:textId="27AAC134" w:rsidR="009B3F9F" w:rsidRDefault="009B3F9F" w:rsidP="009B3F9F">
      <w:pPr>
        <w:pStyle w:val="BodyText"/>
      </w:pPr>
      <w:r w:rsidRPr="005B520E">
        <w:t xml:space="preserve">The </w:t>
      </w:r>
      <w:r>
        <w:t xml:space="preserve">authors would like to thank the faculty and staff of the </w:t>
      </w:r>
      <w:proofErr w:type="spellStart"/>
      <w:r>
        <w:t>dwportment</w:t>
      </w:r>
      <w:proofErr w:type="spellEnd"/>
      <w:r>
        <w:t xml:space="preserve"> of Computer Science and Engineering, Karunya Institute of Technology and Sciences</w:t>
      </w:r>
      <w:r w:rsidR="00A35674">
        <w:t>, for their guidance and support throughout this project.</w:t>
      </w:r>
    </w:p>
    <w:p w14:paraId="21523B97" w14:textId="77777777" w:rsidR="009303D9" w:rsidRDefault="009303D9" w:rsidP="00A059B3">
      <w:pPr>
        <w:pStyle w:val="Heading5"/>
      </w:pPr>
      <w:r w:rsidRPr="005B520E">
        <w:t>References</w:t>
      </w:r>
    </w:p>
    <w:p w14:paraId="552958C1" w14:textId="40F06A03" w:rsidR="00A35674" w:rsidRDefault="00A35674" w:rsidP="00A35674">
      <w:pPr>
        <w:pStyle w:val="references"/>
      </w:pPr>
      <w:r>
        <w:t>Y. LeCun, Y. Bengio, and G. Hinton, "Deep learning," Nature, vol. 521, no. 7553, pp. 436-444, May 2015.</w:t>
      </w:r>
    </w:p>
    <w:p w14:paraId="2E3ECA77" w14:textId="3040DDD2" w:rsidR="00A35674" w:rsidRDefault="00A35674" w:rsidP="00A35674">
      <w:pPr>
        <w:pStyle w:val="references"/>
      </w:pPr>
      <w:r>
        <w:t>K. He, X. Zhang, S. Ren, and J. Sun, "Deep residual learning for image recognition," in Proc. IEEE Conf. Comput. Vis. Pattern Recognit. (CVPR), Las Vegas, NV, USA, 2016, pp. 770-778.</w:t>
      </w:r>
    </w:p>
    <w:p w14:paraId="39EA15B7" w14:textId="141FD9CB" w:rsidR="00A35674" w:rsidRDefault="00A35674" w:rsidP="00A35674">
      <w:pPr>
        <w:pStyle w:val="references"/>
      </w:pPr>
      <w:r>
        <w:t>T. B. Brown et al., "Language models are few-shot learners," in Adv. Neural Inf. Process. Syst. (NeurIPS), vol. 33, 2020, pp. 1877-1901.</w:t>
      </w:r>
    </w:p>
    <w:p w14:paraId="644FE931" w14:textId="41F748C2" w:rsidR="00A35674" w:rsidRDefault="00A35674" w:rsidP="00A35674">
      <w:pPr>
        <w:pStyle w:val="references"/>
      </w:pPr>
      <w:r>
        <w:t>A. Vaswani et al., "Attention is all you need," in Adv. Neural Inf. Process. Syst. (NeurIPS), vol. 30, 2017, pp. 5998-6008.</w:t>
      </w:r>
    </w:p>
    <w:p w14:paraId="68B1E33A" w14:textId="2CDCD3AF" w:rsidR="00A35674" w:rsidRDefault="00A35674" w:rsidP="00A35674">
      <w:pPr>
        <w:pStyle w:val="references"/>
      </w:pPr>
      <w:r>
        <w:t xml:space="preserve"> S. Yao et al., "ReAct: Synergizing reasoning and acting in language models," 2023, arXiv:2210.03629. [Online]. Available: https://arxiv.org/abs/2210.03629</w:t>
      </w:r>
    </w:p>
    <w:p w14:paraId="0B670D87" w14:textId="69257F24" w:rsidR="00A35674" w:rsidRDefault="00A35674" w:rsidP="00A35674">
      <w:pPr>
        <w:pStyle w:val="references"/>
      </w:pPr>
      <w:r>
        <w:t>M. Sandler, A. Howard, M. Zhu, A. Zhmoginov, and L.-C. Chen, "MobileNetV2: Inverted residuals and linear bottlenecks," in Proc. IEEE CVPR, Salt Lake City, UT, USA, 2018, pp. 4510-4520.</w:t>
      </w:r>
    </w:p>
    <w:p w14:paraId="0B7EA546" w14:textId="79D4F05A" w:rsidR="00A35674" w:rsidRDefault="00A35674" w:rsidP="00A35674">
      <w:pPr>
        <w:pStyle w:val="references"/>
      </w:pPr>
      <w:r>
        <w:t>I. Goodfellow, Y. Bengio, and A. Courville, Deep Learning. Cambridge, MA, USA: MIT Press, 2016.</w:t>
      </w:r>
    </w:p>
    <w:p w14:paraId="14972EDF" w14:textId="65E19092" w:rsidR="00A35674" w:rsidRDefault="00A35674" w:rsidP="00A35674">
      <w:pPr>
        <w:pStyle w:val="references"/>
      </w:pPr>
      <w:r>
        <w:t>OpenAI, "GPT-4 technical report," 2023, arXiv:2303.08774. [Online]. Available: https://arxiv.org/abs/2303.08774</w:t>
      </w:r>
    </w:p>
    <w:p w14:paraId="06EDDC95" w14:textId="218B9D0C" w:rsidR="00A35674" w:rsidRDefault="00A35674" w:rsidP="00A35674">
      <w:pPr>
        <w:pStyle w:val="references"/>
      </w:pPr>
      <w:r>
        <w:t>H. Touvron et al., "LLaMA: Open and efficient foundation language models," 2023, arXiv:2302.13971. [Online]. Available: https://arxiv.org/abs/2302.13971</w:t>
      </w:r>
    </w:p>
    <w:p w14:paraId="6E34031D" w14:textId="6C516C2C" w:rsidR="00A35674" w:rsidRDefault="00A35674" w:rsidP="00A35674">
      <w:pPr>
        <w:pStyle w:val="references"/>
      </w:pPr>
      <w:r>
        <w:t>Google DeepMind, "Gemini: A family of highly capable multimodal models," 2024, arXiv:2312.11805. [Online]. Available: https://arxiv.org/abs/2312.11805</w:t>
      </w:r>
    </w:p>
    <w:p w14:paraId="5C685835" w14:textId="0EE6E933" w:rsidR="00A35674" w:rsidRDefault="00A35674" w:rsidP="00A35674">
      <w:pPr>
        <w:pStyle w:val="references"/>
      </w:pPr>
      <w:r>
        <w:t>J. Wei et al., "Chain-of-thought prompting elicits reasoning in large language models," 2022, arXiv:2201.11903.</w:t>
      </w:r>
    </w:p>
    <w:p w14:paraId="2A0CE004" w14:textId="7318F293" w:rsidR="00A35674" w:rsidRDefault="00A35674" w:rsidP="00A35674">
      <w:pPr>
        <w:pStyle w:val="references"/>
      </w:pPr>
      <w:r>
        <w:t>OpenAI, "Function calling and tool use in large language models," 2023.</w:t>
      </w:r>
    </w:p>
    <w:p w14:paraId="4AFACF78" w14:textId="2634B7E5" w:rsidR="00A35674" w:rsidRDefault="00A35674" w:rsidP="00A35674">
      <w:pPr>
        <w:pStyle w:val="references"/>
      </w:pPr>
      <w:r>
        <w:t>LangChain, "LangChain documentation," 2024. [Online]. Available: https://www.langchain.com</w:t>
      </w:r>
    </w:p>
    <w:p w14:paraId="12F61C84" w14:textId="20E6963A" w:rsidR="00A35674" w:rsidRDefault="00A35674" w:rsidP="00A35674">
      <w:pPr>
        <w:pStyle w:val="references"/>
      </w:pPr>
      <w:r>
        <w:t>LangGraph, "LangGraph documentation," 2024. [Online]. Available: https://langchain-ai.github.io/langgraph/</w:t>
      </w:r>
    </w:p>
    <w:p w14:paraId="06B0B957" w14:textId="65D7361A" w:rsidR="00A35674" w:rsidRDefault="00A35674" w:rsidP="00A35674">
      <w:pPr>
        <w:pStyle w:val="references"/>
      </w:pPr>
      <w:r>
        <w:t>S. Colvin, "Pydantic: Data validation using Python type hints," 2023. [Online]. Available: https://docs.pydantic.dev</w:t>
      </w:r>
    </w:p>
    <w:p w14:paraId="44C2F9B9" w14:textId="3EE4A31F" w:rsidR="00A35674" w:rsidRDefault="00A35674" w:rsidP="00A35674">
      <w:pPr>
        <w:pStyle w:val="references"/>
      </w:pPr>
      <w:r>
        <w:t>Amazon Web Services, "Amazon ECS documentation," 2024. [Online]. Available: https://docs.aws.amazon.com</w:t>
      </w:r>
    </w:p>
    <w:p w14:paraId="06F3141D" w14:textId="182E607D" w:rsidR="00A35674" w:rsidRDefault="00A35674" w:rsidP="00A35674">
      <w:pPr>
        <w:pStyle w:val="references"/>
      </w:pPr>
      <w:r>
        <w:t>Google Cloud, "Cloud Run documentation," 2024. [Online]. Available: https://cloud.google.com/run</w:t>
      </w:r>
    </w:p>
    <w:p w14:paraId="36575136" w14:textId="27E18ACE" w:rsidR="00A35674" w:rsidRDefault="00A35674" w:rsidP="00A35674">
      <w:pPr>
        <w:pStyle w:val="references"/>
      </w:pPr>
      <w:r>
        <w:t>Microsoft Azure, "Azure Container Apps documentation," 2024. [Online]. Available: https://learn.microsoft.com</w:t>
      </w:r>
    </w:p>
    <w:p w14:paraId="4ED352B1" w14:textId="1CD81821" w:rsidR="00A35674" w:rsidRDefault="00A35674" w:rsidP="00A35674">
      <w:pPr>
        <w:pStyle w:val="references"/>
      </w:pPr>
      <w:r>
        <w:t>M. Abadi et al., "TensorFlow: Large-scale machine learning on heterogeneous systems," 2016.</w:t>
      </w:r>
    </w:p>
    <w:p w14:paraId="1C18347C" w14:textId="2158ADC0" w:rsidR="00A35674" w:rsidRDefault="00A35674" w:rsidP="00A35674">
      <w:pPr>
        <w:pStyle w:val="references"/>
      </w:pPr>
      <w:r>
        <w:t>A. Paszke et al., "PyTorch: An imperative style, high-performance deep learning library," in Adv. Neural Inf. Process. Syst. (NeurIPS), 2019.</w:t>
      </w:r>
    </w:p>
    <w:p w14:paraId="67A226E7" w14:textId="6A58B29F" w:rsidR="00A35674" w:rsidRDefault="00A35674" w:rsidP="00A35674">
      <w:pPr>
        <w:pStyle w:val="references"/>
      </w:pPr>
      <w:r>
        <w:t>D. P. Kingma and J. Ba, "Adam: A method for stochastic optimization," 2015, arXiv:1412.6980.</w:t>
      </w:r>
    </w:p>
    <w:p w14:paraId="52BB4C0D" w14:textId="1A0E6304" w:rsidR="00A35674" w:rsidRDefault="00A35674" w:rsidP="00A35674">
      <w:pPr>
        <w:pStyle w:val="references"/>
      </w:pPr>
      <w:r>
        <w:t>Docker Inc., "Docker documentation," 2024. [Online]. Available: https://docs.docker.com</w:t>
      </w:r>
    </w:p>
    <w:p w14:paraId="76616A48" w14:textId="0ED159B5" w:rsidR="00A35674" w:rsidRDefault="00A35674" w:rsidP="00A35674">
      <w:pPr>
        <w:pStyle w:val="references"/>
      </w:pPr>
      <w:r>
        <w:t>Kubernetes, "Kubernetes documentation," 2024. [Online]. Available: https://kubernetes.io</w:t>
      </w:r>
    </w:p>
    <w:p w14:paraId="2CBC4D6A" w14:textId="3DEDB0CE"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EF2B8B8" w14:textId="38841385" w:rsidR="009303D9" w:rsidRDefault="009303D9" w:rsidP="00A35674"/>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6FB5724" w14:textId="77777777" w:rsidR="00A60B47" w:rsidRDefault="00A60B47" w:rsidP="001A3B3D">
      <w:r>
        <w:separator/>
      </w:r>
    </w:p>
  </w:endnote>
  <w:endnote w:type="continuationSeparator" w:id="0">
    <w:p w14:paraId="5746B8AF" w14:textId="77777777" w:rsidR="00A60B47" w:rsidRDefault="00A60B4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36CBBCC" w14:textId="77777777" w:rsidR="00A60B47" w:rsidRDefault="00A60B47" w:rsidP="001A3B3D">
      <w:r>
        <w:separator/>
      </w:r>
    </w:p>
  </w:footnote>
  <w:footnote w:type="continuationSeparator" w:id="0">
    <w:p w14:paraId="48DF1B96" w14:textId="77777777" w:rsidR="00A60B47" w:rsidRDefault="00A60B47"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B7A04"/>
    <w:rsid w:val="000C1E68"/>
    <w:rsid w:val="001A2EFD"/>
    <w:rsid w:val="001A3B3D"/>
    <w:rsid w:val="001B67DC"/>
    <w:rsid w:val="002254A9"/>
    <w:rsid w:val="00233D97"/>
    <w:rsid w:val="002347A2"/>
    <w:rsid w:val="0025495C"/>
    <w:rsid w:val="002850E3"/>
    <w:rsid w:val="00354FCF"/>
    <w:rsid w:val="003727B2"/>
    <w:rsid w:val="003A19E2"/>
    <w:rsid w:val="003B2B40"/>
    <w:rsid w:val="003B4E04"/>
    <w:rsid w:val="003C59F8"/>
    <w:rsid w:val="003F5A08"/>
    <w:rsid w:val="00420716"/>
    <w:rsid w:val="004325FB"/>
    <w:rsid w:val="004432BA"/>
    <w:rsid w:val="0044407E"/>
    <w:rsid w:val="00447BB9"/>
    <w:rsid w:val="0046031D"/>
    <w:rsid w:val="00473AC9"/>
    <w:rsid w:val="004D72B5"/>
    <w:rsid w:val="00507478"/>
    <w:rsid w:val="00551B7F"/>
    <w:rsid w:val="0056610F"/>
    <w:rsid w:val="00575BCA"/>
    <w:rsid w:val="005B0344"/>
    <w:rsid w:val="005B520E"/>
    <w:rsid w:val="005D060B"/>
    <w:rsid w:val="005E2800"/>
    <w:rsid w:val="005F65C8"/>
    <w:rsid w:val="00605825"/>
    <w:rsid w:val="00645D22"/>
    <w:rsid w:val="00651A08"/>
    <w:rsid w:val="00654204"/>
    <w:rsid w:val="00670434"/>
    <w:rsid w:val="006A5C20"/>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17F36"/>
    <w:rsid w:val="009303D9"/>
    <w:rsid w:val="00933C64"/>
    <w:rsid w:val="00972203"/>
    <w:rsid w:val="009B3F9F"/>
    <w:rsid w:val="009C7314"/>
    <w:rsid w:val="009F1D79"/>
    <w:rsid w:val="00A059B3"/>
    <w:rsid w:val="00A35674"/>
    <w:rsid w:val="00A60B47"/>
    <w:rsid w:val="00AE3409"/>
    <w:rsid w:val="00B11A60"/>
    <w:rsid w:val="00B22613"/>
    <w:rsid w:val="00B44A76"/>
    <w:rsid w:val="00B72293"/>
    <w:rsid w:val="00B768D1"/>
    <w:rsid w:val="00BA0664"/>
    <w:rsid w:val="00BA1025"/>
    <w:rsid w:val="00BC1276"/>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50C0F"/>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F9F"/>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2Char">
    <w:name w:val="Heading 2 Char"/>
    <w:basedOn w:val="DefaultParagraphFont"/>
    <w:link w:val="Heading2"/>
    <w:rsid w:val="003727B2"/>
    <w:rPr>
      <w:i/>
      <w:iCs/>
      <w:noProof/>
    </w:rPr>
  </w:style>
  <w:style w:type="character" w:customStyle="1" w:styleId="Heading1Char">
    <w:name w:val="Heading 1 Char"/>
    <w:basedOn w:val="DefaultParagraphFont"/>
    <w:link w:val="Heading1"/>
    <w:rsid w:val="00507478"/>
    <w:rPr>
      <w:smallCaps/>
      <w:noProof/>
    </w:rPr>
  </w:style>
  <w:style w:type="character" w:customStyle="1" w:styleId="Heading4Char">
    <w:name w:val="Heading 4 Char"/>
    <w:basedOn w:val="DefaultParagraphFont"/>
    <w:link w:val="Heading4"/>
    <w:rsid w:val="00507478"/>
    <w:rPr>
      <w:i/>
      <w:iCs/>
      <w:noProof/>
    </w:rPr>
  </w:style>
  <w:style w:type="character" w:styleId="Strong">
    <w:name w:val="Strong"/>
    <w:basedOn w:val="DefaultParagraphFont"/>
    <w:uiPriority w:val="22"/>
    <w:qFormat/>
    <w:rsid w:val="009B3F9F"/>
    <w:rPr>
      <w:b/>
      <w:bCs/>
    </w:rPr>
  </w:style>
  <w:style w:type="character" w:customStyle="1" w:styleId="Heading5Char">
    <w:name w:val="Heading 5 Char"/>
    <w:basedOn w:val="DefaultParagraphFont"/>
    <w:link w:val="Heading5"/>
    <w:rsid w:val="009B3F9F"/>
    <w:rPr>
      <w:smallCaps/>
      <w:noProof/>
    </w:rPr>
  </w:style>
  <w:style w:type="table" w:styleId="TableGrid">
    <w:name w:val="Table Grid"/>
    <w:basedOn w:val="TableNormal"/>
    <w:rsid w:val="003C59F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9</TotalTime>
  <Pages>4</Pages>
  <Words>3426</Words>
  <Characters>19533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Anirudh M R</cp:lastModifiedBy>
  <cp:revision>3</cp:revision>
  <cp:lastPrinted>2026-05-11T17:24:00Z</cp:lastPrinted>
  <dcterms:created xsi:type="dcterms:W3CDTF">2026-05-11T17:58:00Z</dcterms:created>
  <dcterms:modified xsi:type="dcterms:W3CDTF">2026-05-11T20:07:00Z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55cfda8e-d43a-41ce-811e-a3bf3efdc0ac</vt:lpwstr>
  </property>
</Properties>
</file>