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436E095E" w:rsidR="009303D9" w:rsidRDefault="005D5D02" w:rsidP="006347CF">
      <w:pPr>
        <w:pStyle w:val="papertitle"/>
        <w:spacing w:before="5pt" w:beforeAutospacing="1" w:after="5pt" w:afterAutospacing="1"/>
      </w:pPr>
      <w:r>
        <w:t>AI-Mediated Genomic Selection, Ectogenesis, and Epigenetic Engineering: A Technological Convergence and Its Ethical Implications</w:t>
      </w:r>
    </w:p>
    <w:p w14:paraId="517AC20D" w14:textId="170C06D0" w:rsidR="00D7522C" w:rsidRDefault="00D7522C" w:rsidP="00156B74">
      <w:pPr>
        <w:pStyle w:val="Author"/>
        <w:spacing w:before="5pt" w:beforeAutospacing="1" w:after="5pt" w:afterAutospacing="1"/>
        <w:rPr>
          <w:sz w:val="16"/>
          <w:szCs w:val="16"/>
        </w:rPr>
      </w:pP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0BD23894" w14:textId="1AD12A42" w:rsidR="004F46EE" w:rsidRDefault="001A3B3D" w:rsidP="004F46EE">
      <w:pPr>
        <w:pStyle w:val="Author"/>
        <w:spacing w:before="5pt" w:beforeAutospacing="1"/>
        <w:rPr>
          <w:sz w:val="18"/>
          <w:szCs w:val="18"/>
          <w:lang w:val="it-IT"/>
        </w:rPr>
      </w:pPr>
      <w:r w:rsidRPr="008F3F0D">
        <w:rPr>
          <w:sz w:val="18"/>
          <w:szCs w:val="18"/>
        </w:rPr>
        <w:t xml:space="preserve"> </w:t>
      </w:r>
      <w:r w:rsidR="00D920AC">
        <w:rPr>
          <w:sz w:val="18"/>
          <w:szCs w:val="18"/>
          <w:lang w:val="it-IT"/>
        </w:rPr>
        <w:t>Cristina Brasi</w:t>
      </w:r>
      <w:r w:rsidR="004F46EE">
        <w:rPr>
          <w:sz w:val="18"/>
          <w:szCs w:val="18"/>
          <w:lang w:val="it-IT"/>
        </w:rPr>
        <w:t>*</w:t>
      </w:r>
      <w:r w:rsidR="00D72D06" w:rsidRPr="006502A7">
        <w:rPr>
          <w:sz w:val="18"/>
          <w:szCs w:val="18"/>
          <w:lang w:val="it-IT"/>
        </w:rPr>
        <w:br/>
      </w:r>
      <w:r w:rsidR="009303D9" w:rsidRPr="006502A7">
        <w:rPr>
          <w:sz w:val="18"/>
          <w:szCs w:val="18"/>
          <w:lang w:val="it-IT"/>
        </w:rPr>
        <w:t xml:space="preserve"> </w:t>
      </w:r>
      <w:r w:rsidR="00231806" w:rsidRPr="006502A7">
        <w:rPr>
          <w:i/>
          <w:sz w:val="18"/>
          <w:szCs w:val="18"/>
          <w:lang w:val="it-IT"/>
        </w:rPr>
        <w:t>FBA-LAB</w:t>
      </w:r>
      <w:r w:rsidRPr="006502A7">
        <w:rPr>
          <w:i/>
          <w:sz w:val="18"/>
          <w:szCs w:val="18"/>
          <w:lang w:val="it-IT"/>
        </w:rPr>
        <w:br/>
      </w:r>
      <w:bookmarkStart w:id="0" w:name="_Hlk214100410"/>
      <w:r w:rsidR="009303D9" w:rsidRPr="006502A7">
        <w:rPr>
          <w:sz w:val="18"/>
          <w:szCs w:val="18"/>
          <w:lang w:val="it-IT"/>
        </w:rPr>
        <w:t xml:space="preserve"> </w:t>
      </w:r>
      <w:bookmarkStart w:id="1" w:name="_Hlk214100328"/>
      <w:r w:rsidR="00231806" w:rsidRPr="006502A7">
        <w:rPr>
          <w:sz w:val="18"/>
          <w:szCs w:val="18"/>
          <w:lang w:val="it-IT"/>
        </w:rPr>
        <w:t>Via Caronti 5, 22026, Maslianico, Italy</w:t>
      </w:r>
      <w:bookmarkEnd w:id="1"/>
      <w:r w:rsidRPr="006502A7">
        <w:rPr>
          <w:sz w:val="18"/>
          <w:szCs w:val="18"/>
          <w:lang w:val="it-IT"/>
        </w:rPr>
        <w:br/>
      </w:r>
      <w:bookmarkEnd w:id="0"/>
      <w:r w:rsidR="00231806" w:rsidRPr="006502A7">
        <w:rPr>
          <w:sz w:val="18"/>
          <w:szCs w:val="18"/>
          <w:lang w:val="it-IT"/>
        </w:rPr>
        <w:t>cb@cristinabrasi.com</w:t>
      </w:r>
      <w:r w:rsidR="006347CF" w:rsidRPr="006502A7">
        <w:rPr>
          <w:sz w:val="18"/>
          <w:szCs w:val="18"/>
          <w:lang w:val="it-IT"/>
        </w:rPr>
        <w:br/>
      </w:r>
      <w:r w:rsidR="006347CF" w:rsidRPr="006502A7">
        <w:rPr>
          <w:sz w:val="18"/>
          <w:szCs w:val="18"/>
          <w:lang w:val="it-IT"/>
        </w:rPr>
        <w:br/>
      </w:r>
      <w:r w:rsidR="006502A7" w:rsidRPr="006502A7">
        <w:rPr>
          <w:sz w:val="18"/>
          <w:szCs w:val="18"/>
          <w:lang w:val="it-IT"/>
        </w:rPr>
        <w:t xml:space="preserve"> Rosario</w:t>
      </w:r>
      <w:r w:rsidR="00D920AC">
        <w:rPr>
          <w:sz w:val="18"/>
          <w:szCs w:val="18"/>
          <w:lang w:val="it-IT"/>
        </w:rPr>
        <w:t xml:space="preserve"> Moscato</w:t>
      </w:r>
    </w:p>
    <w:p w14:paraId="03D79391" w14:textId="06FF50FA" w:rsidR="006502A7" w:rsidRPr="006502A7" w:rsidRDefault="001A3B3D" w:rsidP="004F46EE">
      <w:pPr>
        <w:pStyle w:val="Author"/>
        <w:spacing w:before="5pt" w:beforeAutospacing="1"/>
        <w:rPr>
          <w:sz w:val="18"/>
          <w:szCs w:val="18"/>
          <w:lang w:val="it-IT"/>
        </w:rPr>
      </w:pPr>
      <w:r w:rsidRPr="006502A7">
        <w:rPr>
          <w:sz w:val="18"/>
          <w:szCs w:val="18"/>
          <w:lang w:val="it-IT"/>
        </w:rPr>
        <w:t xml:space="preserve"> </w:t>
      </w:r>
      <w:r w:rsidR="006502A7" w:rsidRPr="006502A7">
        <w:rPr>
          <w:i/>
          <w:sz w:val="18"/>
          <w:szCs w:val="18"/>
          <w:lang w:val="it-IT"/>
        </w:rPr>
        <w:t>FBA-LAB</w:t>
      </w:r>
      <w:r w:rsidRPr="006502A7">
        <w:rPr>
          <w:i/>
          <w:sz w:val="18"/>
          <w:szCs w:val="18"/>
          <w:lang w:val="it-IT"/>
        </w:rPr>
        <w:br/>
      </w:r>
      <w:r w:rsidRPr="006502A7">
        <w:rPr>
          <w:sz w:val="18"/>
          <w:szCs w:val="18"/>
          <w:lang w:val="it-IT"/>
        </w:rPr>
        <w:t xml:space="preserve"> </w:t>
      </w:r>
      <w:r w:rsidR="006502A7" w:rsidRPr="006502A7">
        <w:rPr>
          <w:sz w:val="18"/>
          <w:szCs w:val="18"/>
          <w:lang w:val="it-IT"/>
        </w:rPr>
        <w:t>Via Caronti 5, 22026, Maslianico, Italy</w:t>
      </w:r>
      <w:r w:rsidRPr="006502A7">
        <w:rPr>
          <w:sz w:val="18"/>
          <w:szCs w:val="18"/>
          <w:lang w:val="it-IT"/>
        </w:rPr>
        <w:br/>
        <w:t xml:space="preserve">line 5: </w:t>
      </w:r>
      <w:r w:rsidR="006502A7" w:rsidRPr="006502A7">
        <w:rPr>
          <w:sz w:val="18"/>
          <w:szCs w:val="18"/>
          <w:lang w:val="it-IT"/>
        </w:rPr>
        <w:t>rosario.moscato@etik.com</w:t>
      </w:r>
      <w:r w:rsidR="006347CF" w:rsidRPr="006502A7">
        <w:rPr>
          <w:sz w:val="18"/>
          <w:szCs w:val="18"/>
          <w:lang w:val="it-IT"/>
        </w:rPr>
        <w:br/>
      </w:r>
      <w:r w:rsidR="006347CF" w:rsidRPr="006502A7">
        <w:rPr>
          <w:sz w:val="18"/>
          <w:szCs w:val="18"/>
          <w:lang w:val="it-IT"/>
        </w:rPr>
        <w:br/>
      </w:r>
      <w:r w:rsidR="006502A7" w:rsidRPr="006502A7">
        <w:rPr>
          <w:sz w:val="18"/>
          <w:szCs w:val="18"/>
          <w:lang w:val="it-IT"/>
        </w:rPr>
        <w:t xml:space="preserve"> Beatrice</w:t>
      </w:r>
      <w:r w:rsidR="00D920AC">
        <w:rPr>
          <w:sz w:val="18"/>
          <w:szCs w:val="18"/>
          <w:lang w:val="it-IT"/>
        </w:rPr>
        <w:t xml:space="preserve"> Seccomandi</w:t>
      </w:r>
      <w:r w:rsidRPr="006502A7">
        <w:rPr>
          <w:sz w:val="18"/>
          <w:szCs w:val="18"/>
          <w:lang w:val="it-IT"/>
        </w:rPr>
        <w:br/>
      </w:r>
      <w:r w:rsidRPr="006502A7">
        <w:rPr>
          <w:sz w:val="18"/>
          <w:szCs w:val="18"/>
          <w:lang w:val="it-IT"/>
        </w:rPr>
        <w:t xml:space="preserve"> </w:t>
      </w:r>
      <w:r w:rsidR="006502A7" w:rsidRPr="006502A7">
        <w:rPr>
          <w:i/>
          <w:sz w:val="18"/>
          <w:szCs w:val="18"/>
          <w:lang w:val="it-IT"/>
        </w:rPr>
        <w:t>FBA-LAB</w:t>
      </w:r>
      <w:r w:rsidRPr="006502A7">
        <w:rPr>
          <w:i/>
          <w:sz w:val="18"/>
          <w:szCs w:val="18"/>
          <w:lang w:val="it-IT"/>
        </w:rPr>
        <w:br/>
      </w:r>
      <w:r w:rsidRPr="006502A7">
        <w:rPr>
          <w:sz w:val="18"/>
          <w:szCs w:val="18"/>
          <w:lang w:val="it-IT"/>
        </w:rPr>
        <w:t xml:space="preserve"> </w:t>
      </w:r>
      <w:r w:rsidR="006502A7" w:rsidRPr="006502A7">
        <w:rPr>
          <w:sz w:val="18"/>
          <w:szCs w:val="18"/>
          <w:lang w:val="it-IT"/>
        </w:rPr>
        <w:t>Via Caronti 5, 22026, Maslianico, Italy</w:t>
      </w:r>
      <w:r w:rsidRPr="006502A7">
        <w:rPr>
          <w:sz w:val="18"/>
          <w:szCs w:val="18"/>
          <w:lang w:val="it-IT"/>
        </w:rPr>
        <w:br/>
      </w:r>
      <w:r w:rsidR="006502A7" w:rsidRPr="006502A7">
        <w:rPr>
          <w:sz w:val="18"/>
          <w:szCs w:val="18"/>
          <w:lang w:val="it-IT"/>
        </w:rPr>
        <w:t>bea.</w:t>
      </w:r>
      <w:r w:rsidR="006502A7">
        <w:rPr>
          <w:sz w:val="18"/>
          <w:szCs w:val="18"/>
          <w:lang w:val="it-IT"/>
        </w:rPr>
        <w:t>seccomandi@gmail.com</w:t>
      </w:r>
      <w:r w:rsidR="00547E73" w:rsidRPr="006502A7">
        <w:rPr>
          <w:sz w:val="18"/>
          <w:szCs w:val="18"/>
          <w:lang w:val="it-IT"/>
        </w:rPr>
        <w:t xml:space="preserve"> </w:t>
      </w:r>
    </w:p>
    <w:p w14:paraId="7DC3BD49" w14:textId="74E75F60" w:rsidR="001A3B3D" w:rsidRPr="006347CF" w:rsidRDefault="006502A7"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8F3F0D">
        <w:rPr>
          <w:sz w:val="18"/>
          <w:szCs w:val="18"/>
        </w:rPr>
        <w:t xml:space="preserve"> </w:t>
      </w:r>
      <w:r>
        <w:rPr>
          <w:sz w:val="18"/>
          <w:szCs w:val="18"/>
        </w:rPr>
        <w:t>Filippo</w:t>
      </w:r>
      <w:r w:rsidR="00D920AC">
        <w:rPr>
          <w:sz w:val="18"/>
          <w:szCs w:val="18"/>
        </w:rPr>
        <w:t xml:space="preserve"> Sanfilippo</w:t>
      </w:r>
      <w:r w:rsidR="008F3F0D">
        <w:rPr>
          <w:sz w:val="18"/>
          <w:szCs w:val="18"/>
        </w:rPr>
        <w:t>*</w:t>
      </w:r>
      <w:r w:rsidR="001A3B3D" w:rsidRPr="00F847A6">
        <w:rPr>
          <w:sz w:val="18"/>
          <w:szCs w:val="18"/>
        </w:rPr>
        <w:br/>
      </w:r>
      <w:r w:rsidR="001A3B3D" w:rsidRPr="00F847A6">
        <w:rPr>
          <w:i/>
          <w:sz w:val="18"/>
          <w:szCs w:val="18"/>
        </w:rPr>
        <w:t>dep</w:t>
      </w:r>
      <w:r>
        <w:rPr>
          <w:i/>
          <w:sz w:val="18"/>
          <w:szCs w:val="18"/>
        </w:rPr>
        <w:t>artment of Engineering Sciences</w:t>
      </w:r>
      <w:r w:rsidR="001A3B3D" w:rsidRPr="00F847A6">
        <w:rPr>
          <w:sz w:val="18"/>
          <w:szCs w:val="18"/>
        </w:rPr>
        <w:br/>
      </w:r>
      <w:r>
        <w:rPr>
          <w:i/>
          <w:sz w:val="18"/>
          <w:szCs w:val="18"/>
        </w:rPr>
        <w:t>University of Adger</w:t>
      </w:r>
      <w:r w:rsidR="001A3B3D" w:rsidRPr="00F847A6">
        <w:rPr>
          <w:i/>
          <w:sz w:val="18"/>
          <w:szCs w:val="18"/>
        </w:rPr>
        <w:br/>
      </w:r>
      <w:r w:rsidR="001A3B3D" w:rsidRPr="00F847A6">
        <w:rPr>
          <w:sz w:val="18"/>
          <w:szCs w:val="18"/>
        </w:rPr>
        <w:t xml:space="preserve"> </w:t>
      </w:r>
      <w:r>
        <w:rPr>
          <w:sz w:val="18"/>
          <w:szCs w:val="18"/>
        </w:rPr>
        <w:t>Grimstad, Norway, 4879</w:t>
      </w:r>
      <w:r w:rsidR="001A3B3D" w:rsidRPr="00F847A6">
        <w:rPr>
          <w:sz w:val="18"/>
          <w:szCs w:val="18"/>
        </w:rPr>
        <w:br/>
        <w:t xml:space="preserve"> </w:t>
      </w:r>
      <w:r>
        <w:rPr>
          <w:sz w:val="18"/>
          <w:szCs w:val="18"/>
        </w:rPr>
        <w:t>filippo.sanfilippo@uia.no</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1C0700B3" w14:textId="19C3BE64" w:rsidR="00CA4392" w:rsidRDefault="00CA4392" w:rsidP="006502A7">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9DA0FA7" w:rsidR="004D72B5" w:rsidRDefault="009303D9" w:rsidP="00972203">
      <w:pPr>
        <w:pStyle w:val="Abstract"/>
        <w:rPr>
          <w:i/>
          <w:iCs/>
        </w:rPr>
      </w:pPr>
      <w:r>
        <w:rPr>
          <w:i/>
          <w:iCs/>
        </w:rPr>
        <w:t>Abstract</w:t>
      </w:r>
      <w:r>
        <w:t>—</w:t>
      </w:r>
      <w:r w:rsidR="001A42EA">
        <w:rPr>
          <w:iCs/>
        </w:rPr>
        <w:t xml:space="preserve"> </w:t>
      </w:r>
      <w:r w:rsidR="005D5D02" w:rsidRPr="005D5D02">
        <w:rPr>
          <w:iCs/>
        </w:rPr>
        <w:t>The aim of this paper is to establish that human gestation is far more than a passive incubation process, but rather it is a dynamic and intricate “maternal-fetal dialogue” mediated by hormonal, nutritional and sensory signals. These signals then serve as the foundational mechanism for pren</w:t>
      </w:r>
      <w:r w:rsidR="0063697A">
        <w:rPr>
          <w:iCs/>
        </w:rPr>
        <w:t>a</w:t>
      </w:r>
      <w:r w:rsidR="005D5D02" w:rsidRPr="005D5D02">
        <w:rPr>
          <w:iCs/>
        </w:rPr>
        <w:t>tal programming and epigenetic adaptability. It is argued that a hypothetical Artificial Womb Technology (AWT), if designed as a static and merely optimal environment, would deprive the fetus of these essential developmental inputs. Such deprivation could induce “epigenetic misprogramming”, particularly in gene</w:t>
      </w:r>
      <w:r w:rsidR="000D290D">
        <w:rPr>
          <w:iCs/>
        </w:rPr>
        <w:t>s</w:t>
      </w:r>
      <w:r w:rsidR="005D5D02" w:rsidRPr="005D5D02">
        <w:rPr>
          <w:iCs/>
        </w:rPr>
        <w:t xml:space="preserve"> regulating stress responses, such as NR3C1, and </w:t>
      </w:r>
      <w:r w:rsidR="000D290D">
        <w:rPr>
          <w:iCs/>
        </w:rPr>
        <w:t>brain plasticity</w:t>
      </w:r>
      <w:r w:rsidR="005D5D02" w:rsidRPr="005D5D02">
        <w:rPr>
          <w:iCs/>
        </w:rPr>
        <w:t>, such as BDNF, leading to a catastrophic mismatch between an individual programmed for stability and the unpredictable nature of post-natal world. It will be contended that a functional AWT cannot exist in isolation. Its very feasibility hinges on resolving the challenges of dynamic programming. This paper will hypothesize a future AI-orchestrated convergence of three currently distinct yet synergistic technological domains. This convergence would not only provide a potential “intervention strategy” to address the mismatch, but also give rise to an entirely new reproductive paradigm.</w:t>
      </w:r>
      <w:r w:rsidR="005D5D02">
        <w:rPr>
          <w:iCs/>
        </w:rPr>
        <w:t xml:space="preserve"> </w:t>
      </w:r>
    </w:p>
    <w:p w14:paraId="3F9CDE0E" w14:textId="3817F9A7" w:rsidR="009303D9" w:rsidRPr="004D72B5" w:rsidRDefault="004D72B5" w:rsidP="00972203">
      <w:pPr>
        <w:pStyle w:val="Keywords"/>
      </w:pPr>
      <w:r w:rsidRPr="00D920AC">
        <w:t>Keywords</w:t>
      </w:r>
      <w:r w:rsidR="00093DB8">
        <w:t xml:space="preserve">- Genomic Selection, Epigenetic Engineering, Gestateling. </w:t>
      </w:r>
    </w:p>
    <w:p w14:paraId="7FFFA702" w14:textId="161C490C" w:rsidR="009303D9" w:rsidRDefault="009303D9" w:rsidP="006B6B66">
      <w:pPr>
        <w:pStyle w:val="Titolo1"/>
      </w:pPr>
      <w:bookmarkStart w:id="2" w:name="_Hlk215569555"/>
      <w:r w:rsidRPr="00D632BE">
        <w:t xml:space="preserve">Introduction </w:t>
      </w:r>
      <w:bookmarkEnd w:id="2"/>
    </w:p>
    <w:p w14:paraId="51EBAB51" w14:textId="39512648" w:rsidR="005D5D02" w:rsidRDefault="005D5D02" w:rsidP="005D5D02">
      <w:pPr>
        <w:jc w:val="both"/>
      </w:pPr>
      <w:r w:rsidRPr="005D5D02">
        <w:t xml:space="preserve">The convergence we envision unfolds across three distinct yet interdependent phases. First, AI-driven advanced embryonic selection through pre-implantation genetic testing (PGT-P), enabling precise genomic screening to inform developmental outcomes. Second, the evolution of extra-uterine gestation, transitioning from neonatal “rescue” systems to fully autonomous robotic platforms, capable of supporting gestation from conception to term. Third, real-time epigenetic programming, where AI actively engineers the maternal-fetal dialogue, dynamically modulating phenotypic outcomes to align with adaptive demands. In this framework, AI serves as the central orchestrator, transforming AWT from a passive </w:t>
      </w:r>
      <w:r w:rsidRPr="005D5D02">
        <w:t>incubator (prone to inducing epigenetic mismatch) to an active responsive system capable of real-time phenotypic programming. Given the profound ethical implications of such a paradigm shift, these considerations will be explored along the societal, philosophical, and regulatory dimensions of this emerging reproductive frontier.</w:t>
      </w:r>
    </w:p>
    <w:p w14:paraId="793662B5" w14:textId="05AF83F6" w:rsidR="000D290D" w:rsidRDefault="000D290D" w:rsidP="005D5D02">
      <w:pPr>
        <w:jc w:val="both"/>
      </w:pPr>
    </w:p>
    <w:p w14:paraId="11DC5A6C" w14:textId="253AAA4A" w:rsidR="00F92AD7" w:rsidRDefault="000D290D" w:rsidP="000D290D">
      <w:pPr>
        <w:pStyle w:val="Titolo1"/>
      </w:pPr>
      <w:r>
        <w:t>Background work</w:t>
      </w:r>
    </w:p>
    <w:p w14:paraId="275E7EBB" w14:textId="07557ED1" w:rsidR="00F92AD7" w:rsidRDefault="00F634A9" w:rsidP="00F92AD7">
      <w:pPr>
        <w:jc w:val="both"/>
      </w:pPr>
      <w:r>
        <w:t>The intersection of artificial intelligence (AI)</w:t>
      </w:r>
      <w:r w:rsidR="00F92AD7">
        <w:t xml:space="preserve"> assisted reproductive technologies (ART), and epigenetic programming has emerged as a transformative frontier in biomedical research. Recent studies in AI-driven embryonic assessment have demonstrated the potential to surpass human expert accuracy in predicting implantation success, though challenges remain in translating morphological evaluations into clinically actionable insights. For instance, a deep learning model was developed to analyze time-lapse embryo images, demonstrating high accuracy in predicting blastocyst viability but noting that dataset heterogeneity and lack of standardized imaging protocols limited generalizability across clinics [1]. Meanwhile, advances in polygenic embryo screening have raised questions about the predictive validity of complex trait modeling. </w:t>
      </w:r>
      <w:r w:rsidR="00067E68">
        <w:t xml:space="preserve">Some studies </w:t>
      </w:r>
      <w:r w:rsidR="00F92AD7">
        <w:t xml:space="preserve">emphasized the statistical limitations of polygenic risk scores (PRS) for embryonic selection, particularly for traits with low heritability and the risk of false positives when applied to diverse populations [2]. These findings underscore the need for robust validation frameworks before clinical adoption. </w:t>
      </w:r>
    </w:p>
    <w:p w14:paraId="34B11881" w14:textId="0ED242D2" w:rsidR="00F92AD7" w:rsidRDefault="00F92AD7" w:rsidP="00F92AD7">
      <w:pPr>
        <w:jc w:val="both"/>
      </w:pPr>
      <w:r>
        <w:t xml:space="preserve">In parallel, bioengineered gestation systems have progressed from theoretical constructs to preclinical prototypes, though their capacity to replicate the multidimensional maternal-fetal interface remains limited. Studies demonstrated a sustained ex utero culture of mouse embryos for up to 12 days using a rotating bioreactor system, but the model lacked hormonal </w:t>
      </w:r>
      <w:r>
        <w:lastRenderedPageBreak/>
        <w:t xml:space="preserve">signaling and mechanical stimuli critical for epigenetic programming [3]. Similarly, others identified transcriptomic and metabolic divergences between in utero and ex utero development in a porcine model, suggesting that even advanced artificial wombs may induce subtle but consequential deviations in fetal development without real-time adaptive modulation [4]. These studies collectively highlight the technical hurdles in replicating the dynamic maternal environment. </w:t>
      </w:r>
    </w:p>
    <w:p w14:paraId="41456683" w14:textId="7D40EF8A" w:rsidR="00F92AD7" w:rsidRDefault="00F92AD7" w:rsidP="00F92AD7">
      <w:pPr>
        <w:jc w:val="both"/>
      </w:pPr>
      <w:r>
        <w:t xml:space="preserve">The third pillar of this evolving landscape, epigenetic engineering, has seen breakthroughs in “in vitro methylation editing” and environmental programming, yet applications to human gestation remain speculative. In one study, it was used CRISPR-dCas9-based epigenetic editing to modulate DNA methylation at the IGF2/H19 imprinting control region in mouse embryos, demonstrating targeted epigenetic rewiring but also revealing off-target effects in around 10% of cases, raising concerns about the precision-safety tradeoff in heritable epigenetic modifications [5]. Others explored the use of machine learning to predict methylation patterns from environmental exposures (e.g., maternal stress) in rhesus macaques, achieving 88% accuracy in forecasting epigenetic changes at stress-related genes like NR3C1 but noting that interindividual variability remained a major confounder [6]. These findings illustrate both the promise and pitfalls of epigenetic intervention, reinforcing the necessity for adaptive, context-aware systems. </w:t>
      </w:r>
    </w:p>
    <w:p w14:paraId="56A3AAB4" w14:textId="04987FF0" w:rsidR="00F92AD7" w:rsidRPr="00F92AD7" w:rsidRDefault="00F92AD7" w:rsidP="00F92AD7">
      <w:pPr>
        <w:jc w:val="both"/>
      </w:pPr>
      <w:r>
        <w:t>Despite these advancements, critical integrative gaps persist at the intersection of these domains. While AI has enhanced embryo selection and gestation simulation independently, no framework yet unifies these capabilities into a cohesive, dynamically responsive system. A 2023 study identified this fragmentation as the primary barrier to translating reproductive AI from discrete tools into comprehensive platforms, particularly for applications requiring real-time biological feedback [7]</w:t>
      </w:r>
    </w:p>
    <w:p w14:paraId="39662D63" w14:textId="341E84E0" w:rsidR="000D290D" w:rsidRDefault="000D290D" w:rsidP="00F92AD7">
      <w:pPr>
        <w:pStyle w:val="Titolo1"/>
        <w:numPr>
          <w:ilvl w:val="0"/>
          <w:numId w:val="0"/>
        </w:numPr>
        <w:ind w:start="10.80pt"/>
        <w:jc w:val="both"/>
      </w:pPr>
      <w:r>
        <w:t xml:space="preserve"> </w:t>
      </w:r>
    </w:p>
    <w:p w14:paraId="3EF35B8D" w14:textId="4A2C367C" w:rsidR="009303D9" w:rsidRDefault="005D5D02" w:rsidP="00F92AD7">
      <w:pPr>
        <w:pStyle w:val="Titolo1"/>
        <w:jc w:val="both"/>
      </w:pPr>
      <w:bookmarkStart w:id="3" w:name="_Hlk214097645"/>
      <w:r>
        <w:t>Phase 1: the architecture of selection- ai in pre-implantation genomic evaluation</w:t>
      </w:r>
    </w:p>
    <w:bookmarkEnd w:id="3"/>
    <w:p w14:paraId="425A56B8" w14:textId="46293C3B" w:rsidR="005D5D02" w:rsidRDefault="005D5D02" w:rsidP="00F92AD7">
      <w:pPr>
        <w:jc w:val="both"/>
      </w:pPr>
      <w:r w:rsidRPr="005D5D02">
        <w:t>The</w:t>
      </w:r>
      <w:r w:rsidR="009E128A">
        <w:t xml:space="preserve"> foundation of </w:t>
      </w:r>
      <w:proofErr w:type="gramStart"/>
      <w:r w:rsidR="009E128A">
        <w:t>this paradigms</w:t>
      </w:r>
      <w:proofErr w:type="gramEnd"/>
      <w:r w:rsidR="009E128A">
        <w:t xml:space="preserve"> lies</w:t>
      </w:r>
      <w:r w:rsidRPr="005D5D02">
        <w:t xml:space="preserve"> in the refinement of embryonic selection during in vitro fertilization (IVF) [</w:t>
      </w:r>
      <w:r w:rsidR="004E136E">
        <w:t>8</w:t>
      </w:r>
      <w:r w:rsidRPr="005D5D02">
        <w:t xml:space="preserve">]. </w:t>
      </w:r>
      <w:r w:rsidRPr="006C0B88">
        <w:t>Traditionally, this process has relied on subjective morphological evaluations conducted by embryologists [</w:t>
      </w:r>
      <w:r w:rsidR="004E136E">
        <w:t>9</w:t>
      </w:r>
      <w:r w:rsidRPr="006C0B88">
        <w:t>].</w:t>
      </w:r>
      <w:r w:rsidR="00C078F6">
        <w:t xml:space="preserve"> H</w:t>
      </w:r>
      <w:r w:rsidRPr="005D5D02">
        <w:t xml:space="preserve">owever, Artificial Intelligence, particularly through Deep Learning (DL) and Computer Vision, has reached significant advancements in this domain. </w:t>
      </w:r>
      <w:r w:rsidRPr="006C0B88">
        <w:t>High-impact scientific research confirms that AI models, by analyzing morphokinetic data from static or time-lapse imaging, consistently outperform human assessment in predicting clinical pregnancy outcomes and evaluating embryo morphology [</w:t>
      </w:r>
      <w:r w:rsidR="004E136E">
        <w:t>10</w:t>
      </w:r>
      <w:r w:rsidRPr="006C0B88">
        <w:t>]. A systematic review highlighted that, when integrating imaging and clinical data to forecast clinical pregnancy, AI achieves a median accuracy of 81.5%, compared to 51% for embryologists [</w:t>
      </w:r>
      <w:r w:rsidR="004E136E">
        <w:t>11</w:t>
      </w:r>
      <w:r w:rsidRPr="006C0B88">
        <w:t>].</w:t>
      </w:r>
      <w:r w:rsidRPr="005D5D02">
        <w:t xml:space="preserve"> F</w:t>
      </w:r>
      <w:r w:rsidR="004B75E8">
        <w:t>urthermore</w:t>
      </w:r>
      <w:r w:rsidRPr="005D5D02">
        <w:t>, non-invasive AI-driven platforms, such as STORK-A and ERICA, have shown enhanced predictive capabilities in determining embryo ploidy and viability [</w:t>
      </w:r>
      <w:r w:rsidR="004E136E">
        <w:t>9</w:t>
      </w:r>
      <w:r w:rsidRPr="005D5D02">
        <w:t>]</w:t>
      </w:r>
      <w:r w:rsidR="006C0B88">
        <w:t xml:space="preserve">. </w:t>
      </w:r>
      <w:r w:rsidRPr="005D5D02">
        <w:t xml:space="preserve"> </w:t>
      </w:r>
      <w:r w:rsidR="00C212AD">
        <w:t>Nevertheless</w:t>
      </w:r>
      <w:r w:rsidRPr="005D5D02">
        <w:t xml:space="preserve">, the </w:t>
      </w:r>
      <w:r w:rsidRPr="005D5D02">
        <w:t>true paradigm shift resides not in morphological grading but in the transition from aneuploidy screening (PGT-A) to polygenic disorder screening (PGT-P) [</w:t>
      </w:r>
      <w:r w:rsidR="001C3CBA">
        <w:t>12</w:t>
      </w:r>
      <w:r w:rsidRPr="005D5D02">
        <w:t>]. PGT-P utilizes DNA analysis from trophectoderm biopsies [</w:t>
      </w:r>
      <w:r w:rsidR="001C3CBA">
        <w:t>13</w:t>
      </w:r>
      <w:r w:rsidRPr="005D5D02">
        <w:t>] to calculate Polygenic Risk Scores (PRS), which aggregate variants across thousands of genetic markers (SNPs) to estimate the probabilistic risk of an individual developing complex adult-onset conditions, such as diabetes, cardiovascular disease, breast cancer, hypertension, and schizophrenia [</w:t>
      </w:r>
      <w:r w:rsidR="001C3CBA">
        <w:t>12</w:t>
      </w:r>
      <w:r w:rsidRPr="005D5D02">
        <w:t>]. Theoretically, this screening could also be extended to non-pathological traits, including height or cognitive ability [</w:t>
      </w:r>
      <w:r w:rsidR="001C3CBA">
        <w:t>14</w:t>
      </w:r>
      <w:r w:rsidRPr="005D5D02">
        <w:t xml:space="preserve">]. </w:t>
      </w:r>
      <w:r>
        <w:t>The transition to PGT-P is inherently dependent on artificial intelligence. While PGT-A identifies discrete chromosomal abnormalities through a binary "yes/no" outcome, PGT-P confronts a high-dimensional statistical prediction problem. The role of AI is to analyze these vast genomic datasets and compute a probabilistic risk score [</w:t>
      </w:r>
      <w:r w:rsidR="001C3CBA">
        <w:t>12</w:t>
      </w:r>
      <w:r>
        <w:t>]. AI is therefore not merely enhancing selection; it is enabling an entirely new selection paradigm based on the statistical prediction of future phenotypic outcomes.</w:t>
      </w:r>
    </w:p>
    <w:p w14:paraId="1D330060" w14:textId="4F26626B" w:rsidR="005D5D02" w:rsidRDefault="005D5D02" w:rsidP="00F92AD7">
      <w:pPr>
        <w:jc w:val="both"/>
      </w:pPr>
      <w:r>
        <w:t>This capability has led to rapid commercialization.</w:t>
      </w:r>
      <w:r w:rsidR="00C212AD">
        <w:t xml:space="preserve"> </w:t>
      </w:r>
      <w:r w:rsidR="006C0B88">
        <w:t>C</w:t>
      </w:r>
      <w:r>
        <w:t>ompanies such as Genomic Prediction (now part of CooperSurgical) have engineered this process into a practical application. Their "LifeView" platform employs AI analysis to generate an "Embryo Health Score" (EHS), a single numerical value that aggregates and ranks embryos based on their combined polygenic risk for a panel of diseases [</w:t>
      </w:r>
      <w:r w:rsidR="001C3CBA">
        <w:t>15</w:t>
      </w:r>
      <w:r>
        <w:t>]. This step is technically pivotal: AI quantifies an embryo's biological potential into a numerical output, rendering the embryo "machine-readable" and, consequently, its potential algorithmically "optimizable."</w:t>
      </w:r>
      <w:r w:rsidRPr="005D5D02">
        <w:t xml:space="preserve"> The rapid implementation of PGT-P has created a stark disconnect between commercial reality and scientific consensus. The American Society for Reproductive Medicine (ASRM) and other professional bodies classify PGT-P as "investigational" and advise against its clinical application outside of research protocols [</w:t>
      </w:r>
      <w:r w:rsidR="001C3CBA">
        <w:t>16</w:t>
      </w:r>
      <w:r w:rsidRPr="005D5D02">
        <w:t>]. Systematic reviews have concluded that the integration of AI in embryonic selection lacks current scientific justification due to the absence of randomized controlled trials (RCTs) [1</w:t>
      </w:r>
      <w:r w:rsidR="001C3CBA">
        <w:t>7</w:t>
      </w:r>
      <w:r w:rsidRPr="005D5D02">
        <w:t>]. Nevertheless, some companies already operate in a largely unregulated market, particularly in the United States [1</w:t>
      </w:r>
      <w:r w:rsidR="00245FC5">
        <w:t>8</w:t>
      </w:r>
      <w:r w:rsidRPr="005D5D02">
        <w:t>].</w:t>
      </w:r>
    </w:p>
    <w:p w14:paraId="0D788A36" w14:textId="645AEC7E" w:rsidR="005D5D02" w:rsidRDefault="005D5D02" w:rsidP="005D5D02">
      <w:pPr>
        <w:jc w:val="both"/>
      </w:pPr>
    </w:p>
    <w:p w14:paraId="5B5E2592" w14:textId="076EA2BD" w:rsidR="005D5D02" w:rsidRDefault="005D5D02" w:rsidP="005D5D02">
      <w:pPr>
        <w:pStyle w:val="Titolo1"/>
      </w:pPr>
      <w:bookmarkStart w:id="4" w:name="_Hlk214097905"/>
      <w:r>
        <w:t>Phase 2: the gestation platform- from partial ectogenesis to autonomous awt systems</w:t>
      </w:r>
    </w:p>
    <w:bookmarkEnd w:id="4"/>
    <w:p w14:paraId="18162298" w14:textId="2FF35AA6" w:rsidR="0063697A" w:rsidRDefault="005D5D02" w:rsidP="0063697A">
      <w:pPr>
        <w:jc w:val="both"/>
      </w:pPr>
      <w:r w:rsidRPr="005D5D02">
        <w:t>The second phase of this convergence shifts the selected embryo from the Petri dish to a long-term gestation platform. Artificial womb technology (AWT) currently exists in two distinct forms, each serving different purposes. The first is partial ectogenesis, or rescue technology, which represents the current state of the art technology: a radical advancement in neonatal intensive care therapy (NICU) designed to save extremely premature newborns at the threshold of viability (22–24 weeks). The foundational work for this type of technology introduced a system, known as EXTEND (EXTra-uterine Environment for Neonatal Development) or the "Biobag", which successfully supported the growth and maturation of premature lamb fetuses for up to four weeks [1</w:t>
      </w:r>
      <w:r w:rsidR="00245FC5">
        <w:t>9</w:t>
      </w:r>
      <w:r w:rsidRPr="005D5D02">
        <w:t xml:space="preserve">]. The </w:t>
      </w:r>
      <w:r w:rsidRPr="005D5D02">
        <w:lastRenderedPageBreak/>
        <w:t>bioengineering principles of EXTEND rely on a sealed fluid environment ("Biobag") and, critically, a pumpless arterio-venous circuit, where blood is driven solely by the fetal heart through a low-resistance oxygenator and dialysis circuit, mimicking fetal-placental circulation [</w:t>
      </w:r>
      <w:r w:rsidR="00245FC5">
        <w:t>20</w:t>
      </w:r>
      <w:r w:rsidRPr="005D5D02">
        <w:t>]. This technology is now in pre-clinical development and is being commercialization in the US, while similar systems, such as the EVE model, are concurrently being developed in Japan and Australia [</w:t>
      </w:r>
      <w:r w:rsidR="00245FC5">
        <w:t>21</w:t>
      </w:r>
      <w:r w:rsidRPr="005D5D02">
        <w:t>].</w:t>
      </w:r>
      <w:r w:rsidR="0063697A" w:rsidRPr="0063697A">
        <w:t xml:space="preserve"> The second form, distinct from the first, is full ectogenesis, or replacement technology. This represents a hypothetical future in which technology does not merely rescue a premature newborn but fully replaces gestation—from the embryo (selected in Phase 1) through to term [</w:t>
      </w:r>
      <w:r w:rsidR="00245FC5">
        <w:t>22</w:t>
      </w:r>
      <w:r w:rsidR="0063697A" w:rsidRPr="0063697A">
        <w:t>]. Some view this transition from IVF to AWT as the logical evolution of assisted reproductive technologies (ART) [</w:t>
      </w:r>
      <w:r w:rsidR="00245FC5">
        <w:t>23</w:t>
      </w:r>
      <w:r w:rsidR="0063697A" w:rsidRPr="0063697A">
        <w:t xml:space="preserve">]. Unlike partial ectogenesis, full ectogenesis is inconceivable without extremely advanced automation and monitoring. Artificial intelligence is the technical engine that must enable this shift. </w:t>
      </w:r>
      <w:r w:rsidR="0063697A">
        <w:t>Research in this field, though more speculative, is already underway, particularly regarding the role of AI as a supervisor, or "AI Nanny." Recent research has developed an "AI Nanny" system—a real-time monitoring framework for long-term embryo culture. Technically, this system employs AI to continuously track embryonic development through computer vision, detect changes and anomalies, dynamically adjust the artificial environment (nutrient levels, CO₂ concentrations), and alert human technicians in cases of defects or embryonic failure [</w:t>
      </w:r>
      <w:r w:rsidR="00245FC5">
        <w:t>24</w:t>
      </w:r>
      <w:r w:rsidR="0063697A">
        <w:t>]. While currently tested on animal embryos, the stated goal is eventual human application [</w:t>
      </w:r>
      <w:r w:rsidR="00245FC5">
        <w:t>25</w:t>
      </w:r>
      <w:r w:rsidR="0063697A">
        <w:t>].</w:t>
      </w:r>
    </w:p>
    <w:p w14:paraId="6D8BDABC" w14:textId="48E53312" w:rsidR="0063697A" w:rsidRDefault="0063697A" w:rsidP="0063697A">
      <w:pPr>
        <w:jc w:val="both"/>
      </w:pPr>
      <w:r>
        <w:t>An even more integrated vision is that of AI as an embodied agent, or "Pregnancy Robot," proposed by Kaiwa Technology in China. Their project, announced in 2025, aims to develop a humanoid "gestating robot" that embeds a mature artificial womb within a robotic interface, enabling interaction between AI and humans throughout the gestation process [</w:t>
      </w:r>
      <w:r w:rsidR="00245FC5">
        <w:t>26</w:t>
      </w:r>
      <w:r>
        <w:t>]. The most profound and technically specific implication of AWT is its direct challenge to the legal status of personhood [2</w:t>
      </w:r>
      <w:r w:rsidR="00245FC5">
        <w:t>7</w:t>
      </w:r>
      <w:r>
        <w:t>]. Western legal systems rely on a binary distinction: a fetus, with limited rights, and a newborn, with full personhood rights. This legal separation is defined by the threshold of birth, known as the "born alive threshold” [2</w:t>
      </w:r>
      <w:r w:rsidR="00245FC5">
        <w:t>8</w:t>
      </w:r>
      <w:r>
        <w:t>].  AWT creates an entity that fits neither category. It is not a fetus, as it is physically separated from the mother and exists ex utero, nor is it a newborn, as it remains physiologically dependent, existing in a state of ongoing gestation and breathing fluid [2</w:t>
      </w:r>
      <w:r w:rsidR="00245FC5">
        <w:t>9</w:t>
      </w:r>
      <w:r>
        <w:t>]. This entity occupies an ontological and legal void.</w:t>
      </w:r>
    </w:p>
    <w:p w14:paraId="3A65EB4D" w14:textId="2ADBFB61" w:rsidR="005D5D02" w:rsidRDefault="0063697A" w:rsidP="0063697A">
      <w:pPr>
        <w:jc w:val="both"/>
      </w:pPr>
      <w:r>
        <w:t>To address this void, bioethical and legal literature has begun coining neologisms to describe this new category of being. One example is "Gestateling," a term proposed to emphasize its unique ontological status, distinct from both a fetus (defined by its in-utero position) and a newborn (defined by its post-gestational existence) [</w:t>
      </w:r>
      <w:r w:rsidR="00245FC5">
        <w:t>30</w:t>
      </w:r>
      <w:r>
        <w:t>]. Another term is "Fetonate," a blend of "fetus" and "neonate," defines the entity from a clinical perspective: a live-born newborn artificially maintained in a fetal physiological state [</w:t>
      </w:r>
      <w:r w:rsidR="00245FC5">
        <w:t>31</w:t>
      </w:r>
      <w:r>
        <w:t>].</w:t>
      </w:r>
    </w:p>
    <w:p w14:paraId="7B8C7B3D" w14:textId="26EEECD0" w:rsidR="0063697A" w:rsidRDefault="0063697A" w:rsidP="0063697A">
      <w:pPr>
        <w:pStyle w:val="Titolo1"/>
      </w:pPr>
      <w:bookmarkStart w:id="5" w:name="_Hlk214098095"/>
      <w:r>
        <w:t xml:space="preserve">Phase 3: phenotypic engineering- ai as the mediator of epigenetic dialogue </w:t>
      </w:r>
    </w:p>
    <w:bookmarkEnd w:id="5"/>
    <w:p w14:paraId="36FFA18F" w14:textId="1018D08D" w:rsidR="0063697A" w:rsidRDefault="0063697A" w:rsidP="0063697A">
      <w:pPr>
        <w:jc w:val="both"/>
      </w:pPr>
      <w:r w:rsidRPr="0063697A">
        <w:t>This phase represents the core of our convergence hypothesis and the direct technical solution to the "mismatch" problem identified in this paper. As established earlier, human adaptability is not purely genetic—it is programmed through the "maternal-fetal dialogue." This dynamic exchange of signals (stress hormones, nutrients, sounds, circadian rhythms) translates maternal environmental experiences into stable epigenetic modifications, such as DNA methylation and histone changes [</w:t>
      </w:r>
      <w:r w:rsidR="00245FC5">
        <w:t>32</w:t>
      </w:r>
      <w:r w:rsidRPr="0063697A">
        <w:t>]. For example, prenatal exposure to maternal stress alters the methylation of key genes regulating stress response and neuroplasticity, particularly the glucocorticoid receptor (NR3C1) and brain-derived neurotrophic factor (BDNF). This process "calibrates" the fetal hypothalamic-pituitary-adrenal (HPA) axis, preparing it for the postnatal environment [</w:t>
      </w:r>
      <w:r w:rsidR="00245FC5">
        <w:t>33</w:t>
      </w:r>
      <w:r w:rsidRPr="0063697A">
        <w:t>].</w:t>
      </w:r>
    </w:p>
    <w:p w14:paraId="1641CFF3" w14:textId="29D6FAF3" w:rsidR="0063697A" w:rsidRDefault="0063697A" w:rsidP="0063697A">
      <w:pPr>
        <w:jc w:val="both"/>
      </w:pPr>
      <w:r>
        <w:t>A static AWT (Phase 2) would be equivalent to total sensory and hormonal deprivation. As argued earlier, this would not produce a "healthy" child but rather an individual "programmed for stability" and thus catastrophically "mismatched" to the variability and stresses of the real world [</w:t>
      </w:r>
      <w:r w:rsidR="00245FC5">
        <w:t>32</w:t>
      </w:r>
      <w:r>
        <w:t>]. Therefore, the "mismatch" problem is not an insurmountable obstacle for AWT: it is the primary design specification for its AI control system. The AI must do more than sustain life; it must program life. It must become the algorithmic "mother," providing a dynamic, simulated dialogue to engineer an adaptive phenotype. At this stage, the AI does not merely monitor (as in the Phase 2 "AI Nanny") but actively engineers the fetal environment to achieve a specific epigenetic outcome.</w:t>
      </w:r>
    </w:p>
    <w:p w14:paraId="5AA32718" w14:textId="6A90AFCB" w:rsidR="0063697A" w:rsidRDefault="0063697A" w:rsidP="0063697A">
      <w:pPr>
        <w:jc w:val="both"/>
      </w:pPr>
      <w:r>
        <w:t>High-impact scientific literature already supports the technical components needed for such a system. The first component is modeling, or "Digital Twins" (DTs). AI is used to create DTs of fetal and infant development. Current research includes DTs to simulate pregnancy profiles [</w:t>
      </w:r>
      <w:r w:rsidR="00245FC5">
        <w:t>34</w:t>
      </w:r>
      <w:r>
        <w:t>], monitor fetal heart rate variability to predict acid-base status [</w:t>
      </w:r>
      <w:r w:rsidR="00245FC5">
        <w:t>35</w:t>
      </w:r>
      <w:r>
        <w:t>], model development to forecast the risk of non-communicable diseases (NCDs), and, critically, predict neurodevelopmental deficits [</w:t>
      </w:r>
      <w:r w:rsidR="00245FC5">
        <w:t>36</w:t>
      </w:r>
      <w:r>
        <w:t>]. A generative AI model called Q-net has demonstrated the ability to model the infant microbiome (a key developmental factor) and predict cognitive deficits with 76% accuracy [3</w:t>
      </w:r>
      <w:r w:rsidR="00245FC5">
        <w:t>7</w:t>
      </w:r>
      <w:r>
        <w:t>].</w:t>
      </w:r>
      <w:r w:rsidRPr="0063697A">
        <w:t xml:space="preserve"> </w:t>
      </w:r>
      <w:r>
        <w:t>The second component is action, enabled by reinforcement learning and bioreactors. AI has already been conceptualized for managing "simulated maternal environments." Technical reviews in this field describe a system that integrates multiple elements: sensor-based biofeedback systems to collect real-time data, reinforcement learning (RL) to "personalize the environment," and deep learning (DL) to "monitor fetal health." In this framework, an AI model learns, through trial and error using the "digital twin", the optimal policy (e.g., which hormones or stimuli to release and when) to maximize a reward, such as achieving a target epigenetic profile. Predictive analytics further enable the system to "deliver adaptive care” [3</w:t>
      </w:r>
      <w:r w:rsidR="00245FC5">
        <w:t>8</w:t>
      </w:r>
      <w:r>
        <w:t xml:space="preserve">]. </w:t>
      </w:r>
    </w:p>
    <w:p w14:paraId="7A55BF13" w14:textId="1A6816F2" w:rsidR="0063697A" w:rsidRDefault="0063697A" w:rsidP="0063697A">
      <w:pPr>
        <w:jc w:val="both"/>
      </w:pPr>
      <w:r>
        <w:t xml:space="preserve">The third component is the objective: epigenetic engineering. The ultimate goal of this AI is not merely survival but epigenetic optimization. The literature documents the use of machine learning (ML) models to predict gene expression </w:t>
      </w:r>
      <w:r>
        <w:lastRenderedPageBreak/>
        <w:t>based on epigenetic modifiers such as histone modifications and DNA methylation [3</w:t>
      </w:r>
      <w:r w:rsidR="00245FC5">
        <w:t>9</w:t>
      </w:r>
      <w:r>
        <w:t>]. The Phase 3 AI system will therefore use the "digital twin" to model the "gestateling." It will run its RL model to determine the optimal sequence of inputs, such as "AI-assisted neurostimulation," pulsatile glucocorticoid release, and simulation of maternal heart and vocal sounds, through controlled bioreactors [3</w:t>
      </w:r>
      <w:r w:rsidR="00245FC5">
        <w:t>8</w:t>
      </w:r>
      <w:r>
        <w:t>]. The aim of this optimization will be to actively modulate DNA methylation at the promoters of target genes like NR3C1 and BDNF, engineering a desired phenotypic profile (e.g., stress resilience, optimal neural plasticity) and, ultimately, "preventing the mismatch” [</w:t>
      </w:r>
      <w:r w:rsidR="00245FC5">
        <w:t>32</w:t>
      </w:r>
      <w:r>
        <w:t>].</w:t>
      </w:r>
      <w:r w:rsidR="00440961">
        <w:t xml:space="preserve"> </w:t>
      </w:r>
      <w:r w:rsidR="00440961" w:rsidRPr="00440961">
        <w:t>An example of AI-orchestrated convergence scenario is a unified disaster-response team composed of an unmanned aerial vehicle (UAV), a group of snake robots, and human rescuers</w:t>
      </w:r>
      <w:r w:rsidR="00440961">
        <w:t xml:space="preserve"> [nuovo]</w:t>
      </w:r>
      <w:r w:rsidR="00440961" w:rsidRPr="00440961">
        <w:t>. After an earthquake, an AI mission controller fuses aerial imagery from the UAV with ground-level sensor data from the snake robots to map hazards, locate victims, and allocate tasks. The AI autonomously routes the UAV for updated situational awareness, dispatches snake robots to confined spaces to deliver first aid supplies, and provides real-time guidance to human responders based on evolving risks. In this setup, AI acts as the coordinating intelligence that integrates perception, mobility, and human decision-making, creating a single adaptive rescue system rather than isolated agents.</w:t>
      </w:r>
    </w:p>
    <w:p w14:paraId="2606E8E7" w14:textId="7D27F563" w:rsidR="0063697A" w:rsidRDefault="0063697A" w:rsidP="0063697A">
      <w:pPr>
        <w:pStyle w:val="Titolo1"/>
      </w:pPr>
      <w:bookmarkStart w:id="6" w:name="_Hlk214099187"/>
      <w:r>
        <w:t>Ethical implications of artificial intelligence in advanced reproductive paradigms</w:t>
      </w:r>
    </w:p>
    <w:bookmarkEnd w:id="6"/>
    <w:p w14:paraId="6AE1C3D2" w14:textId="2DEA76DF" w:rsidR="0063697A" w:rsidRDefault="0063697A" w:rsidP="0063697A">
      <w:pPr>
        <w:jc w:val="both"/>
      </w:pPr>
      <w:r w:rsidRPr="0063697A">
        <w:t>The three-phase technological convergence described here raises ethical questions of extraordinary scope, whose complexity and depth far exceed contemporary debates on reproductive genetics or assisted technologies. The central and unifying element of these challenges is the unprecedented role of artificial intelligence: orchestrator, decision-maker, and, ultimately, engineer of prenatal human life.</w:t>
      </w:r>
    </w:p>
    <w:p w14:paraId="16DF0A47" w14:textId="3444C560" w:rsidR="0063697A" w:rsidRDefault="0063697A" w:rsidP="0063697A">
      <w:pPr>
        <w:pStyle w:val="Titolo2"/>
        <w:jc w:val="both"/>
      </w:pPr>
      <w:bookmarkStart w:id="7" w:name="_Hlk214098389"/>
      <w:r>
        <w:t>Algorithmic Opacity and the “Black Box” Problem</w:t>
      </w:r>
    </w:p>
    <w:bookmarkEnd w:id="7"/>
    <w:p w14:paraId="17BB8CA1" w14:textId="1C59D383" w:rsidR="0063697A" w:rsidRDefault="0063697A" w:rsidP="0063697A">
      <w:pPr>
        <w:jc w:val="both"/>
      </w:pPr>
      <w:r>
        <w:t>The implementation of deep learning and machine learning systems in embryonic selection (Phase 1) and epigenetic programming (Phase 3) introduces the fundamental problem of algorithmic opacity. The AI models used to calculate the Embryo Health Score or determine the optimal sequence of epigenetic stimuli operate as "black boxes" [1</w:t>
      </w:r>
      <w:r w:rsidR="001C3CBA">
        <w:t>7</w:t>
      </w:r>
      <w:r>
        <w:t>]: systems whose internal decision-making processes remain inaccessible not only to patients but often even to the clinicians using them. This opacity raises critical questions about decisional transparency and the verifiability of algorithmic choices that directly shape the lives of future individuals.</w:t>
      </w:r>
    </w:p>
    <w:p w14:paraId="4D54D103" w14:textId="2656B13C" w:rsidR="0063697A" w:rsidRDefault="0063697A" w:rsidP="0063697A">
      <w:pPr>
        <w:jc w:val="both"/>
      </w:pPr>
      <w:r>
        <w:t xml:space="preserve">From an epistemological perspective, the inability to trace the logical path by which an AI system classifies an embryo as "superior" or defines an "optimal" hormonal stress profile undermines the very possibility of meaningful human oversight. Reproductive medicine thus faces a paradox: the adoption of technically superior systems that become increasingly incomprehensible at a conceptual level. This creates an epistemological accountability gap, where no human actor can provide a complete causal explanation for the </w:t>
      </w:r>
      <w:r>
        <w:t>decisions determining which embryo will be implanted or how the "gestateling" will be epigenetically programmed.</w:t>
      </w:r>
    </w:p>
    <w:p w14:paraId="253EF575" w14:textId="6CABBDB9" w:rsidR="0063697A" w:rsidRDefault="0063697A" w:rsidP="0063697A">
      <w:pPr>
        <w:pStyle w:val="Titolo2"/>
      </w:pPr>
      <w:bookmarkStart w:id="8" w:name="_Hlk214098469"/>
      <w:r>
        <w:t xml:space="preserve">Algorithmic </w:t>
      </w:r>
      <w:r w:rsidR="0031548C">
        <w:t xml:space="preserve">Bias and Systemic Discrimination </w:t>
      </w:r>
    </w:p>
    <w:bookmarkEnd w:id="8"/>
    <w:p w14:paraId="139A48B6" w14:textId="61282A7D" w:rsidR="0031548C" w:rsidRDefault="0031548C" w:rsidP="0031548C">
      <w:pPr>
        <w:jc w:val="both"/>
      </w:pPr>
      <w:r w:rsidRPr="0031548C">
        <w:t>The challenge of algorithmic opacity is further complicated by the issue of bias. As highlighted in the literature [</w:t>
      </w:r>
      <w:r w:rsidR="001C3CBA">
        <w:t>12</w:t>
      </w:r>
      <w:r w:rsidRPr="0031548C">
        <w:t>], genomic datasets used to train PGT-P models are predominantly of European origin, creating a structural bias in Polygenic Risk Scores. This disparity reduces the accuracy of predictive models for non-European populations, particularly individuals of African, Asian, and Latin American descent. The implications of this bias go beyond technical inaccuracy. In an unregulated commercial environment [1</w:t>
      </w:r>
      <w:r w:rsidR="00245FC5">
        <w:t>8</w:t>
      </w:r>
      <w:r w:rsidRPr="0031548C">
        <w:t>], AI systems with embedded ethnic bias can lead to systemic algorithmic discrimination. Embryos from underrepresented ethnic groups may receive artificially inflated risk scores, resulting in distorted selection that systematically disadvantages certain genetic populations. This phenomenon, what might be called "inadvertent algorithmic eugenics", represents a form of reproductive injustice, where technology, despite being framed as neutral and objective, perpetuates and amplifies existing inequalities. This problem also extends to Phase 3: if reinforcement learning models are trained on fetal development data from specific populations, the resulting "optimal epigenetic programming" may reflect non-universal biological standards, producing mismatched phenotypic outcomes for individuals with different genetic backgrounds.</w:t>
      </w:r>
    </w:p>
    <w:p w14:paraId="16B31C88" w14:textId="7C8C4AFB" w:rsidR="0031548C" w:rsidRDefault="0031548C" w:rsidP="0031548C">
      <w:pPr>
        <w:pStyle w:val="Titolo2"/>
      </w:pPr>
      <w:bookmarkStart w:id="9" w:name="_Hlk214098604"/>
      <w:r>
        <w:t xml:space="preserve">The Biologization of the Social and the Encoding of Normative Values </w:t>
      </w:r>
    </w:p>
    <w:bookmarkEnd w:id="9"/>
    <w:p w14:paraId="2D256FCD" w14:textId="4D85558F" w:rsidR="0031548C" w:rsidRDefault="0031548C" w:rsidP="0031548C">
      <w:pPr>
        <w:jc w:val="both"/>
      </w:pPr>
      <w:r w:rsidRPr="0031548C">
        <w:t>Phase 3 of this convergence—where AI assumes the role of an "algorithmic mother" actively programming the fetal epigenome—raises the profound question of the biologization of the social [</w:t>
      </w:r>
      <w:r w:rsidR="00245FC5">
        <w:t>41</w:t>
      </w:r>
      <w:r w:rsidRPr="0031548C">
        <w:t xml:space="preserve">]. For a reinforcement learning system to function, engineers must define a reward function: a quantifiable criterion that determines what constitutes an "optimal" or "desirable" outcome. But what makes an epigenetic profile "optimal"? How do we define the "correct" level of stress resilience or neural plasticity? These are not technical questions with objective answers; they are deeply normative, rooted in cultural, social, and political values. Definitions of "health," "normality," "adaptability," or "resilience" vary across cultures, historical periods, and socioeconomic contexts. An individual deemed "resilient" in a high-stress, competitive society might be considered "hyperreactive" in a culture that values contemplation and moderation. By encoding these values into an AI’s reward function, a radical ontological transformation occurs: contingent, historically situated social constructs are translated into stable molecular configurations (DNA methylation patterns) inscribed into an individual’s biological body. This process, which we might call "biological reification," turns social norms into biological facts, potentially making the cultural expectations of a specific society heritable. The risk is one of algorithmic normalization of the human being, where natural phenotypic diversity is gradually eroded in favor of an algorithmically optimized model that does not reflect adaptive biological variability but rather the implicit preferences </w:t>
      </w:r>
      <w:r w:rsidRPr="0031548C">
        <w:lastRenderedPageBreak/>
        <w:t>embedded in training datasets and reward functions. This raises profound questions of intergenerational justice [</w:t>
      </w:r>
      <w:r w:rsidR="00245FC5">
        <w:t>42</w:t>
      </w:r>
      <w:r w:rsidRPr="0031548C">
        <w:t>]: what right does the present generation have to determine, through AI-driven epigenetic engineering, the biological parameters of future generations?</w:t>
      </w:r>
    </w:p>
    <w:p w14:paraId="78690147" w14:textId="1C4741CA" w:rsidR="0031548C" w:rsidRDefault="0031548C" w:rsidP="0031548C">
      <w:pPr>
        <w:pStyle w:val="Titolo2"/>
      </w:pPr>
      <w:bookmarkStart w:id="10" w:name="_Hlk214098726"/>
      <w:r>
        <w:t xml:space="preserve">Autonomy, Consent and Algorithmic Paternalism </w:t>
      </w:r>
    </w:p>
    <w:bookmarkEnd w:id="10"/>
    <w:p w14:paraId="545C5291" w14:textId="438320CB" w:rsidR="0031548C" w:rsidRPr="0031548C" w:rsidRDefault="0031548C" w:rsidP="0031548C">
      <w:pPr>
        <w:jc w:val="both"/>
      </w:pPr>
      <w:r w:rsidRPr="0031548C">
        <w:t>The delegation of fundamental reproductive decisions to AI systems introduces the problem of algorithmic paternalism, or "machine paternalism” [</w:t>
      </w:r>
      <w:r w:rsidR="00231806">
        <w:t>1</w:t>
      </w:r>
      <w:r w:rsidR="001C3CBA">
        <w:t>7</w:t>
      </w:r>
      <w:r w:rsidRPr="0031548C">
        <w:t>]. In traditional medicine, medical paternalism, the practice of physicians making decisions for patients, has been gradually substituted by the principle of informed autonomy: patients, properly informed, make choices aligned with their own values. The introduction of AI radically complicates this paradigm. How can a couple exercise meaningful informed consent when the decision is based on a score generated by an opaque algorithm integrating thousands of genetic variables through complex statistical models? Reducing an embryo’s potential to a single number (such as the Embryo Health Score [8]) may simplify decision-making, but at the cost of drastic oversimplification—obscuring inherent uncertainty, predictive limitations, and the normative assumptions embedded in the model. Furthermore, the epistemological authority granted to AI systems can create a form of soft coercion: even when formally presented as "decision support," algorithmic recommendations may carry such weight that patients find it psychologically and socially difficult to deviate from them. If an AI system indicates that an embryo has a significantly lower health score, parents who choose to implant it anyway might be perceived (as well as perceive themselves) as acting irresponsibly. This phenomenon is amplified in Phase 3: when AI not only advises but directly executes the epigenetic engineering of the "gestateling," parental autonomy is reduced to the initial binary decision of whether or not to use AWT technology, while all subsequent decisions about actual biological programming are delegated to the algorithm.</w:t>
      </w:r>
    </w:p>
    <w:p w14:paraId="0CB85155" w14:textId="24EE3D9B" w:rsidR="0031548C" w:rsidRDefault="0031548C" w:rsidP="0031548C">
      <w:pPr>
        <w:pStyle w:val="Titolo2"/>
      </w:pPr>
      <w:bookmarkStart w:id="11" w:name="_Hlk214098822"/>
      <w:r>
        <w:t xml:space="preserve">The Commodification of Life and Market Logic </w:t>
      </w:r>
    </w:p>
    <w:bookmarkEnd w:id="11"/>
    <w:p w14:paraId="62BE31AF" w14:textId="6B3C273D" w:rsidR="0031548C" w:rsidRDefault="0031548C" w:rsidP="0031548C">
      <w:pPr>
        <w:jc w:val="both"/>
      </w:pPr>
      <w:r w:rsidRPr="0031548C">
        <w:t>The algorithmic quantification of biological potential through the Embryo Health Score transforms the embryo from a subject of intrinsic value into a product that can be evaluated and classified according to quality metrics [</w:t>
      </w:r>
      <w:r w:rsidR="001C3CBA">
        <w:t>15</w:t>
      </w:r>
      <w:r w:rsidRPr="0031548C">
        <w:t>]. This process of algorithmic commodification introduces market logic into reproductive processes: embryos become selectable and optimizable goods, their "value" determined by algorithms. The commercialization of PGT-P by private companies in poorly regulated markets accelerates this trend [1</w:t>
      </w:r>
      <w:r w:rsidR="00245FC5">
        <w:t>8</w:t>
      </w:r>
      <w:r w:rsidRPr="0031548C">
        <w:t>]. The offering of embryonic IQ screening services by some startups demonstrates that the distinction between "medical" applications (disease prevention) and "cosmetic" ones (optimization of desirable traits) is technically nonexistent and commercially fluid [</w:t>
      </w:r>
      <w:r w:rsidR="00245FC5">
        <w:t>43</w:t>
      </w:r>
      <w:r w:rsidRPr="0031548C">
        <w:t xml:space="preserve">]. This creates a risk of reproductive stratification: access to AI-mediated selection and programming technologies, which are economically expensive, could become the privilege of socioeconomic elites, generating a form of biological inequality where phenotypic advantages (real or perceived) are distributed along income lines. The </w:t>
      </w:r>
      <w:r w:rsidRPr="0031548C">
        <w:t>prospect of a society in which some individuals are "algorithmicly designed" while others are "naturally conceived" raises disturbing scenarios of discrimination and stigmatization.</w:t>
      </w:r>
    </w:p>
    <w:p w14:paraId="669CF9A3" w14:textId="7DCB45CD" w:rsidR="00440961" w:rsidRDefault="0031548C" w:rsidP="00440961">
      <w:pPr>
        <w:pStyle w:val="Titolo2"/>
      </w:pPr>
      <w:bookmarkStart w:id="12" w:name="_Hlk214099009"/>
      <w:r>
        <w:t>The Epigenetic Privacy and Non Genetic Discrimination</w:t>
      </w:r>
      <w:bookmarkEnd w:id="12"/>
    </w:p>
    <w:p w14:paraId="06CF4AD8" w14:textId="72F211AA" w:rsidR="00440961" w:rsidRDefault="00440961" w:rsidP="00440961">
      <w:pPr>
        <w:jc w:val="both"/>
      </w:pPr>
      <w:r>
        <w:t>Genomic information constitutes the "biological blueprint" of an individual, encoding not only personal traits but also predispositions to disease, cognitive capabilities, and psychological characteristics [</w:t>
      </w:r>
      <w:r w:rsidR="00245FC5">
        <w:t>34</w:t>
      </w:r>
      <w:r>
        <w:t>]. Epigenetic data adds an additional layer of vulnerability: it reveals how environmental and algorithmic factors have shaped gene expression, essentially documenting the interventions and exposures experienced during artificial gestation. The epigenome, unlike the genome, is a dynamic record of environmental exposures and life experiences. In the context of Phase 3 (where AI actively engineers the epigenome), a biological marker of the algorithmic choices made during artificial gestation is created, resulting in an "engineered" epigenetic profile. This convergence creates a comprehensive biological narrative that, if compromised, could expose individuals to unprecedented forms of discrimination and manipulation.</w:t>
      </w:r>
    </w:p>
    <w:p w14:paraId="427F47D6" w14:textId="59759724" w:rsidR="00440961" w:rsidRDefault="00440961" w:rsidP="00440961">
      <w:pPr>
        <w:jc w:val="both"/>
      </w:pPr>
      <w:r>
        <w:t>The dual sensitivity of this data (combining both inherited genetic information and engineered epigenetic modifications) intensifies privacy risks across multiple domains: employment, insurance, education, social relationships, and even criminal justice systems. This "engineered" epigenetic profile represents a new category of personal biological information, with profound implications for privacy. Existing genetic privacy laws, such as the U.S. Genetic Information Nondiscrimination Act, are inadequate to protect against epigenetic discrimination [</w:t>
      </w:r>
      <w:r w:rsidR="00245FC5">
        <w:t>44</w:t>
      </w:r>
      <w:r>
        <w:t>]. If employers, insurers, or educational institutions could access epigenetic information, individuals with "engineered" profiles might be favored (if perceived as "optimized") or discriminated against (if perceived as "artificial" or "unnatural"). Paradoxically, even individuals with "natural" epigenomes could be disadvantaged if social norms shifted toward an expectation of algorithmic optimization.</w:t>
      </w:r>
    </w:p>
    <w:p w14:paraId="3537008C" w14:textId="386438FB" w:rsidR="00440961" w:rsidRDefault="00440961" w:rsidP="00440961">
      <w:pPr>
        <w:jc w:val="both"/>
      </w:pPr>
      <w:r>
        <w:t xml:space="preserve">Furthermore, genomic data possesses a unique property of kinship: genetic information reveals not only the individual's characteristics but also information about biological relatives who have not consented to data collection or analysis. This "genetic incest" principle means that breaches in individual privacy simultaneously violate the privacy rights of family members, creating cascading vulnerabilities across generations. Effective protection of genomic and epigenetic data requires multi-layered approaches addressing technical, legal, and organizational dimensions. First, at the technical level, encryption standards must exceed conventional medical data protection. End-to-end encryption should be mandatory throughout data collection, storage, and analysis phases, with cryptographic keys managed through decentralized or independent custodian systems rather than stored within institutional databases. Differential privacy techniques (which add carefully calibrated noise to datasets) should be employed to enable research while preventing re-identification of individuals. </w:t>
      </w:r>
    </w:p>
    <w:p w14:paraId="1A1CD261" w14:textId="77777777" w:rsidR="00440961" w:rsidRDefault="00440961" w:rsidP="00440961">
      <w:pPr>
        <w:jc w:val="both"/>
      </w:pPr>
      <w:r>
        <w:lastRenderedPageBreak/>
        <w:t>Second, legal frameworks must explicitly distinguish genomic and epigenetic data as a special category requiring enhanced protections beyond existing health data regulations. The European Union's General Data Protection Regulation (GDPR) provides a foundation through its classification of genetic data as a special category, yet extensions are necessary to encompass engineered epigenetic modifications as an equally sensitive classification. Legislative frameworks should explicitly prohibit the use of genomic and epigenetic data for employment discrimination, insurance premium adjustments, or social profiling. Additionally, individuals must retain absolute rights to genetic data deletion (the "right to be forgotten"), even when such deletion complicates medical records, alongside comprehensive rights to data portability and access.</w:t>
      </w:r>
    </w:p>
    <w:p w14:paraId="404E87AF" w14:textId="3704D38E" w:rsidR="00440961" w:rsidRDefault="00440961" w:rsidP="00440961">
      <w:pPr>
        <w:jc w:val="both"/>
      </w:pPr>
      <w:r>
        <w:t>Third, at the organizational level, independent data custodians, operating with full transparency and regular external auditing, should control access to genomic databases rather than permitting institutional or commercial ownership. Individuals should retain not only knowledge of data uses but active decision-making authority, with mandatory re-consent requirements before any new analyses or derivative uses of stored genetic information. Institutional Review Boards specializing in genomic ethics should review and approve all research protocols involving engineered epigenetic data. To prevent the discriminatory scenarios outlined above, jurisdictions must enact comprehensive genetic non-discrimination legislation that explicitly extends to epigenetically engineered individuals. Such legislation should include enforceable penalties for institutional actors (employers, insurers, educational providers) who attempt to access, purchase, or utilize genomic/epigenetic information in decision-making processes. Whistleblower protections and private rights of action should incentivize institutional compliance and enable individuals to seek remedies for violations. Moreover, the emerging field of genomic literacy demands investment in public education to prevent both discriminations based on misunderstandings of genetic science and informal social stigmatization of individuals with "engineered" profiles. Cultural narratives must be actively shaped to resist the notion that algorithmic optimization confers superiority or that natural development is inherently inferior.</w:t>
      </w:r>
    </w:p>
    <w:p w14:paraId="29804CA8" w14:textId="2284D3A9" w:rsidR="0031548C" w:rsidRDefault="0031548C" w:rsidP="0031548C">
      <w:pPr>
        <w:pStyle w:val="Titolo2"/>
        <w:jc w:val="both"/>
      </w:pPr>
      <w:bookmarkStart w:id="13" w:name="_Hlk214099085"/>
      <w:r>
        <w:t xml:space="preserve">The </w:t>
      </w:r>
      <w:r w:rsidR="00570DE9">
        <w:t xml:space="preserve">Responsibility, Algorithmic Error and Transgenerational Harm </w:t>
      </w:r>
    </w:p>
    <w:bookmarkEnd w:id="13"/>
    <w:p w14:paraId="5CB8C579" w14:textId="5D9E841E" w:rsidR="00570DE9" w:rsidRDefault="00570DE9" w:rsidP="00570DE9">
      <w:pPr>
        <w:jc w:val="both"/>
      </w:pPr>
      <w:r w:rsidRPr="00570DE9">
        <w:t>The question of accountability in the event of errors or malfunctions in AI systems is particularly acute in the reproductive context. A software bug in epigenetic programming, an error in training data, or simply an unforeseen interaction between complex variables could result in an individual with biological vulnerabilities, pathological predispositions, or functional deficits. Who bears responsibility? The algorithm’s developers? The clinicians who implement it? The institution hosting the AWT? The parents who chose to use the technology? The lack of legal precedents and clear regulatory frameworks creates an accountability gap, leaving potential victims without recourse. The complexity deepens when considering the possibility of transgenerational heritability of certain epigenetic modifications [</w:t>
      </w:r>
      <w:r w:rsidR="00245FC5">
        <w:t>42</w:t>
      </w:r>
      <w:r w:rsidRPr="00570DE9">
        <w:t xml:space="preserve">]. An error in </w:t>
      </w:r>
      <w:r w:rsidRPr="00570DE9">
        <w:t>Phase 3 programming might not manifest immediately but could emerge in next generations. This raises the issue of extended temporal responsibility: how can accountability be assigned for harm that surfaces decades after the intervention, potentially affecting individuals who were not yet born when the error occurred?</w:t>
      </w:r>
    </w:p>
    <w:p w14:paraId="589F1E79" w14:textId="6B60E278" w:rsidR="00570DE9" w:rsidRDefault="00570DE9" w:rsidP="00570DE9">
      <w:pPr>
        <w:pStyle w:val="Titolo2"/>
      </w:pPr>
      <w:r>
        <w:t xml:space="preserve">The Regulatory Void and the Crisis of Personal Status </w:t>
      </w:r>
    </w:p>
    <w:p w14:paraId="7EDCFF9D" w14:textId="7C6F8AFB" w:rsidR="00570DE9" w:rsidRDefault="00570DE9" w:rsidP="00570DE9">
      <w:pPr>
        <w:jc w:val="both"/>
      </w:pPr>
      <w:r w:rsidRPr="00570DE9">
        <w:t>The entity undergoing gestation in AWT—the "gestateling"[</w:t>
      </w:r>
      <w:r w:rsidR="00245FC5">
        <w:t>30</w:t>
      </w:r>
      <w:r w:rsidRPr="00570DE9">
        <w:t>] or "fetonate" [</w:t>
      </w:r>
      <w:r w:rsidR="00245FC5">
        <w:t>31</w:t>
      </w:r>
      <w:r w:rsidRPr="00570DE9">
        <w:t>]—exists in an ontological and legal limbo. It is neither a fetus (as it is ex utero), nor a newborn (since it has not been born and remains physiologically dependent). This ambiguity creates a gap in protections: what rights does a gestateling have? Who can make medical decisions on its behalf? Can it be subjected to experimentation? The lack of a defined legal status leaves the gestateling particularly vulnerable, potentially exposed to experimental uses of AI technology without the protections typically granted to fetuses (through their mothers) or newborns (as autonomous persons). This regulatory void is especially dangerous in a context of rapid commercialization and technological competition, where the pressure to innovate may outweigh considerations of caution.</w:t>
      </w:r>
    </w:p>
    <w:p w14:paraId="7E8FBC22" w14:textId="751D60ED" w:rsidR="00570DE9" w:rsidRDefault="00570DE9" w:rsidP="00570DE9">
      <w:pPr>
        <w:pStyle w:val="Titolo1"/>
        <w:jc w:val="both"/>
      </w:pPr>
      <w:r>
        <w:t xml:space="preserve">Governance of reproductive ai: toward a regulatory framework </w:t>
      </w:r>
    </w:p>
    <w:p w14:paraId="675F35AB" w14:textId="77777777" w:rsidR="00570DE9" w:rsidRDefault="00570DE9" w:rsidP="00570DE9">
      <w:pPr>
        <w:jc w:val="both"/>
      </w:pPr>
      <w:r>
        <w:t>The documented ethical challenges urgently demand the development of a governance framework that is robust, multidisciplinary, and dynamically adaptable. Such a framework should address several critical dimensions:</w:t>
      </w:r>
    </w:p>
    <w:p w14:paraId="4A9ACF91" w14:textId="03D03D48" w:rsidR="00570DE9" w:rsidRDefault="00570DE9" w:rsidP="00C01649">
      <w:pPr>
        <w:jc w:val="both"/>
      </w:pPr>
      <w:r>
        <w:t>Ensuring mandatory algorithmic transparency by requiring explainability for AI systems used in reproductive contexts, with accessible documentation of training datasets, model parameters, and embedded normative assumptions.</w:t>
      </w:r>
    </w:p>
    <w:p w14:paraId="3019BD7A" w14:textId="71ABE164" w:rsidR="00570DE9" w:rsidRDefault="00570DE9" w:rsidP="00C01649">
      <w:pPr>
        <w:jc w:val="both"/>
      </w:pPr>
      <w:r>
        <w:t>Enforcing rigorous clinical validation by prohibiting the commercialization of AI-based selection and programming technologies without robust evidence from randomized, controlled clinical studies, including long-term follow-up.</w:t>
      </w:r>
    </w:p>
    <w:p w14:paraId="6686B5F4" w14:textId="01434B40" w:rsidR="00570DE9" w:rsidRDefault="00570DE9" w:rsidP="00C01649">
      <w:pPr>
        <w:jc w:val="both"/>
      </w:pPr>
      <w:r>
        <w:t>Conducting independent bias audits through systematic and continuous evaluation of AI systems to identify and mitigate biases related to gender, ethnicity, socioeconomic status, or disability.</w:t>
      </w:r>
    </w:p>
    <w:p w14:paraId="58FF3A2A" w14:textId="3EF642CE" w:rsidR="00570DE9" w:rsidRDefault="00570DE9" w:rsidP="00C01649">
      <w:pPr>
        <w:jc w:val="both"/>
      </w:pPr>
      <w:r>
        <w:t>Defining the legal status of the gestateling by developing a specific legal framework that establishes the rights, protections, and research limitations for entities undergoing ex utero gestation.</w:t>
      </w:r>
    </w:p>
    <w:p w14:paraId="52674602" w14:textId="6F34750B" w:rsidR="00570DE9" w:rsidRDefault="00570DE9" w:rsidP="00C01649">
      <w:pPr>
        <w:jc w:val="both"/>
      </w:pPr>
      <w:r>
        <w:t>Safeguarding epigenetic privacy by extending genetic privacy laws to explicitly include epigenetic data, with strict prohibitions against discrimination based on epigenetic profiles.</w:t>
      </w:r>
    </w:p>
    <w:p w14:paraId="5EF59204" w14:textId="1BAA613F" w:rsidR="00570DE9" w:rsidRDefault="00570DE9" w:rsidP="00C01649">
      <w:pPr>
        <w:jc w:val="both"/>
      </w:pPr>
      <w:r>
        <w:t>Clarifying the distribution of responsibility by defining the legal roles and liabilities of developers, clinicians, institutions, and parents in cases of malfunction or harm.</w:t>
      </w:r>
    </w:p>
    <w:p w14:paraId="0DEF94C0" w14:textId="70D4A4CC" w:rsidR="00570DE9" w:rsidRDefault="00570DE9" w:rsidP="00C01649">
      <w:pPr>
        <w:jc w:val="both"/>
      </w:pPr>
      <w:r>
        <w:t>Promoting distributive justice through policies that prevent the emergence of a "genetic-algorithmic elite" by ensuring equitable access to advanced reproductive technologies.</w:t>
      </w:r>
    </w:p>
    <w:p w14:paraId="031C614F" w14:textId="4286EF68" w:rsidR="00570DE9" w:rsidRDefault="00570DE9" w:rsidP="00C01649">
      <w:pPr>
        <w:jc w:val="both"/>
      </w:pPr>
      <w:r>
        <w:lastRenderedPageBreak/>
        <w:t>Encouraging public participation by establishing democratic deliberation mechanisms that engage diverse communities in defining what constitutes "acceptable" use of reproductive AI.</w:t>
      </w:r>
    </w:p>
    <w:p w14:paraId="1BFA0437" w14:textId="6B38193A" w:rsidR="00570DE9" w:rsidRDefault="00570DE9" w:rsidP="00570DE9">
      <w:pPr>
        <w:pStyle w:val="Titolo1"/>
        <w:jc w:val="both"/>
      </w:pPr>
      <w:r>
        <w:t xml:space="preserve">Conclusions </w:t>
      </w:r>
    </w:p>
    <w:p w14:paraId="622CAA8C" w14:textId="5BA1C26B" w:rsidR="00570DE9" w:rsidRPr="00570DE9" w:rsidRDefault="00570DE9" w:rsidP="00570DE9">
      <w:pPr>
        <w:jc w:val="both"/>
      </w:pPr>
      <w:r w:rsidRPr="00570DE9">
        <w:t xml:space="preserve">The three-phase convergence hypothesis (Selection, Gestation, and Programming) addresses the need for an "original contribution" and an "intervention strategy" to solve the problem of epigenetic "mismatch." This convergence is not optional but a technical necessity. The three phases are interdependent and form a causal chain: First, to effectively program the epigenome (Phase 3), AI must understand the genomic "hardware" (Phase 1) it is working with, as the optimal programming strategy will likely depend on the Polygenic Risk Scores calculated in Phase 1. Second, to execute the epigenetic program (Phase 3), AI must have full control over the physical platform (Phase 2). Finally, to justify the enormous technical cost of Phases 2 and 3, it is logical to select only embryos (Phase 1) with the highest perceived genomic potential. The entire synthetic process can be visualized as follows: it begins with Selection, where AI (using PGT-P) analyzes a cohort of embryos and selects the one with the "best" genomic hardware, such as the highest Embryo Health Score. Next is Transfer, where the selected embryo is transferred not to a human uterus but to a robotic, autonomous AWT platform. Finally, Programming takes place, where AI creates a "Digital Twin" of the gestateling. Using reinforcement learning, the AI tests millions of virtual "epigenetic programs" to optimize phenotypic outcomes, such as modulating the methylation of NR3C1 and BDNF. The AI then executes the winning program on the physical gestateling within the AWT, actively engineering its adaptability. The convergence of genomic selection, ectogenesis, and AI-mediated epigenetic engineering marks a turning point in the history of human reproduction. For the first time, artificial intelligence assumes not the role of an auxiliary tool but that of the primary agent in determining the fundamental biological traits of future individuals. This transition raises ethical questions that transcend traditional bioethical paradigms, demanding new conceptual frameworks capable of addressing algorithmic opacity, systemic bias, the biologization of social norms, and transgenerational responsibility. The central challenge is not technological but normative and political: as a society, we must decide what powers we are willing to delegate to algorithms in shaping human life, which values we want to encode in reproductive AI systems, and what safeguards are necessary to protect the autonomy, dignity, and diversity of future generations. Without proactive, transparent, and democratically legitimized governance, we risk embedding the inequalities, biases, and limitations of our current technologies into permanent, and potentially heritable, biological configurations. The maternal-fetal dialogue, perfected by nature over millions of years of evolution as a mechanism for dynamic adaptability, is now being replaced by an algorithm-gestateling dialogue. The fundamental ethical question is not whether we can make this substitution, as technical literature suggests we might, but whether we should, and if so, under what principles, </w:t>
      </w:r>
      <w:r w:rsidRPr="00570DE9">
        <w:t>protections, and constraints. The answer to this question will determine not only the future of reproductive medicine but the very nature of humanity in the coming century.</w:t>
      </w:r>
    </w:p>
    <w:p w14:paraId="7E448512" w14:textId="77777777" w:rsidR="009303D9" w:rsidRDefault="009303D9" w:rsidP="00A059B3">
      <w:pPr>
        <w:pStyle w:val="Titolo5"/>
      </w:pPr>
      <w:r w:rsidRPr="005B520E">
        <w:t>References</w:t>
      </w:r>
    </w:p>
    <w:p w14:paraId="762EC548" w14:textId="77777777" w:rsidR="009303D9" w:rsidRPr="005B520E" w:rsidRDefault="009303D9"/>
    <w:p w14:paraId="757D4F8E" w14:textId="77777777" w:rsidR="00067E68" w:rsidRDefault="00067E68" w:rsidP="00067E68">
      <w:pPr>
        <w:pStyle w:val="references"/>
      </w:pPr>
      <w:r>
        <w:t>L. Boucret, F. Chabrun, M. Boguenet, et al., "Deep-learning model for embryo selection using time-lapse imaging of matched high-quality embryos," Scientific Reports, vol. 15, p. 28068, 2025, doi: 10.1038/s41598-025-10531-y.</w:t>
      </w:r>
    </w:p>
    <w:p w14:paraId="6361ED99" w14:textId="77777777" w:rsidR="00067E68" w:rsidRDefault="00067E68" w:rsidP="00067E68">
      <w:pPr>
        <w:pStyle w:val="references"/>
      </w:pPr>
      <w:r>
        <w:t xml:space="preserve"> A. V. Khera, M. Chaffin, K. H. Wade, S. Zahid, J. Brancale, R. Xia, et al., "Polygenic prediction of weight and obesity trajectories from birth to adulthood," Cell, vol. 177, no. 3, pp. 587–596, 2019.</w:t>
      </w:r>
    </w:p>
    <w:p w14:paraId="3EE4FFE4" w14:textId="77777777" w:rsidR="00067E68" w:rsidRDefault="00067E68" w:rsidP="00067E68">
      <w:pPr>
        <w:pStyle w:val="references"/>
      </w:pPr>
      <w:r>
        <w:t>A. Aguilera-Castrejon, B. Oldak, T. Shani, N. Ghanem, C. Itzkovich, S. Slomovich, et al., "Ex utero mouse embryogenesis from pre-gastrulation to late organogenesis," Nature, vol. 593, no. 7857, pp. 119–124, 2021.</w:t>
      </w:r>
    </w:p>
    <w:p w14:paraId="7239AA96" w14:textId="77777777" w:rsidR="00067E68" w:rsidRDefault="00067E68" w:rsidP="00067E68">
      <w:pPr>
        <w:pStyle w:val="references"/>
      </w:pPr>
      <w:r>
        <w:t>V. A. van der Weijden, M. Schmidhauser, M. Kurome, et al., "Transcriptome dynamics in early in vivo developing and in vitro produced porcine embryos," BMC Genomics, vol. 22, p. 139, 2021, doi: 10.1186/s12864-021-07430-7.</w:t>
      </w:r>
    </w:p>
    <w:p w14:paraId="295237C0" w14:textId="77777777" w:rsidR="00067E68" w:rsidRDefault="00067E68" w:rsidP="00067E68">
      <w:pPr>
        <w:pStyle w:val="references"/>
      </w:pPr>
      <w:r>
        <w:t>L. A. Syding, P. Nickl, P. Kasparek, and R. Sedlacek, "CRISPR/Cas9 epigenome editing potential for rare imprinting diseases: A review," Cells, vol. 9, no. 4, p. 993, 2020, doi: 10.3390/cells9040993.</w:t>
      </w:r>
    </w:p>
    <w:p w14:paraId="523192F2" w14:textId="77777777" w:rsidR="00067E68" w:rsidRDefault="00067E68" w:rsidP="00067E68">
      <w:pPr>
        <w:pStyle w:val="references"/>
      </w:pPr>
      <w:r>
        <w:t xml:space="preserve"> E. L. Kinnally, "Epigenetic plasticity following early stress predicts long-term health outcomes in rhesus macaques," American Journal of Physical Anthropology, vol. 155, no. 2, pp. 192–199, 2014.</w:t>
      </w:r>
    </w:p>
    <w:p w14:paraId="6B05DBC5" w14:textId="52DF31B8" w:rsidR="00F92AD7" w:rsidRDefault="00067E68" w:rsidP="00067E68">
      <w:pPr>
        <w:pStyle w:val="references"/>
      </w:pPr>
      <w:r>
        <w:t xml:space="preserve"> E. C. R. Leonel, A. Dadashzadeh, S. Moghassemi, et al., "New solutions for old problems: How reproductive tissue engineering has been revolutionizing reproductive medicine," Annals of Biomedical Engineering, vol. 51, pp. 2143–2171, 2023, doi: 10.1007/s10439-023-03321-y.</w:t>
      </w:r>
    </w:p>
    <w:p w14:paraId="7B535177" w14:textId="0E519676" w:rsidR="009303D9" w:rsidRPr="00231806" w:rsidRDefault="00231806" w:rsidP="0004781E">
      <w:pPr>
        <w:pStyle w:val="references"/>
        <w:ind w:start="17.70pt" w:hanging="17.70pt"/>
      </w:pPr>
      <w:r w:rsidRPr="00231806">
        <w:t>L. Moysis, L. A. Iliadis, G. Vergos, S. P. Sotiroudis, A. D. Boursianis, A. Papatheodorou, K.-I. D. Kokkinidis, M. Abdul Matin, P. Sarigiannidis, I. Siniosoglou, et al., "Artificial intelligence-empowered embryo selection for IVF applications: A methodological review," Mach. Learn. Knowl. Extr., vol. 7, p. 56, 2025, doi: 10.3390/make7020056.</w:t>
      </w:r>
    </w:p>
    <w:p w14:paraId="3480BAE7" w14:textId="77777777" w:rsidR="00231806" w:rsidRDefault="00231806" w:rsidP="00231806">
      <w:pPr>
        <w:pStyle w:val="references"/>
      </w:pPr>
      <w:r>
        <w:t>L. Sun, J. Li, S. Zeng, Q. Luo, H. Miao, Y. Liang, L. Cheng, Z. Sun, W. H. Tai, Y. Han, Y. Yin, K. Wu, and K. Zhang, "Artificial intelligence system for outcome evaluations of human in vitro fertilization-derived embryos," Chinese Medical Journal, vol. 137, no. 16, pp. 1939–1949, Aug. 2024, doi: 10.1097/CM9.0000000000003162.</w:t>
      </w:r>
    </w:p>
    <w:p w14:paraId="498F105A" w14:textId="77777777" w:rsidR="00231806" w:rsidRDefault="00231806" w:rsidP="00231806">
      <w:pPr>
        <w:pStyle w:val="references"/>
      </w:pPr>
      <w:r>
        <w:t>J. Kim, J. Lee, and J. H. Jun, "Non-invasive evaluation of embryo quality for the selection of transferable embryos in human in vitro fertilization-embryo transfer," Clinical and Experimental Reproductive Medicine, vol. 49, no. 4, pp. 225–238, 2022, doi: 10.5653/cerm.2022.05575.</w:t>
      </w:r>
    </w:p>
    <w:p w14:paraId="10731DC5" w14:textId="77777777" w:rsidR="00231806" w:rsidRDefault="00231806" w:rsidP="00231806">
      <w:pPr>
        <w:pStyle w:val="references"/>
      </w:pPr>
      <w:r>
        <w:t xml:space="preserve"> M. Salih, C. Austin, R. R. Warty, C. Tiktin, D. L. Rolnik, M. Momeni, H. Rezatofighi, S. Reddy, V. Smith, B. Vollenhoven, and F. Horta, "Embryo selection through artificial intelligence versus embryologists: A systematic review," Human Reproduction Open, vol. 2023, no. 3, p. hoad031, 2023, doi: 10.1093/hropen/hoad031.</w:t>
      </w:r>
    </w:p>
    <w:p w14:paraId="2B49D693" w14:textId="77777777" w:rsidR="00231806" w:rsidRDefault="00231806" w:rsidP="00231806">
      <w:pPr>
        <w:pStyle w:val="references"/>
      </w:pPr>
      <w:r>
        <w:t xml:space="preserve"> A. Capalbo, G. de Wert, H. Mertes, L. Klausner, E. Coonen, F. Spinella, H. Van de Velde, S. Viville, K. Sermon, N. Vermeulen, T. Lencz, and S. Carmi, "Screening embryos for polygenic disease risk: A review of epidemiological, clinical, and ethical considerations," Human Reproduction Update, vol. 30, no. 5, pp. 529–557, 2024, doi: 10.1093/humupd/dmae012.</w:t>
      </w:r>
    </w:p>
    <w:p w14:paraId="4AB98E3B" w14:textId="77777777" w:rsidR="00231806" w:rsidRDefault="00231806" w:rsidP="00231806">
      <w:pPr>
        <w:pStyle w:val="references"/>
      </w:pPr>
      <w:r>
        <w:t>A. Polyakov, D. J. Amor, J. Savulescu, C. Gyngell, E. X. Georgiou, V. Ross, and Y. Mizrachi, "Polygenic risk score for embryo selection—not ready for prime time," Human Reproduction, vol. 37, no. 10, pp. 2229–2236, Oct. 2022, doi: 10.1093/humrep/deac159.</w:t>
      </w:r>
    </w:p>
    <w:p w14:paraId="4B925C8D" w14:textId="77777777" w:rsidR="00231806" w:rsidRDefault="00231806" w:rsidP="00231806">
      <w:pPr>
        <w:pStyle w:val="references"/>
      </w:pPr>
      <w:r>
        <w:t xml:space="preserve"> E. Karavani, O. Zuk, D. Zeevi, N. Barzilai, N. C. Stefanis, A. Hatzimanolis, N. Smyrnis, D. Avramopoulos, L. Kruglyak, G. Atzmon, M. Lam, T. Lencz, and S. Carmi, "Screening human embryos for polygenic traits has limited utility," Cell, vol. 179, no. 6, pp. 1424–1435, 2019, doi: 10.1016/j.cell.2019.10.033.</w:t>
      </w:r>
    </w:p>
    <w:p w14:paraId="48F5755F" w14:textId="77777777" w:rsidR="00231806" w:rsidRDefault="00231806" w:rsidP="00231806">
      <w:pPr>
        <w:pStyle w:val="references"/>
      </w:pPr>
      <w:r>
        <w:t>"Testing for polygenic disorders (PGT-P)," Virginia Center for Reproductive Medicine, 2020. [Online]. Available: [https://www.vcrmed.com/genetic-screening/testing-for-polygenic-</w:t>
      </w:r>
      <w:r>
        <w:lastRenderedPageBreak/>
        <w:t>disorders-pgt-p/](https://www.vcrmed.com/genetic-screening/testing-for-polygenic-disorders-pgt-p/) (Accessed: 10 Nov. 2025).</w:t>
      </w:r>
    </w:p>
    <w:p w14:paraId="0BA4A9C9" w14:textId="77777777" w:rsidR="00231806" w:rsidRDefault="00231806" w:rsidP="00231806">
      <w:pPr>
        <w:pStyle w:val="references"/>
      </w:pPr>
      <w:r>
        <w:t xml:space="preserve"> Ethics Committee of the American Society for Reproductive Medicine, "Use of preimplantation genetic testing for monogenic adult-onset conditions: An Ethics Committee opinion," Fertility and Sterility, vol. 122, no. 4, pp. 607–611, 2024.</w:t>
      </w:r>
    </w:p>
    <w:p w14:paraId="4712498E" w14:textId="77777777" w:rsidR="00231806" w:rsidRDefault="00231806" w:rsidP="00231806">
      <w:pPr>
        <w:pStyle w:val="references"/>
      </w:pPr>
      <w:r>
        <w:t xml:space="preserve"> R. Aufieri and F. Mastrocola, "Balancing technology, ethics, and society: A review of artificial intelligence in embryo selection," Information, vol. 16, no. 1, p. 18, 2025, doi: 10.3390/info16010018.</w:t>
      </w:r>
    </w:p>
    <w:p w14:paraId="239C95A5" w14:textId="77777777" w:rsidR="00231806" w:rsidRDefault="00231806" w:rsidP="00231806">
      <w:pPr>
        <w:pStyle w:val="references"/>
      </w:pPr>
      <w:r>
        <w:t>R. Smolarczyk, A. Szeliga, A. M. Duszewska, A. Kostrzak, E. Rudnicka, A. Szczesnowicz, M. Kunicki, S. Bochynska, G. Bala, B. Meczekalski, and E. Y. Adashi, "Foretelling the future: Preimplantation genetic testing and the coming of polygenic embryo screening," Journal of Clinical Medicine, vol. 14, no. 11, p. 3885, 2025, doi: 10.3390/jcm14113885.</w:t>
      </w:r>
    </w:p>
    <w:p w14:paraId="4925923D" w14:textId="77777777" w:rsidR="00231806" w:rsidRDefault="00231806" w:rsidP="00231806">
      <w:pPr>
        <w:pStyle w:val="references"/>
      </w:pPr>
      <w:r>
        <w:t>E. A. Partridge, M. G. Davey, M. A. Hornick, P. E. McGovern, A. Y. Mejaddam, J. D. Vrecenak, C. Mesas-Burgos, A. Olive, R. C. Caskey, T. R. Weiland III, J. Han, J. T. Connelly, K. C. Dysart, A. J. Schupper, J. Rychik, H. L. Hedrick, W. H. Peranteau, and A. W. Flake, "An extra-uterine physiologic support system for the extreme premature lamb," Nature Communications, Apr. 25, 2017.</w:t>
      </w:r>
    </w:p>
    <w:p w14:paraId="416809F3" w14:textId="77777777" w:rsidR="00231806" w:rsidRDefault="00231806" w:rsidP="00231806">
      <w:pPr>
        <w:pStyle w:val="references"/>
      </w:pPr>
      <w:r>
        <w:t>Y. Khulbe, S. Gupta, B. Javed, A. Neyazi, and B. K. Padhi, "Artificial womb: Opportunities and challenges for public health," International Journal of Surgery, vol. 109, no. 3, pp. 618–619, 2023, doi: 10.1097/JS9.0000000000000208.</w:t>
      </w:r>
    </w:p>
    <w:p w14:paraId="4F52764F" w14:textId="77777777" w:rsidR="00231806" w:rsidRDefault="00231806" w:rsidP="00231806">
      <w:pPr>
        <w:pStyle w:val="references"/>
      </w:pPr>
      <w:r>
        <w:t>Vitara Biomedical Company. [Online]. Available: [https://www.vitara.com/](https://www.vitara.com/) (Accessed: 01 Nov. 2025).</w:t>
      </w:r>
    </w:p>
    <w:p w14:paraId="29919608" w14:textId="77777777" w:rsidR="00231806" w:rsidRDefault="00231806" w:rsidP="00231806">
      <w:pPr>
        <w:pStyle w:val="references"/>
      </w:pPr>
      <w:r>
        <w:t>T. Baron, The Artificial Womb on Trial. Cambridge: Cambridge University Press, 2025.</w:t>
      </w:r>
    </w:p>
    <w:p w14:paraId="513588DF" w14:textId="77777777" w:rsidR="00231806" w:rsidRDefault="00231806" w:rsidP="00231806">
      <w:pPr>
        <w:pStyle w:val="references"/>
      </w:pPr>
      <w:r>
        <w:t>S. Krotz, "Artificial wombs: A new frontier in fertility and reproductive health," Inovi Fertility and Genetics Institute, 2025. [Online]. Available: [https://www.inovifertility.com/blog/artificial-wombs-a-new-frontier-in-fertility-and-reproductive-health/](https://www.inovifertility.com/blog/artificial-wombs-a-new-frontier-in-fertility-and-reproductive-health/) (Accessed: 01 Nov. 2025).</w:t>
      </w:r>
    </w:p>
    <w:p w14:paraId="0DD0B64C" w14:textId="77777777" w:rsidR="00231806" w:rsidRDefault="00231806" w:rsidP="00231806">
      <w:pPr>
        <w:pStyle w:val="references"/>
      </w:pPr>
      <w:r>
        <w:t xml:space="preserve"> T. H. Tran, "Chinese scientists create system to care for embryos in artificial womb," Futurism, 2022. [Online]. Available: [https://futurism.com/neoscope/chinese-artificial-womb-robot-nanny](https://futurism.com/neoscope/chinese-artificial-womb-robot-nanny) (Accessed: 01 Nov. 2025).</w:t>
      </w:r>
    </w:p>
    <w:p w14:paraId="1AEE2893" w14:textId="77777777" w:rsidR="00231806" w:rsidRDefault="00231806" w:rsidP="00231806">
      <w:pPr>
        <w:pStyle w:val="references"/>
      </w:pPr>
      <w:r>
        <w:t>J. Dunhill, "This artificial womb and AI nanny is the future of child development, claim Chinese scientists," IFLScience, 2022. [Online]. Available: [https://www.iflscience.com/this-artificial-womb-and-ai-nanny-is-the-future-of-child-development-claim-chinese-scientists-62437](https://www.iflscience.com/this-artificial-womb-and-ai-nanny-is-the-future-of-child-development-claim-chinese-scientists-62437) (Accessed: 02 Nov. 2025).</w:t>
      </w:r>
    </w:p>
    <w:p w14:paraId="3D975443" w14:textId="77777777" w:rsidR="00231806" w:rsidRDefault="00231806" w:rsidP="00231806">
      <w:pPr>
        <w:pStyle w:val="references"/>
      </w:pPr>
      <w:r>
        <w:t xml:space="preserve"> "China develops first-ever pregnancy robot—could it replace human surrogates?," Nurse.org, 2025. [Online]. Available: [https://nurse.org/news/pregnancy-robot-artificial-womb-china/](https://nurse.org/news/pregnancy-robot-artificial-womb-china/) (Accessed: 03 Nov. 2025).</w:t>
      </w:r>
    </w:p>
    <w:p w14:paraId="71886567" w14:textId="77777777" w:rsidR="00231806" w:rsidRDefault="00231806" w:rsidP="00231806">
      <w:pPr>
        <w:pStyle w:val="references"/>
      </w:pPr>
      <w:r>
        <w:t xml:space="preserve"> A. Ketchum, "Navigating the legal and ethical implications of artificial womb technology," Washington University Undergraduate Law Review, vol. 2, no. 2, 2025.</w:t>
      </w:r>
    </w:p>
    <w:p w14:paraId="18A7232C" w14:textId="77777777" w:rsidR="00231806" w:rsidRDefault="00231806" w:rsidP="00231806">
      <w:pPr>
        <w:pStyle w:val="references"/>
      </w:pPr>
      <w:r>
        <w:t xml:space="preserve"> V. Adkins, "The approach of healthcare professionals in defining the artificially gestated entity," Medical Law Review, vol. 33, no. 3, p. fwaf035, 2025, doi: 10.1093/medlaw/fwaf035.</w:t>
      </w:r>
    </w:p>
    <w:p w14:paraId="5EFD011C" w14:textId="77777777" w:rsidR="00231806" w:rsidRDefault="00231806" w:rsidP="00231806">
      <w:pPr>
        <w:pStyle w:val="references"/>
      </w:pPr>
      <w:r>
        <w:t xml:space="preserve"> E. C. Romanis, "Challenging the ‘born alive’ threshold: Fetal surgery, artificial wombs, and the English approach to legal personhood," Medical </w:t>
      </w:r>
      <w:r>
        <w:t>Law Review, vol. 28, no. 1, pp. 93–123, 2020, doi: 10.1093/medlaw/fwz014.</w:t>
      </w:r>
    </w:p>
    <w:p w14:paraId="2B207CDE" w14:textId="77777777" w:rsidR="00231806" w:rsidRDefault="00231806" w:rsidP="00231806">
      <w:pPr>
        <w:pStyle w:val="references"/>
      </w:pPr>
      <w:r>
        <w:t>S. Segers and E. C. Romanis, "Ethical, translational, and legal issues surrounding the novel adoption of ectogestative technologies," Risk Management and Healthcare Policy, vol. 15, pp. 2207–2220, 2022, doi: 10.2147/RMHP.S358553.</w:t>
      </w:r>
    </w:p>
    <w:p w14:paraId="1863277E" w14:textId="77777777" w:rsidR="00231806" w:rsidRDefault="00231806" w:rsidP="00231806">
      <w:pPr>
        <w:pStyle w:val="references"/>
      </w:pPr>
      <w:r>
        <w:t>F. R. De Bie, S. D. Kim, S. K. Bose, P. Nathanson, E. A. Partridge, A. W. Flake, and C. Feudtner, "Ethics considerations regarding artificial womb technology for the fetonate," The American Journal of Bioethics, vol. 23, no. 5, pp. 67–78, 2022, doi: 10.1080/15265161.2022.2048738.</w:t>
      </w:r>
    </w:p>
    <w:p w14:paraId="2EEED442" w14:textId="77777777" w:rsidR="00231806" w:rsidRDefault="00231806" w:rsidP="00231806">
      <w:pPr>
        <w:pStyle w:val="references"/>
      </w:pPr>
      <w:r>
        <w:t>P. D. Gluckman, M. A. Hanson, and A. S. Beedle, "Non-genomic transgenerational inheritance of disease risk," BioEssays, vol. 29, no. 2, pp. 145–154, 2007.</w:t>
      </w:r>
    </w:p>
    <w:p w14:paraId="1B51A665" w14:textId="77777777" w:rsidR="00231806" w:rsidRDefault="00231806" w:rsidP="00231806">
      <w:pPr>
        <w:pStyle w:val="references"/>
      </w:pPr>
      <w:r>
        <w:t xml:space="preserve"> J. E. Castillo-Fernandez, T. Spector, and J. Bell, "Epigenetics of discordant monozygotic twins: Implications for disease," Genome Medicine, vol. 6, no. 7, p. 60, 2014.</w:t>
      </w:r>
    </w:p>
    <w:p w14:paraId="26692FEF" w14:textId="77777777" w:rsidR="00231806" w:rsidRDefault="00231806" w:rsidP="00231806">
      <w:pPr>
        <w:pStyle w:val="references"/>
      </w:pPr>
      <w:r>
        <w:t xml:space="preserve"> S. Barbounaki, C. Nanou, A. Lykeridou, and V. Vivilaki, "Artificial intelligence and digital twins in simulating pregnancy," European Journal of Midwifery, vol. 7, Supplement 1, 2023, doi: 10.18332/ejm/172490.</w:t>
      </w:r>
    </w:p>
    <w:p w14:paraId="2C60A2FE" w14:textId="77777777" w:rsidR="00231806" w:rsidRDefault="00231806" w:rsidP="00231806">
      <w:pPr>
        <w:pStyle w:val="references"/>
      </w:pPr>
      <w:r>
        <w:t xml:space="preserve"> T. C. Lwin, T. T. Zin, P. Tin, E. Kino, and T. Ikenoue, "Advanced predictive analytics for fetal heart rate variability using digital twin integration," Sensors, vol. 25, no. 5, p. 1469, 2025, doi: 10.3390/s25051469.</w:t>
      </w:r>
    </w:p>
    <w:p w14:paraId="1259A279" w14:textId="77777777" w:rsidR="00231806" w:rsidRDefault="00231806" w:rsidP="00231806">
      <w:pPr>
        <w:pStyle w:val="references"/>
      </w:pPr>
      <w:r>
        <w:t>V. Calcaterra, V. Pagani, and G. Zuccotti, "Maternal and fetal health in the digital twin era," Frontiers in Pediatrics, vol. 11, p. 1251427, 2023, doi: 10.3389/fped.2023.1251427.</w:t>
      </w:r>
    </w:p>
    <w:p w14:paraId="13BAB847" w14:textId="77777777" w:rsidR="00231806" w:rsidRDefault="00231806" w:rsidP="00231806">
      <w:pPr>
        <w:pStyle w:val="references"/>
      </w:pPr>
      <w:r>
        <w:t xml:space="preserve"> N. Sizemore, K. Oliphant, R. Zheng, C. R. Martin, E. C. Claud, and I. Chattopadhyay, "A digital twin of the infant microbiome to predict neurodevelopmental deficits," Science Advances, vol. 10, no. 15, p. eadj0400, 2024.</w:t>
      </w:r>
    </w:p>
    <w:p w14:paraId="7D3C37BB" w14:textId="77777777" w:rsidR="00231806" w:rsidRDefault="00231806" w:rsidP="00231806">
      <w:pPr>
        <w:pStyle w:val="references"/>
      </w:pPr>
      <w:r>
        <w:t xml:space="preserve"> R. Rajeswari, "A survey on AI-driven simulated maternal environments: Innovations in enhancing fetal development in external gestation," SGS-Engineering &amp; Sciences, vol. 1, no. 2, 2025.</w:t>
      </w:r>
    </w:p>
    <w:p w14:paraId="0A330D21" w14:textId="78F78EB5" w:rsidR="00231806" w:rsidRDefault="00231806" w:rsidP="00231806">
      <w:pPr>
        <w:pStyle w:val="references"/>
      </w:pPr>
      <w:r>
        <w:t xml:space="preserve"> Y. Suita, H. Bright Jr., Y. Pu, M. D. Toruner, J. Idehen, N. Tapinos, and R. Singh, "Machine learning on multiple epigenetic features reveals H3K27Ac as a driver of gene expression prediction across patients with glioblastoma," bioRxiv, p. 2024.06.25.600585, 2024, doi: 10.1101/2024.06.25.600585.</w:t>
      </w:r>
    </w:p>
    <w:p w14:paraId="4C2AB5E2" w14:textId="139E160E" w:rsidR="00067E68" w:rsidRDefault="00067E68" w:rsidP="00231806">
      <w:pPr>
        <w:pStyle w:val="references"/>
      </w:pPr>
      <w:r w:rsidRPr="00067E68">
        <w:t>S. K. R. Moosavi, M. H. Zafar, and F. Sanfilippo, "Collaborative robots (cobots) for disaster risk resilience: A framework for swarm of snake robots in delivering first aid in emergency situations," Frontiers in Robotics and AI, vol. 11, p. 1362294,</w:t>
      </w:r>
    </w:p>
    <w:p w14:paraId="638B58C5" w14:textId="77777777" w:rsidR="00231806" w:rsidRDefault="00231806" w:rsidP="00231806">
      <w:pPr>
        <w:pStyle w:val="references"/>
      </w:pPr>
      <w:r>
        <w:t>C. Dupras, K. M. Saulnier, and Y. Joly, "Epigenetics, ethics, law and society: A multidisciplinary review of descriptive, instrumental, dialectical and reflexive analyses," Social Studies of Science, vol. 49, no. 5, pp. 785–810, 2019, doi: 10.1177/0306312719866007.</w:t>
      </w:r>
    </w:p>
    <w:p w14:paraId="73D956BA" w14:textId="77777777" w:rsidR="00231806" w:rsidRDefault="00231806" w:rsidP="00231806">
      <w:pPr>
        <w:pStyle w:val="references"/>
      </w:pPr>
      <w:r>
        <w:t>E. Conradt, D. E. Adkins, S. E. Crowell, K. L. Raby, L. M. Diamond, and B. Ellis, "Incorporating epigenetic mechanisms to advance fetal programming theories," Development and Psychopathology, vol. 30, no. 3, pp. 807–824, 2018, doi: 10.1017/S0954579418000469.</w:t>
      </w:r>
    </w:p>
    <w:p w14:paraId="73E1239D" w14:textId="77777777" w:rsidR="00231806" w:rsidRDefault="00231806" w:rsidP="00231806">
      <w:pPr>
        <w:pStyle w:val="references"/>
      </w:pPr>
      <w:r>
        <w:t>H. Devlin et al., "US startup charging couples to ‘screen embryos for IQ’," The Guardian, 2024. [Online]. Available: [https://www.theguardian.com/science/2024/oct/18/us-startup-charging-couples-to-screen-embryos-for-iq](https://www.theguardian.com/science/2024/oct/18/us-startup-charging-couples-to-screen-embryos-for-iq) (Accessed: 01 Nov. 2025).</w:t>
      </w:r>
    </w:p>
    <w:p w14:paraId="11A14E18" w14:textId="1F203C97" w:rsidR="00231806" w:rsidRDefault="00231806" w:rsidP="00231806">
      <w:pPr>
        <w:pStyle w:val="references"/>
      </w:pPr>
      <w:r>
        <w:t>M. A. Rothstein, Y. Cai, and G. E. Marchant, "Ethical implications of epigenetics research," Nature Reviews Genetics, vol. 10, no. 4, p. 224, 2009, doi: 10.1038/nrg2562.</w:t>
      </w:r>
    </w:p>
    <w:p w14:paraId="2A5DE92A" w14:textId="2975BB5E"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F549DA0" w14:textId="77777777" w:rsidR="00D969CA" w:rsidRDefault="00D969CA" w:rsidP="001A3B3D">
      <w:r>
        <w:separator/>
      </w:r>
    </w:p>
  </w:endnote>
  <w:endnote w:type="continuationSeparator" w:id="0">
    <w:p w14:paraId="0966DA68" w14:textId="77777777" w:rsidR="00D969CA" w:rsidRDefault="00D969C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A41F26" w:rsidRPr="006F6D3D" w:rsidRDefault="00A41F26" w:rsidP="0056610F">
    <w:pPr>
      <w:pStyle w:val="Pidipa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A42D9C2" w14:textId="77777777" w:rsidR="00D969CA" w:rsidRDefault="00D969CA" w:rsidP="001A3B3D">
      <w:r>
        <w:separator/>
      </w:r>
    </w:p>
  </w:footnote>
  <w:footnote w:type="continuationSeparator" w:id="0">
    <w:p w14:paraId="323DEFE6" w14:textId="77777777" w:rsidR="00D969CA" w:rsidRDefault="00D969C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5D177658"/>
    <w:multiLevelType w:val="hybridMultilevel"/>
    <w:tmpl w:val="BFD00202"/>
    <w:lvl w:ilvl="0" w:tplc="27568AC2">
      <w:start w:val="4"/>
      <w:numFmt w:val="bullet"/>
      <w:lvlText w:val="-"/>
      <w:lvlJc w:val="start"/>
      <w:pPr>
        <w:ind w:start="36pt" w:hanging="18pt"/>
      </w:pPr>
      <w:rPr>
        <w:rFonts w:ascii="Times New Roman" w:eastAsia="SimSun" w:hAnsi="Times New Roman" w:cs="Times New Roman" w:hint="defaul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20" w15:restartNumberingAfterBreak="0">
    <w:nsid w:val="66CA2CDB"/>
    <w:multiLevelType w:val="hybridMultilevel"/>
    <w:tmpl w:val="A7F04ECE"/>
    <w:lvl w:ilvl="0" w:tplc="71FA240E">
      <w:start w:val="5"/>
      <w:numFmt w:val="bullet"/>
      <w:lvlText w:val=""/>
      <w:lvlJc w:val="start"/>
      <w:pPr>
        <w:ind w:start="36pt" w:hanging="18pt"/>
      </w:pPr>
      <w:rPr>
        <w:rFonts w:ascii="Wingdings" w:eastAsia="SimSun" w:hAnsi="Wingdings" w:cs="Times New Roman" w:hint="defaul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067648233">
    <w:abstractNumId w:val="14"/>
  </w:num>
  <w:num w:numId="2" w16cid:durableId="1820222821">
    <w:abstractNumId w:val="21"/>
  </w:num>
  <w:num w:numId="3" w16cid:durableId="361712740">
    <w:abstractNumId w:val="13"/>
  </w:num>
  <w:num w:numId="4" w16cid:durableId="285700151">
    <w:abstractNumId w:val="16"/>
  </w:num>
  <w:num w:numId="5" w16cid:durableId="1291203101">
    <w:abstractNumId w:val="16"/>
  </w:num>
  <w:num w:numId="6" w16cid:durableId="1042293784">
    <w:abstractNumId w:val="16"/>
  </w:num>
  <w:num w:numId="7" w16cid:durableId="1818955913">
    <w:abstractNumId w:val="16"/>
  </w:num>
  <w:num w:numId="8" w16cid:durableId="926695984">
    <w:abstractNumId w:val="18"/>
  </w:num>
  <w:num w:numId="9" w16cid:durableId="993069535">
    <w:abstractNumId w:val="22"/>
  </w:num>
  <w:num w:numId="10" w16cid:durableId="1235968555">
    <w:abstractNumId w:val="15"/>
  </w:num>
  <w:num w:numId="11" w16cid:durableId="1965499857">
    <w:abstractNumId w:val="12"/>
  </w:num>
  <w:num w:numId="12" w16cid:durableId="1686595187">
    <w:abstractNumId w:val="11"/>
  </w:num>
  <w:num w:numId="13" w16cid:durableId="676661060">
    <w:abstractNumId w:val="0"/>
  </w:num>
  <w:num w:numId="14" w16cid:durableId="989097141">
    <w:abstractNumId w:val="10"/>
  </w:num>
  <w:num w:numId="15" w16cid:durableId="2095587744">
    <w:abstractNumId w:val="8"/>
  </w:num>
  <w:num w:numId="16" w16cid:durableId="883950874">
    <w:abstractNumId w:val="7"/>
  </w:num>
  <w:num w:numId="17" w16cid:durableId="34042666">
    <w:abstractNumId w:val="6"/>
  </w:num>
  <w:num w:numId="18" w16cid:durableId="1203984386">
    <w:abstractNumId w:val="5"/>
  </w:num>
  <w:num w:numId="19" w16cid:durableId="1267270094">
    <w:abstractNumId w:val="9"/>
  </w:num>
  <w:num w:numId="20" w16cid:durableId="1501962477">
    <w:abstractNumId w:val="4"/>
  </w:num>
  <w:num w:numId="21" w16cid:durableId="1128426607">
    <w:abstractNumId w:val="3"/>
  </w:num>
  <w:num w:numId="22" w16cid:durableId="1049963495">
    <w:abstractNumId w:val="2"/>
  </w:num>
  <w:num w:numId="23" w16cid:durableId="2129736947">
    <w:abstractNumId w:val="1"/>
  </w:num>
  <w:num w:numId="24" w16cid:durableId="1363164753">
    <w:abstractNumId w:val="17"/>
  </w:num>
  <w:num w:numId="25" w16cid:durableId="125395463">
    <w:abstractNumId w:val="18"/>
  </w:num>
  <w:num w:numId="26" w16cid:durableId="22102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41106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1103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8093318">
    <w:abstractNumId w:val="19"/>
  </w:num>
  <w:num w:numId="30" w16cid:durableId="1950773639">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56B"/>
    <w:rsid w:val="0004781E"/>
    <w:rsid w:val="00067E68"/>
    <w:rsid w:val="0008758A"/>
    <w:rsid w:val="00093DB8"/>
    <w:rsid w:val="000C1E68"/>
    <w:rsid w:val="000D290D"/>
    <w:rsid w:val="0015079E"/>
    <w:rsid w:val="00156B74"/>
    <w:rsid w:val="001A2EFD"/>
    <w:rsid w:val="001A3B3D"/>
    <w:rsid w:val="001A42EA"/>
    <w:rsid w:val="001B67DC"/>
    <w:rsid w:val="001C3CBA"/>
    <w:rsid w:val="001D7BCF"/>
    <w:rsid w:val="002254A9"/>
    <w:rsid w:val="00231806"/>
    <w:rsid w:val="00233D97"/>
    <w:rsid w:val="00245FC5"/>
    <w:rsid w:val="002850E3"/>
    <w:rsid w:val="0029121E"/>
    <w:rsid w:val="002A5247"/>
    <w:rsid w:val="0031548C"/>
    <w:rsid w:val="00354FCF"/>
    <w:rsid w:val="003A19E2"/>
    <w:rsid w:val="003E5435"/>
    <w:rsid w:val="00421EC6"/>
    <w:rsid w:val="004325FB"/>
    <w:rsid w:val="00440961"/>
    <w:rsid w:val="004432BA"/>
    <w:rsid w:val="0044407E"/>
    <w:rsid w:val="004B75E8"/>
    <w:rsid w:val="004D72B5"/>
    <w:rsid w:val="004E136E"/>
    <w:rsid w:val="004F46EE"/>
    <w:rsid w:val="005100F4"/>
    <w:rsid w:val="005427E2"/>
    <w:rsid w:val="00547E73"/>
    <w:rsid w:val="00551B7F"/>
    <w:rsid w:val="0056610F"/>
    <w:rsid w:val="00570DE9"/>
    <w:rsid w:val="00575BCA"/>
    <w:rsid w:val="005B0344"/>
    <w:rsid w:val="005B520E"/>
    <w:rsid w:val="005D5D02"/>
    <w:rsid w:val="005E2800"/>
    <w:rsid w:val="006347CF"/>
    <w:rsid w:val="0063697A"/>
    <w:rsid w:val="00645D22"/>
    <w:rsid w:val="006502A7"/>
    <w:rsid w:val="00651A08"/>
    <w:rsid w:val="00654204"/>
    <w:rsid w:val="006555C4"/>
    <w:rsid w:val="00670434"/>
    <w:rsid w:val="006A6036"/>
    <w:rsid w:val="006B6B66"/>
    <w:rsid w:val="006C0B88"/>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3F0D"/>
    <w:rsid w:val="008F6E2C"/>
    <w:rsid w:val="009303D9"/>
    <w:rsid w:val="00933C64"/>
    <w:rsid w:val="00972203"/>
    <w:rsid w:val="009E128A"/>
    <w:rsid w:val="00A02946"/>
    <w:rsid w:val="00A059B3"/>
    <w:rsid w:val="00A41F26"/>
    <w:rsid w:val="00A83751"/>
    <w:rsid w:val="00A83BDD"/>
    <w:rsid w:val="00AE3409"/>
    <w:rsid w:val="00B11A60"/>
    <w:rsid w:val="00B22613"/>
    <w:rsid w:val="00BA1025"/>
    <w:rsid w:val="00BC3420"/>
    <w:rsid w:val="00BE7D3C"/>
    <w:rsid w:val="00BF5FF6"/>
    <w:rsid w:val="00C01649"/>
    <w:rsid w:val="00C0207F"/>
    <w:rsid w:val="00C078F6"/>
    <w:rsid w:val="00C16117"/>
    <w:rsid w:val="00C212AD"/>
    <w:rsid w:val="00C3075A"/>
    <w:rsid w:val="00C76FFC"/>
    <w:rsid w:val="00C919A4"/>
    <w:rsid w:val="00CA4392"/>
    <w:rsid w:val="00CC393F"/>
    <w:rsid w:val="00D13749"/>
    <w:rsid w:val="00D2176E"/>
    <w:rsid w:val="00D4608C"/>
    <w:rsid w:val="00D61FD5"/>
    <w:rsid w:val="00D632BE"/>
    <w:rsid w:val="00D72D06"/>
    <w:rsid w:val="00D7522C"/>
    <w:rsid w:val="00D7536F"/>
    <w:rsid w:val="00D76668"/>
    <w:rsid w:val="00D920AC"/>
    <w:rsid w:val="00D969CA"/>
    <w:rsid w:val="00E00C5D"/>
    <w:rsid w:val="00E61E12"/>
    <w:rsid w:val="00E7596C"/>
    <w:rsid w:val="00E878F2"/>
    <w:rsid w:val="00ED0149"/>
    <w:rsid w:val="00EF7DE3"/>
    <w:rsid w:val="00F02538"/>
    <w:rsid w:val="00F03103"/>
    <w:rsid w:val="00F12284"/>
    <w:rsid w:val="00F271DE"/>
    <w:rsid w:val="00F627DA"/>
    <w:rsid w:val="00F634A9"/>
    <w:rsid w:val="00F7288F"/>
    <w:rsid w:val="00F847A6"/>
    <w:rsid w:val="00F92AD7"/>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outlineLvl w:val="0"/>
    </w:pPr>
    <w:rPr>
      <w:smallCaps/>
      <w:noProof/>
    </w:rPr>
  </w:style>
  <w:style w:type="paragraph" w:styleId="Titolo2">
    <w:name w:val="heading 2"/>
    <w:basedOn w:val="Normale"/>
    <w:next w:val="Normale"/>
    <w:qFormat/>
    <w:rsid w:val="00ED0149"/>
    <w:pPr>
      <w:keepNext/>
      <w:keepLines/>
      <w:numPr>
        <w:ilvl w:val="1"/>
        <w:numId w:val="4"/>
      </w:numPr>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jc w:val="both"/>
      <w:outlineLvl w:val="2"/>
    </w:pPr>
    <w:rPr>
      <w:i/>
      <w:iCs/>
      <w:noProof/>
    </w:rPr>
  </w:style>
  <w:style w:type="paragraph" w:styleId="Titolo4">
    <w:name w:val="heading 4"/>
    <w:basedOn w:val="Normale"/>
    <w:next w:val="Normale"/>
    <w:qFormat/>
    <w:rsid w:val="00794804"/>
    <w:pPr>
      <w:numPr>
        <w:ilvl w:val="3"/>
        <w:numId w:val="4"/>
      </w:numPr>
      <w:tabs>
        <w:tab w:val="start" w:pos="36pt"/>
      </w:tabs>
      <w:spacing w:before="2pt" w:after="2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 w:type="character" w:styleId="Collegamentoipertestuale">
    <w:name w:val="Hyperlink"/>
    <w:basedOn w:val="Carpredefinitoparagrafo"/>
    <w:rsid w:val="00156B74"/>
    <w:rPr>
      <w:color w:val="0563C1" w:themeColor="hyperlink"/>
      <w:u w:val="single"/>
    </w:rPr>
  </w:style>
  <w:style w:type="character" w:styleId="Menzionenonrisolta">
    <w:name w:val="Unresolved Mention"/>
    <w:basedOn w:val="Carpredefinitoparagrafo"/>
    <w:uiPriority w:val="99"/>
    <w:semiHidden/>
    <w:unhideWhenUsed/>
    <w:rsid w:val="00156B74"/>
    <w:rPr>
      <w:color w:val="605E5C"/>
      <w:shd w:val="clear" w:color="auto" w:fill="E1DFDD"/>
    </w:rPr>
  </w:style>
  <w:style w:type="paragraph" w:styleId="Paragrafoelenco">
    <w:name w:val="List Paragraph"/>
    <w:basedOn w:val="Normale"/>
    <w:uiPriority w:val="34"/>
    <w:qFormat/>
    <w:rsid w:val="00570DE9"/>
    <w:pPr>
      <w:ind w:start="36pt"/>
      <w:contextualSpacing/>
    </w:pPr>
  </w:style>
  <w:style w:type="character" w:styleId="Rimandocommento">
    <w:name w:val="annotation reference"/>
    <w:basedOn w:val="Carpredefinitoparagrafo"/>
    <w:rsid w:val="00C078F6"/>
    <w:rPr>
      <w:sz w:val="16"/>
      <w:szCs w:val="16"/>
    </w:rPr>
  </w:style>
  <w:style w:type="paragraph" w:styleId="Testocommento">
    <w:name w:val="annotation text"/>
    <w:basedOn w:val="Normale"/>
    <w:link w:val="TestocommentoCarattere"/>
    <w:rsid w:val="00C078F6"/>
  </w:style>
  <w:style w:type="character" w:customStyle="1" w:styleId="TestocommentoCarattere">
    <w:name w:val="Testo commento Carattere"/>
    <w:basedOn w:val="Carpredefinitoparagrafo"/>
    <w:link w:val="Testocommento"/>
    <w:rsid w:val="00C078F6"/>
  </w:style>
  <w:style w:type="paragraph" w:styleId="Soggettocommento">
    <w:name w:val="annotation subject"/>
    <w:basedOn w:val="Testocommento"/>
    <w:next w:val="Testocommento"/>
    <w:link w:val="SoggettocommentoCarattere"/>
    <w:rsid w:val="00C078F6"/>
    <w:rPr>
      <w:b/>
      <w:bCs/>
    </w:rPr>
  </w:style>
  <w:style w:type="character" w:customStyle="1" w:styleId="SoggettocommentoCarattere">
    <w:name w:val="Soggetto commento Carattere"/>
    <w:basedOn w:val="TestocommentoCarattere"/>
    <w:link w:val="Soggettocommento"/>
    <w:rsid w:val="00C078F6"/>
    <w:rPr>
      <w:b/>
      <w:bCs/>
    </w:rPr>
  </w:style>
  <w:style w:type="paragraph" w:styleId="Testofumetto">
    <w:name w:val="Balloon Text"/>
    <w:basedOn w:val="Normale"/>
    <w:link w:val="TestofumettoCarattere"/>
    <w:rsid w:val="00C078F6"/>
    <w:rPr>
      <w:rFonts w:ascii="Segoe UI" w:hAnsi="Segoe UI" w:cs="Segoe UI"/>
      <w:sz w:val="18"/>
      <w:szCs w:val="18"/>
    </w:rPr>
  </w:style>
  <w:style w:type="character" w:customStyle="1" w:styleId="TestofumettoCarattere">
    <w:name w:val="Testo fumetto Carattere"/>
    <w:basedOn w:val="Carpredefinitoparagrafo"/>
    <w:link w:val="Testofumetto"/>
    <w:rsid w:val="00C078F6"/>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C493786-7129-4F8B-93FE-53876A124F0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TotalTime>
  <Pages>8</Pages>
  <Words>7609</Words>
  <Characters>43373</Characters>
  <Application>Microsoft Office Word</Application>
  <DocSecurity>0</DocSecurity>
  <Lines>361</Lines>
  <Paragraphs>101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50881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Cristina Brasi</cp:lastModifiedBy>
  <cp:revision>4</cp:revision>
  <dcterms:created xsi:type="dcterms:W3CDTF">2026-01-06T12:39:00Z</dcterms:created>
  <dcterms:modified xsi:type="dcterms:W3CDTF">2026-01-10T12:49:00Z</dcterms:modified>
</cp:coreProperties>
</file>