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8E544B0" w14:textId="1352796E" w:rsidR="009303D9" w:rsidRDefault="00DD01DC" w:rsidP="006347CF">
      <w:pPr>
        <w:pStyle w:val="papertitle"/>
        <w:spacing w:before="5pt" w:beforeAutospacing="1" w:after="5pt" w:afterAutospacing="1"/>
      </w:pPr>
      <w:r w:rsidRPr="00DD01DC">
        <w:t>Enhancing Financial Literacy and Academic Performance through IoT-Enabled Learning Platforms: Evidence from Bandung Students</w:t>
      </w:r>
    </w:p>
    <w:p w14:paraId="6D735D0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69208FB4" w14:textId="5EDBD65D" w:rsidR="009006D9" w:rsidRDefault="00DD01DC" w:rsidP="004A3448">
      <w:pPr>
        <w:pStyle w:val="Author"/>
        <w:spacing w:before="5pt" w:beforeAutospacing="1"/>
        <w:rPr>
          <w:sz w:val="18"/>
          <w:szCs w:val="18"/>
        </w:rPr>
      </w:pPr>
      <w:r>
        <w:rPr>
          <w:sz w:val="18"/>
          <w:szCs w:val="18"/>
        </w:rPr>
        <w:t>Faqih Ahmad Muzakky</w:t>
      </w:r>
      <w:r w:rsidR="001A3B3D" w:rsidRPr="00F847A6">
        <w:rPr>
          <w:sz w:val="18"/>
          <w:szCs w:val="18"/>
        </w:rPr>
        <w:t xml:space="preserve"> </w:t>
      </w:r>
      <w:r w:rsidR="001A3B3D" w:rsidRPr="00F847A6">
        <w:rPr>
          <w:sz w:val="18"/>
          <w:szCs w:val="18"/>
        </w:rPr>
        <w:br/>
      </w:r>
      <w:r w:rsidRPr="00DD01DC">
        <w:rPr>
          <w:i/>
          <w:sz w:val="18"/>
          <w:szCs w:val="18"/>
        </w:rPr>
        <w:t xml:space="preserve">Business Administration Study Program, School of Economics and Business </w:t>
      </w:r>
      <w:r w:rsidR="00D72D06" w:rsidRPr="00F847A6">
        <w:rPr>
          <w:sz w:val="18"/>
          <w:szCs w:val="18"/>
        </w:rPr>
        <w:br/>
      </w:r>
      <w:r w:rsidRPr="00DD01DC">
        <w:rPr>
          <w:i/>
          <w:sz w:val="18"/>
          <w:szCs w:val="18"/>
        </w:rPr>
        <w:t>Telkom</w:t>
      </w:r>
      <w:r>
        <w:rPr>
          <w:i/>
          <w:sz w:val="18"/>
          <w:szCs w:val="18"/>
        </w:rPr>
        <w:t xml:space="preserve"> </w:t>
      </w:r>
      <w:r w:rsidRPr="00DD01DC">
        <w:rPr>
          <w:i/>
          <w:sz w:val="18"/>
          <w:szCs w:val="18"/>
        </w:rPr>
        <w:t>University</w:t>
      </w:r>
      <w:r w:rsidR="001A3B3D" w:rsidRPr="00F847A6">
        <w:rPr>
          <w:i/>
          <w:sz w:val="18"/>
          <w:szCs w:val="18"/>
        </w:rPr>
        <w:br/>
      </w:r>
      <w:r w:rsidRPr="00DD01DC">
        <w:rPr>
          <w:sz w:val="18"/>
          <w:szCs w:val="18"/>
        </w:rPr>
        <w:t>Bandung, Indonesia</w:t>
      </w:r>
      <w:r w:rsidR="001A3B3D" w:rsidRPr="00F847A6">
        <w:rPr>
          <w:sz w:val="18"/>
          <w:szCs w:val="18"/>
        </w:rPr>
        <w:br/>
      </w:r>
      <w:r>
        <w:rPr>
          <w:sz w:val="18"/>
          <w:szCs w:val="18"/>
        </w:rPr>
        <w:t>faqihahmadmuzakky@telkomuniversity.ac.id</w:t>
      </w:r>
      <w:r w:rsidR="006347CF">
        <w:rPr>
          <w:sz w:val="18"/>
          <w:szCs w:val="18"/>
        </w:rPr>
        <w:br/>
      </w:r>
      <w:r w:rsidR="006347CF">
        <w:rPr>
          <w:sz w:val="18"/>
          <w:szCs w:val="18"/>
        </w:rPr>
        <w:br/>
      </w:r>
      <w:r w:rsidR="00483212" w:rsidRPr="00483212">
        <w:rPr>
          <w:sz w:val="18"/>
          <w:szCs w:val="18"/>
        </w:rPr>
        <w:t>Budi Prasetiyo</w:t>
      </w:r>
      <w:r w:rsidR="004A3448" w:rsidRPr="00F847A6">
        <w:rPr>
          <w:sz w:val="18"/>
          <w:szCs w:val="18"/>
        </w:rPr>
        <w:br/>
      </w:r>
      <w:r w:rsidR="004A3448" w:rsidRPr="00DD01DC">
        <w:rPr>
          <w:i/>
          <w:sz w:val="18"/>
          <w:szCs w:val="18"/>
        </w:rPr>
        <w:t xml:space="preserve">Business Administration Study Program, School of Economics and Business </w:t>
      </w:r>
      <w:r w:rsidR="004A3448" w:rsidRPr="00F847A6">
        <w:rPr>
          <w:sz w:val="18"/>
          <w:szCs w:val="18"/>
        </w:rPr>
        <w:br/>
      </w:r>
      <w:r w:rsidR="004A3448" w:rsidRPr="00DD01DC">
        <w:rPr>
          <w:i/>
          <w:sz w:val="18"/>
          <w:szCs w:val="18"/>
        </w:rPr>
        <w:t>Telkom</w:t>
      </w:r>
      <w:r w:rsidR="004A3448">
        <w:rPr>
          <w:i/>
          <w:sz w:val="18"/>
          <w:szCs w:val="18"/>
        </w:rPr>
        <w:t xml:space="preserve"> </w:t>
      </w:r>
      <w:r w:rsidR="004A3448" w:rsidRPr="00DD01DC">
        <w:rPr>
          <w:i/>
          <w:sz w:val="18"/>
          <w:szCs w:val="18"/>
        </w:rPr>
        <w:t>University</w:t>
      </w:r>
      <w:r w:rsidR="004A3448" w:rsidRPr="00F847A6">
        <w:rPr>
          <w:i/>
          <w:sz w:val="18"/>
          <w:szCs w:val="18"/>
        </w:rPr>
        <w:br/>
      </w:r>
      <w:r w:rsidR="004A3448" w:rsidRPr="00DD01DC">
        <w:rPr>
          <w:sz w:val="18"/>
          <w:szCs w:val="18"/>
        </w:rPr>
        <w:t>Bandung, Indonesia</w:t>
      </w:r>
      <w:r w:rsidR="004A3448" w:rsidRPr="00F847A6">
        <w:rPr>
          <w:sz w:val="18"/>
          <w:szCs w:val="18"/>
        </w:rPr>
        <w:br/>
      </w:r>
      <w:r w:rsidR="00483212" w:rsidRPr="00483212">
        <w:rPr>
          <w:sz w:val="18"/>
          <w:szCs w:val="18"/>
        </w:rPr>
        <w:t>budiprasetiyo@telkomuniversity.ac.id</w:t>
      </w:r>
      <w:r w:rsidR="004A3448">
        <w:rPr>
          <w:sz w:val="18"/>
          <w:szCs w:val="18"/>
        </w:rPr>
        <w:br/>
      </w:r>
      <w:r w:rsidR="004A3448">
        <w:rPr>
          <w:sz w:val="18"/>
          <w:szCs w:val="18"/>
        </w:rPr>
        <w:br/>
      </w:r>
      <w:r w:rsidR="004A3448">
        <w:rPr>
          <w:sz w:val="18"/>
          <w:szCs w:val="18"/>
        </w:rPr>
        <w:t>Yogi Suprayogi</w:t>
      </w:r>
      <w:r w:rsidR="004A3448" w:rsidRPr="00F847A6">
        <w:rPr>
          <w:sz w:val="18"/>
          <w:szCs w:val="18"/>
        </w:rPr>
        <w:br/>
      </w:r>
      <w:r w:rsidR="004A3448" w:rsidRPr="00DD01DC">
        <w:rPr>
          <w:i/>
          <w:sz w:val="18"/>
          <w:szCs w:val="18"/>
        </w:rPr>
        <w:t xml:space="preserve">Business Administration Study Program, School of Economics and Business </w:t>
      </w:r>
      <w:r w:rsidR="004A3448" w:rsidRPr="00F847A6">
        <w:rPr>
          <w:sz w:val="18"/>
          <w:szCs w:val="18"/>
        </w:rPr>
        <w:br/>
      </w:r>
      <w:r w:rsidR="004A3448" w:rsidRPr="00DD01DC">
        <w:rPr>
          <w:i/>
          <w:sz w:val="18"/>
          <w:szCs w:val="18"/>
        </w:rPr>
        <w:t>Telkom</w:t>
      </w:r>
      <w:r w:rsidR="004A3448">
        <w:rPr>
          <w:i/>
          <w:sz w:val="18"/>
          <w:szCs w:val="18"/>
        </w:rPr>
        <w:t xml:space="preserve"> </w:t>
      </w:r>
      <w:r w:rsidR="004A3448" w:rsidRPr="00DD01DC">
        <w:rPr>
          <w:i/>
          <w:sz w:val="18"/>
          <w:szCs w:val="18"/>
        </w:rPr>
        <w:t>University</w:t>
      </w:r>
      <w:r w:rsidR="004A3448" w:rsidRPr="00F847A6">
        <w:rPr>
          <w:i/>
          <w:sz w:val="18"/>
          <w:szCs w:val="18"/>
        </w:rPr>
        <w:br/>
      </w:r>
      <w:r w:rsidR="004A3448" w:rsidRPr="00DD01DC">
        <w:rPr>
          <w:sz w:val="18"/>
          <w:szCs w:val="18"/>
        </w:rPr>
        <w:t>Bandung, Indonesia</w:t>
      </w:r>
      <w:r w:rsidR="004A3448" w:rsidRPr="00F847A6">
        <w:rPr>
          <w:sz w:val="18"/>
          <w:szCs w:val="18"/>
        </w:rPr>
        <w:br/>
      </w:r>
      <w:r w:rsidR="004A3448">
        <w:rPr>
          <w:sz w:val="18"/>
          <w:szCs w:val="18"/>
        </w:rPr>
        <w:t>yogisuprayogi@telkomuniversity.ac.id</w:t>
      </w:r>
    </w:p>
    <w:p w14:paraId="2C917717" w14:textId="77777777" w:rsidR="009006D9" w:rsidRDefault="009006D9" w:rsidP="00DD01DC">
      <w:pPr>
        <w:pStyle w:val="Author"/>
        <w:spacing w:before="5pt" w:beforeAutospacing="1"/>
        <w:rPr>
          <w:sz w:val="18"/>
          <w:szCs w:val="18"/>
        </w:rPr>
      </w:pPr>
    </w:p>
    <w:p w14:paraId="06484720" w14:textId="77777777" w:rsidR="009006D9" w:rsidRDefault="009006D9" w:rsidP="00DD01DC">
      <w:pPr>
        <w:pStyle w:val="Author"/>
        <w:spacing w:before="5pt" w:beforeAutospacing="1"/>
        <w:rPr>
          <w:sz w:val="18"/>
          <w:szCs w:val="18"/>
        </w:rPr>
      </w:pPr>
    </w:p>
    <w:p w14:paraId="7DC3BD49" w14:textId="2DC1DC4C" w:rsidR="001A3B3D" w:rsidRPr="00DD01DC" w:rsidRDefault="004A3448" w:rsidP="00DD01DC">
      <w:pPr>
        <w:pStyle w:val="Author"/>
        <w:spacing w:before="5pt" w:beforeAutospacing="1"/>
        <w:rPr>
          <w:i/>
          <w:sz w:val="18"/>
          <w:szCs w:val="18"/>
        </w:rPr>
        <w:sectPr w:rsidR="001A3B3D" w:rsidRPr="00DD01DC" w:rsidSect="00F847A6">
          <w:type w:val="continuous"/>
          <w:pgSz w:w="612pt" w:h="792pt" w:code="1"/>
          <w:pgMar w:top="54pt" w:right="44.65pt" w:bottom="72pt" w:left="44.65pt" w:header="36pt" w:footer="36pt" w:gutter="0pt"/>
          <w:cols w:num="4" w:space="10.80pt"/>
          <w:docGrid w:linePitch="360"/>
        </w:sectPr>
      </w:pPr>
      <w:r>
        <w:rPr>
          <w:sz w:val="18"/>
          <w:szCs w:val="18"/>
        </w:rPr>
        <w:t xml:space="preserve"> </w:t>
      </w:r>
    </w:p>
    <w:p w14:paraId="44292629" w14:textId="77777777" w:rsidR="009303D9" w:rsidRPr="005B520E" w:rsidRDefault="009303D9" w:rsidP="00DD01DC">
      <w:pPr>
        <w:jc w:val="both"/>
        <w:sectPr w:rsidR="009303D9" w:rsidRPr="005B520E">
          <w:type w:val="continuous"/>
          <w:pgSz w:w="612pt" w:h="792pt" w:code="1"/>
          <w:pgMar w:top="54pt" w:right="44.65pt" w:bottom="72pt" w:left="44.65pt" w:header="36pt" w:footer="36pt" w:gutter="0pt"/>
          <w:cols w:space="36pt"/>
          <w:docGrid w:linePitch="360"/>
        </w:sectPr>
      </w:pPr>
    </w:p>
    <w:p w14:paraId="128D2612" w14:textId="77777777" w:rsidR="00CA4392" w:rsidRPr="00F847A6" w:rsidRDefault="00CA4392" w:rsidP="00DD01DC">
      <w:pPr>
        <w:pStyle w:val="Author"/>
        <w:spacing w:before="5pt" w:beforeAutospacing="1"/>
        <w:jc w:val="both"/>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58935029"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267708E4" w14:textId="293B6A0C" w:rsidR="004D72B5" w:rsidRDefault="00DD01DC" w:rsidP="00DD01DC">
      <w:pPr>
        <w:pStyle w:val="Abstract"/>
        <w:ind w:firstLine="0pt"/>
        <w:rPr>
          <w:i/>
          <w:iCs/>
        </w:rPr>
      </w:pPr>
      <w:r w:rsidRPr="00DD01DC">
        <w:rPr>
          <w:i/>
          <w:iCs/>
        </w:rPr>
        <w:t>Financial literacy is an essential life skill in today’s increasingly digital economy. This study investigates the relationship between financial literacy—measured through knowledge, behavior, and attitude—and students’ academic performance in finance-related courses at a major university in Bandung, Indonesia. Using a quantitative design and multiple linear regression analysis on 250 undergraduate respondents, the research explores how cognitive, behavioral, and affective components of financial literacy contribute to learning outcomes. The findings reveal that although financial literacy dimensions positively correlate with academic performance, their direct effects on GPA are limited. These results suggest that knowledge alone does not translate into improved academic outcomes without supporting behavioral and motivational factors. The study highlights the potential of IoT-based learning platforms, such as Android financial education applications, to strengthen engagement, financial awareness, and self-regulation. Integrating IoT-enabled tools into financial education could enhance experiential learning, making financial literacy more interactive and effective in improving students’ long-term financial competence.</w:t>
      </w:r>
    </w:p>
    <w:p w14:paraId="3F9CDE0E" w14:textId="580FBEB1" w:rsidR="009303D9" w:rsidRPr="004D72B5" w:rsidRDefault="004D72B5" w:rsidP="00972203">
      <w:pPr>
        <w:pStyle w:val="Keywords"/>
      </w:pPr>
      <w:r w:rsidRPr="004D72B5">
        <w:t>Keywords—</w:t>
      </w:r>
      <w:r w:rsidR="00DD01DC" w:rsidRPr="00DD01DC">
        <w:t xml:space="preserve"> financial literacy, Io</w:t>
      </w:r>
      <w:r w:rsidR="00237F39">
        <w:t>T</w:t>
      </w:r>
      <w:r w:rsidR="00DD01DC" w:rsidRPr="00DD01DC">
        <w:t>, academic performance, digital education</w:t>
      </w:r>
    </w:p>
    <w:p w14:paraId="7FFFA702" w14:textId="7B0B81CF" w:rsidR="009303D9" w:rsidRPr="00D632BE" w:rsidRDefault="009303D9" w:rsidP="006B6B66">
      <w:pPr>
        <w:pStyle w:val="Heading1"/>
      </w:pPr>
      <w:r w:rsidRPr="00D632BE">
        <w:t>Introduction</w:t>
      </w:r>
    </w:p>
    <w:p w14:paraId="549C4D24" w14:textId="6E195B91" w:rsidR="006E7847" w:rsidRDefault="006E7847" w:rsidP="006E7847">
      <w:pPr>
        <w:pStyle w:val="BodyText"/>
      </w:pPr>
      <w:r>
        <w:t>In Indonesia’s rapidly digitalizing education system, the integration of technology into financial learning has become essential. The rise of Internet of Things (IoT)–based platforms, smart devices, and mobile applications allows universities to provide more interactive and data-driven learning environments. Despite this progress, many students still struggle with finance-related subjects that rely heavily on numerical reasoning and digital literacy. In particular, math anxiety and low confidence continue to limit students’ ability to engage effectively with digital finance education tools (Hermawan et al., 2019).</w:t>
      </w:r>
    </w:p>
    <w:p w14:paraId="6EDD89CA" w14:textId="5DDACD8C" w:rsidR="006E7847" w:rsidRDefault="006E7847" w:rsidP="006E7847">
      <w:pPr>
        <w:pStyle w:val="BodyText"/>
      </w:pPr>
      <w:r>
        <w:t xml:space="preserve">Recent national assessments highlight the scale of this challenge. The OECD PISA 2018 results place Indonesia near the bottom in mathematics literacy, reflecting broader gaps in quantitative competence. This deficiency extends into university </w:t>
      </w:r>
      <w:r>
        <w:t xml:space="preserve">classrooms. For instance, a study at </w:t>
      </w:r>
      <w:proofErr w:type="spellStart"/>
      <w:r>
        <w:t>Padjadjaran</w:t>
      </w:r>
      <w:proofErr w:type="spellEnd"/>
      <w:r>
        <w:t xml:space="preserve"> University reported that students’ average financial literacy score was only 42.1%, with significant weaknesses in core topics such as credit, savings, and insurance (</w:t>
      </w:r>
      <w:proofErr w:type="spellStart"/>
      <w:r>
        <w:t>Nidar</w:t>
      </w:r>
      <w:proofErr w:type="spellEnd"/>
      <w:r>
        <w:t xml:space="preserve"> &amp; Bestari, 2010). Similar results were found among first-year students at leading institutions in Bandung, including </w:t>
      </w:r>
      <w:proofErr w:type="spellStart"/>
      <w:r>
        <w:t>Institut</w:t>
      </w:r>
      <w:proofErr w:type="spellEnd"/>
      <w:r>
        <w:t xml:space="preserve"> </w:t>
      </w:r>
      <w:proofErr w:type="spellStart"/>
      <w:r>
        <w:t>Teknologi</w:t>
      </w:r>
      <w:proofErr w:type="spellEnd"/>
      <w:r>
        <w:t xml:space="preserve"> Bandung (ITB) and Universitas Indonesia (UI), where more than half showed low financial literacy (</w:t>
      </w:r>
      <w:proofErr w:type="spellStart"/>
      <w:r>
        <w:t>Zanariasti</w:t>
      </w:r>
      <w:proofErr w:type="spellEnd"/>
      <w:r>
        <w:t xml:space="preserve"> &amp; </w:t>
      </w:r>
      <w:proofErr w:type="spellStart"/>
      <w:r>
        <w:t>Ikasari</w:t>
      </w:r>
      <w:proofErr w:type="spellEnd"/>
      <w:r>
        <w:t>, 2018). These findings reveal that even as universities adopt IoT-enabled tools, digital learning effectiveness depends on students’ readiness to apply financial knowledge through technology.</w:t>
      </w:r>
    </w:p>
    <w:p w14:paraId="327A845A" w14:textId="2E0C6813" w:rsidR="006E7847" w:rsidRDefault="006E7847" w:rsidP="006E7847">
      <w:pPr>
        <w:pStyle w:val="BodyText"/>
      </w:pPr>
      <w:r>
        <w:t xml:space="preserve">Improving financial literacy, therefore, is both a technological and </w:t>
      </w:r>
      <w:proofErr w:type="spellStart"/>
      <w:r>
        <w:t>behavioral</w:t>
      </w:r>
      <w:proofErr w:type="spellEnd"/>
      <w:r>
        <w:t xml:space="preserve"> challenge. Beyond academic grades, low financial literacy affects personal budgeting, debt management, and long-term financial well-being (Azizah et al., 2024). Research indicates that structured and technology-enhanced interventions can significantly improve financial </w:t>
      </w:r>
      <w:proofErr w:type="spellStart"/>
      <w:r>
        <w:t>behavior</w:t>
      </w:r>
      <w:proofErr w:type="spellEnd"/>
      <w:r>
        <w:t xml:space="preserve">. In Bandung, for example, Android-based financial learning applications have proven effective in enhancing student engagement and financial understanding (Anisah et al., 2021). Similarly, classroom-based financial education has been shown to explain over 22% of the variance in financial literacy among vocational students in other regions (Hulu et al., 2024). These results illustrate how IoT-supported learning environments—characterized by interactive feedback and real-time tracking—can reinforce financial concepts and strengthen </w:t>
      </w:r>
      <w:proofErr w:type="spellStart"/>
      <w:r>
        <w:t>behavioral</w:t>
      </w:r>
      <w:proofErr w:type="spellEnd"/>
      <w:r>
        <w:t xml:space="preserve"> outcomes.</w:t>
      </w:r>
    </w:p>
    <w:p w14:paraId="0DB6F576" w14:textId="21344A76" w:rsidR="009303D9" w:rsidRPr="005B520E" w:rsidRDefault="006E7847" w:rsidP="006E7847">
      <w:pPr>
        <w:pStyle w:val="BodyText"/>
      </w:pPr>
      <w:r>
        <w:t xml:space="preserve">Given the combined effects of technological adoption and persistent knowledge gaps, this study investigates how financial literacy influences academic performance in an IoT-supported educational context. The research focuses on Bandung university students, examining how financial knowledge, </w:t>
      </w:r>
      <w:proofErr w:type="spellStart"/>
      <w:r>
        <w:t>behavior</w:t>
      </w:r>
      <w:proofErr w:type="spellEnd"/>
      <w:r>
        <w:t xml:space="preserve">, and attitude—supported by digital learning tools—relate to academic achievement. By doing so, it contributes to improving both pedagogical approaches and institutional </w:t>
      </w:r>
      <w:r>
        <w:lastRenderedPageBreak/>
        <w:t>strategies for financial education in Indonesia’s increasingly connected learning ecosystem.</w:t>
      </w:r>
    </w:p>
    <w:p w14:paraId="3EF35B8D" w14:textId="2BF7A978" w:rsidR="009303D9" w:rsidRPr="006B6B66" w:rsidRDefault="006E7847" w:rsidP="006B6B66">
      <w:pPr>
        <w:pStyle w:val="Heading1"/>
      </w:pPr>
      <w:r>
        <w:t>Literature review</w:t>
      </w:r>
    </w:p>
    <w:p w14:paraId="190C0618" w14:textId="01D24CE0" w:rsidR="009303D9" w:rsidRDefault="006E7847" w:rsidP="00ED0149">
      <w:pPr>
        <w:pStyle w:val="Heading2"/>
      </w:pPr>
      <w:r w:rsidRPr="006E7847">
        <w:t>Financial Literacy in Educational Context</w:t>
      </w:r>
    </w:p>
    <w:p w14:paraId="0BA19850" w14:textId="6A67A8AE" w:rsidR="006E7847" w:rsidRDefault="006E7847" w:rsidP="006E7847">
      <w:pPr>
        <w:pStyle w:val="BodyText"/>
      </w:pPr>
      <w:r>
        <w:t xml:space="preserve">The importance of financial literacy in education has been widely acknowledged as a fundamental life skill necessary for navigating complex financial environments. Lee (2010) argues that an effective financial literacy curriculum should be multidimensional, incorporating theoretical knowledge, practical application, and </w:t>
      </w:r>
      <w:proofErr w:type="spellStart"/>
      <w:r>
        <w:t>behavioral</w:t>
      </w:r>
      <w:proofErr w:type="spellEnd"/>
      <w:r>
        <w:t xml:space="preserve"> components. Her research emphasizes the role of experiential learning and cross-disciplinary engagement in building meaningful financial competence among students. This approach aligns with the increasing demand for financial education that transcends basic budgeting skills and fosters deeper understanding.</w:t>
      </w:r>
    </w:p>
    <w:p w14:paraId="7240DF99" w14:textId="25BF0862" w:rsidR="006E7847" w:rsidRDefault="006E7847" w:rsidP="006E7847">
      <w:pPr>
        <w:pStyle w:val="BodyText"/>
      </w:pPr>
      <w:r>
        <w:t xml:space="preserve">Dumdum et al. (2025) examined the relationship between financial literacy and students' foundational knowledge in accounting and business management among senior high school students. Despite strong academic performance in mathematics, the study revealed significant gaps in practical financial </w:t>
      </w:r>
      <w:proofErr w:type="spellStart"/>
      <w:r>
        <w:t>behavior</w:t>
      </w:r>
      <w:proofErr w:type="spellEnd"/>
      <w:r>
        <w:t>, suggesting that academic ability alone does not guarantee financial competence. These findings reinforce the view that financial literacy must be taught explicitly rather than assumed as a byproduct of general education.</w:t>
      </w:r>
    </w:p>
    <w:p w14:paraId="458DF110" w14:textId="2CB16408" w:rsidR="006E7847" w:rsidRDefault="006E7847" w:rsidP="006E7847">
      <w:pPr>
        <w:pStyle w:val="BodyText"/>
      </w:pPr>
      <w:r>
        <w:t>Kishore et al. (2017) conducted a comprehensive study on medical students in the United States, highlighting that only 38% of respondents demonstrated adequate financial knowledge. The majority expressed a desire for more structured financial education within their curriculum, pointing to a systemic oversight in professional education where future high-income earners lack basic personal finance training. This phenomenon is not limited to the U.S., as Chinen and Endo (2014) observed similar trends in Japan, where nearly half of surveyed university students reported feeling unprepared for independent financial decisions. These cross-cultural findings underscore the global nature of the issue.</w:t>
      </w:r>
    </w:p>
    <w:p w14:paraId="67B6E7DE" w14:textId="2C5744E0" w:rsidR="006E7847" w:rsidRDefault="006E7847" w:rsidP="006E7847">
      <w:pPr>
        <w:pStyle w:val="BodyText"/>
      </w:pPr>
      <w:r>
        <w:t xml:space="preserve">In the Indonesian context, </w:t>
      </w:r>
      <w:proofErr w:type="spellStart"/>
      <w:r>
        <w:t>Rachmawati</w:t>
      </w:r>
      <w:proofErr w:type="spellEnd"/>
      <w:r>
        <w:t xml:space="preserve"> et al. (2022) explored how financial literacy affected the performance of student-run businesses during the COVID-19 pandemic. Their results indicated that students with stronger financial literacy exhibited better resilience and strategic decision-making under pressure. This study affirms that financial literacy is not merely academic—it plays a practical role in economic adaptability.</w:t>
      </w:r>
    </w:p>
    <w:p w14:paraId="24B1441E" w14:textId="2AFA012B" w:rsidR="006E7847" w:rsidRDefault="006E7847" w:rsidP="006E7847">
      <w:pPr>
        <w:pStyle w:val="BodyText"/>
      </w:pPr>
      <w:r>
        <w:t xml:space="preserve">A more recent study by </w:t>
      </w:r>
      <w:proofErr w:type="spellStart"/>
      <w:r>
        <w:t>Otbiçer</w:t>
      </w:r>
      <w:proofErr w:type="spellEnd"/>
      <w:r>
        <w:t xml:space="preserve"> (2023) contributes to this discourse by demonstrating how reading and mathematical literacy serve as mediating factors in financial success among adolescents. The study provides empirical evidence that foundational literacies enhance the ability to apply financial concepts effectively. Similarly, Moreno-Herrero et al. (2018) found that financial </w:t>
      </w:r>
      <w:proofErr w:type="spellStart"/>
      <w:r>
        <w:t>behaviors</w:t>
      </w:r>
      <w:proofErr w:type="spellEnd"/>
      <w:r>
        <w:t xml:space="preserve"> in young adults are strongly influenced by parental involvement and early money-handling experiences, suggesting that institutional interventions should be complemented by family-level financial socialization.</w:t>
      </w:r>
    </w:p>
    <w:p w14:paraId="6112573B" w14:textId="540BA683" w:rsidR="006347CF" w:rsidRPr="005B520E" w:rsidRDefault="006E7847" w:rsidP="006E7847">
      <w:pPr>
        <w:pStyle w:val="BodyText"/>
      </w:pPr>
      <w:r>
        <w:t xml:space="preserve">Other research reinforces the multifaceted nature of financial literacy. Studies on augmented reality (AR) learning modules have shown potential in teaching financial concepts to early </w:t>
      </w:r>
      <w:r>
        <w:t>learners, making abstract topics more accessible (Anisah et al., 2021). Additionally, socio-demographic factors and numeracy skills were found to significantly affect financial literacy outcomes in Latvia (Pura, 2022), echoing the need to adapt educational interventions to specific student profiles.</w:t>
      </w:r>
    </w:p>
    <w:p w14:paraId="17A9532B" w14:textId="1CDCDD68" w:rsidR="009303D9" w:rsidRPr="005B520E" w:rsidRDefault="006E7847" w:rsidP="00ED0149">
      <w:pPr>
        <w:pStyle w:val="Heading2"/>
      </w:pPr>
      <w:r w:rsidRPr="006E7847">
        <w:t>Students' Performance and the Link with Financial Literacy</w:t>
      </w:r>
    </w:p>
    <w:p w14:paraId="55E85F34"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2C685CEC" w14:textId="05FEC4BD" w:rsidR="006E7847" w:rsidRDefault="006E7847" w:rsidP="006E7847">
      <w:pPr>
        <w:pStyle w:val="BodyText"/>
      </w:pPr>
      <w:r>
        <w:t>Academic performance is often used as a proxy for learning effectiveness, and its relationship with financial literacy has gained increasing scholarly attention. Dumdum et al. (2025) noted that although students displayed solid mathematical skills, their lack of practical financial knowledge hindered their performance in finance-related coursework. This disconnect points to the necessity of integrating financial education as a distinct pedagogical objective.</w:t>
      </w:r>
    </w:p>
    <w:p w14:paraId="2EB0727A" w14:textId="19CE4348" w:rsidR="006E7847" w:rsidRDefault="006E7847" w:rsidP="006E7847">
      <w:pPr>
        <w:pStyle w:val="BodyText"/>
      </w:pPr>
      <w:r>
        <w:t xml:space="preserve">The findings by </w:t>
      </w:r>
      <w:proofErr w:type="spellStart"/>
      <w:r>
        <w:t>Rachmawati</w:t>
      </w:r>
      <w:proofErr w:type="spellEnd"/>
      <w:r>
        <w:t xml:space="preserve"> et al. (2022) further illustrate that financial literacy influences not only academic success but also entrepreneurial outcomes. Students engaged in business activities during the pandemic who demonstrated higher financial understanding were more capable of adapting to economic shifts, managing risks, and making informed decisions. These competencies are integral to both academic assessments and real-world performance.</w:t>
      </w:r>
    </w:p>
    <w:p w14:paraId="0C9DEF8A" w14:textId="18F7D29D" w:rsidR="006E7847" w:rsidRDefault="006E7847" w:rsidP="006E7847">
      <w:pPr>
        <w:pStyle w:val="BodyText"/>
      </w:pPr>
      <w:proofErr w:type="spellStart"/>
      <w:r>
        <w:t>Otbiçer’s</w:t>
      </w:r>
      <w:proofErr w:type="spellEnd"/>
      <w:r>
        <w:t xml:space="preserve"> (2023) study extends this perspective by identifying how general literacy skills—specifically in reading and mathematics—enhance students’ financial </w:t>
      </w:r>
      <w:proofErr w:type="spellStart"/>
      <w:r>
        <w:t>behaviors</w:t>
      </w:r>
      <w:proofErr w:type="spellEnd"/>
      <w:r>
        <w:t xml:space="preserve"> and, consequently, their academic outcomes in economics and business subjects. This synergy between general and financial literacy suggests that holistic education reform is needed to support student development.</w:t>
      </w:r>
    </w:p>
    <w:p w14:paraId="3D68D2FB" w14:textId="76578003" w:rsidR="006E7847" w:rsidRDefault="006E7847" w:rsidP="006E7847">
      <w:pPr>
        <w:pStyle w:val="BodyText"/>
      </w:pPr>
      <w:r>
        <w:t xml:space="preserve">In line with this, Moreno-Herrero et al. (2018) emphasized the role of early financial experiences and parental guidance in fostering responsible financial </w:t>
      </w:r>
      <w:proofErr w:type="spellStart"/>
      <w:r>
        <w:t>behavior</w:t>
      </w:r>
      <w:proofErr w:type="spellEnd"/>
      <w:r>
        <w:t>, which correlates with improved academic outcomes. Kishore et al. (2017) added that low financial literacy among medical students is often associated with elevated stress and poor financial decision-making, ultimately affecting both academic and personal well-being.</w:t>
      </w:r>
    </w:p>
    <w:p w14:paraId="438347EB" w14:textId="15D6EF06" w:rsidR="006E7847" w:rsidRDefault="006E7847" w:rsidP="006E7847">
      <w:pPr>
        <w:pStyle w:val="BodyText"/>
      </w:pPr>
      <w:r>
        <w:t xml:space="preserve">Complementary studies have shown that financial workshops and targeted curricula improve student self-efficacy and budgeting </w:t>
      </w:r>
      <w:proofErr w:type="spellStart"/>
      <w:r>
        <w:t>behavior</w:t>
      </w:r>
      <w:proofErr w:type="spellEnd"/>
      <w:r>
        <w:t xml:space="preserve">, which in turn enhances academic focus and retention (Chen &amp; Volpe, 2002; </w:t>
      </w:r>
      <w:proofErr w:type="spellStart"/>
      <w:r>
        <w:t>Amagir</w:t>
      </w:r>
      <w:proofErr w:type="spellEnd"/>
      <w:r>
        <w:t xml:space="preserve"> et al., 2018). These interventions also help mitigate financial anxiety, a known barrier to student performance, especially in quantitatively demanding disciplines such as finance.</w:t>
      </w:r>
    </w:p>
    <w:p w14:paraId="4E992BC6" w14:textId="1E6AE5CE" w:rsidR="009303D9" w:rsidRPr="005B520E" w:rsidRDefault="006E7847" w:rsidP="006E7847">
      <w:pPr>
        <w:pStyle w:val="BodyText"/>
      </w:pPr>
      <w:r>
        <w:t xml:space="preserve">Collectively, these findings demonstrate a compelling relationship between financial literacy and student achievement. While cognitive abilities lay the groundwork, it is the integration of practical financial knowledge and </w:t>
      </w:r>
      <w:proofErr w:type="spellStart"/>
      <w:r>
        <w:t>behavioral</w:t>
      </w:r>
      <w:proofErr w:type="spellEnd"/>
      <w:r>
        <w:t xml:space="preserve"> awareness that enables students to perform effectively in academic and life contexts.</w:t>
      </w:r>
    </w:p>
    <w:p w14:paraId="65313B9F" w14:textId="685FB580" w:rsidR="009303D9" w:rsidRDefault="00A32271" w:rsidP="006B6B66">
      <w:pPr>
        <w:pStyle w:val="Heading1"/>
      </w:pPr>
      <w:r>
        <w:t>Methodology</w:t>
      </w:r>
    </w:p>
    <w:p w14:paraId="3B6F0534" w14:textId="6B2DBD55" w:rsidR="009303D9" w:rsidRPr="005B520E" w:rsidRDefault="00A32271" w:rsidP="00E7596C">
      <w:pPr>
        <w:pStyle w:val="BodyText"/>
      </w:pPr>
      <w:r w:rsidRPr="00A32271">
        <w:t xml:space="preserve">This study employs a quantitative research design using multiple linear regression to explore the relationship between financial literacy and students' academic performance in finance-related courses. Building on the theoretical foundations </w:t>
      </w:r>
      <w:r w:rsidRPr="00A32271">
        <w:lastRenderedPageBreak/>
        <w:t xml:space="preserve">established in Chapters I and II, this chapter operationalizes key variables and outlines the statistical model used to test the study’s hypotheses. The regression approach aligns with prior research that examines how financial knowledge, </w:t>
      </w:r>
      <w:proofErr w:type="spellStart"/>
      <w:r w:rsidRPr="00A32271">
        <w:t>behavior</w:t>
      </w:r>
      <w:proofErr w:type="spellEnd"/>
      <w:r w:rsidRPr="00A32271">
        <w:t xml:space="preserve">, and attitudinal dimensions influence academic or practical outcomes (Moreno-Herrero et al., 2018; </w:t>
      </w:r>
      <w:proofErr w:type="spellStart"/>
      <w:r w:rsidRPr="00A32271">
        <w:t>Otbiçer</w:t>
      </w:r>
      <w:proofErr w:type="spellEnd"/>
      <w:r w:rsidRPr="00A32271">
        <w:t>, 2023).</w:t>
      </w:r>
    </w:p>
    <w:p w14:paraId="2D27694B" w14:textId="1D570443" w:rsidR="009303D9" w:rsidRDefault="00A32271" w:rsidP="00ED0149">
      <w:pPr>
        <w:pStyle w:val="Heading2"/>
      </w:pPr>
      <w:r>
        <w:t>Population and sample</w:t>
      </w:r>
    </w:p>
    <w:p w14:paraId="5BFF2E12" w14:textId="54D6BD5B" w:rsidR="009303D9" w:rsidRPr="005B520E" w:rsidRDefault="00A0468E" w:rsidP="00E7596C">
      <w:pPr>
        <w:pStyle w:val="BodyText"/>
      </w:pPr>
      <w:r w:rsidRPr="00A0468E">
        <w:t xml:space="preserve">The population of this study consists of undergraduate students enrolled in finance or business programs at Universitas Telkom, Bandung. The sample was generated using Slovin’s formula with a 95% confidence level and a 5% margin of error. From a population of approximately 800 eligible students, a minimum sample size of </w:t>
      </w:r>
      <w:r>
        <w:t>117</w:t>
      </w:r>
      <w:r w:rsidRPr="00A0468E">
        <w:t xml:space="preserve"> was calculated. After accounting for incomplete responses, 250 valid questionnaires were included in the final analysis. A purposive sampling technique was applied to ensure that all participants had completed at least one finance-related course.</w:t>
      </w:r>
    </w:p>
    <w:p w14:paraId="679761D9" w14:textId="683EC8B1" w:rsidR="009303D9" w:rsidRDefault="00A0468E" w:rsidP="00ED0149">
      <w:pPr>
        <w:pStyle w:val="Heading2"/>
      </w:pPr>
      <w:r>
        <w:t>Variables</w:t>
      </w:r>
    </w:p>
    <w:p w14:paraId="0374DBAF" w14:textId="3C50D637" w:rsidR="007F5112" w:rsidRPr="007F5112" w:rsidRDefault="000C42BA" w:rsidP="007F5112">
      <w:pPr>
        <w:pStyle w:val="Heading1"/>
        <w:numPr>
          <w:ilvl w:val="0"/>
          <w:numId w:val="0"/>
        </w:numPr>
      </w:pPr>
      <w:r>
        <w:t>table i</w:t>
      </w:r>
      <w:r w:rsidR="007F5112">
        <w:t xml:space="preserve">. </w:t>
      </w:r>
      <w:r>
        <w:t>v</w:t>
      </w:r>
      <w:r w:rsidR="007F5112">
        <w:t>ariables</w:t>
      </w:r>
    </w:p>
    <w:tbl>
      <w:tblPr>
        <w:tblW w:w="226.2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1084"/>
        <w:gridCol w:w="1221"/>
        <w:gridCol w:w="851"/>
        <w:gridCol w:w="1368"/>
      </w:tblGrid>
      <w:tr w:rsidR="003E4844" w14:paraId="56D27FE6" w14:textId="62880584" w:rsidTr="00826046">
        <w:trPr>
          <w:cantSplit/>
          <w:trHeight w:val="240"/>
          <w:tblHeader/>
          <w:jc w:val="center"/>
        </w:trPr>
        <w:tc>
          <w:tcPr>
            <w:tcW w:w="54.20pt" w:type="dxa"/>
          </w:tcPr>
          <w:p w14:paraId="74A63B78" w14:textId="6575615D" w:rsidR="003E4844" w:rsidRPr="003E4844" w:rsidRDefault="003E4844" w:rsidP="00CD0B8B">
            <w:pPr>
              <w:rPr>
                <w:b/>
                <w:bCs/>
                <w:i/>
                <w:iCs/>
                <w:sz w:val="15"/>
                <w:szCs w:val="15"/>
              </w:rPr>
            </w:pPr>
            <w:bookmarkStart w:id="0" w:name="_Hlk213923974"/>
            <w:r w:rsidRPr="003E4844">
              <w:rPr>
                <w:b/>
                <w:bCs/>
                <w:i/>
                <w:iCs/>
                <w:sz w:val="15"/>
                <w:szCs w:val="15"/>
              </w:rPr>
              <w:t>Variable</w:t>
            </w:r>
          </w:p>
        </w:tc>
        <w:tc>
          <w:tcPr>
            <w:tcW w:w="61.05pt" w:type="dxa"/>
            <w:vAlign w:val="center"/>
          </w:tcPr>
          <w:p w14:paraId="623AF771" w14:textId="0A114C6D" w:rsidR="003E4844" w:rsidRDefault="003E4844" w:rsidP="00CD0B8B">
            <w:pPr>
              <w:pStyle w:val="tablecolsubhead"/>
            </w:pPr>
            <w:r>
              <w:t>Indicator</w:t>
            </w:r>
          </w:p>
        </w:tc>
        <w:tc>
          <w:tcPr>
            <w:tcW w:w="42.55pt" w:type="dxa"/>
            <w:vAlign w:val="center"/>
          </w:tcPr>
          <w:p w14:paraId="0B33A1CA" w14:textId="59C25647" w:rsidR="003E4844" w:rsidRDefault="003E4844" w:rsidP="00CD0B8B">
            <w:pPr>
              <w:pStyle w:val="tablecolsubhead"/>
            </w:pPr>
            <w:r>
              <w:t>Scale</w:t>
            </w:r>
          </w:p>
        </w:tc>
        <w:tc>
          <w:tcPr>
            <w:tcW w:w="68.40pt" w:type="dxa"/>
          </w:tcPr>
          <w:p w14:paraId="17488321" w14:textId="2C3CC3D8" w:rsidR="003E4844" w:rsidRDefault="003E4844" w:rsidP="00CD0B8B">
            <w:pPr>
              <w:pStyle w:val="tablecolsubhead"/>
            </w:pPr>
            <w:r>
              <w:t>References</w:t>
            </w:r>
          </w:p>
        </w:tc>
      </w:tr>
      <w:tr w:rsidR="003E4844" w14:paraId="29CFA724" w14:textId="1EE1B96D" w:rsidTr="00826046">
        <w:trPr>
          <w:trHeight w:val="320"/>
          <w:jc w:val="center"/>
        </w:trPr>
        <w:tc>
          <w:tcPr>
            <w:tcW w:w="54.20pt" w:type="dxa"/>
            <w:vAlign w:val="center"/>
          </w:tcPr>
          <w:p w14:paraId="64817943" w14:textId="3A227064" w:rsidR="003E4844" w:rsidRDefault="003E4844" w:rsidP="00CD0B8B">
            <w:pPr>
              <w:pStyle w:val="tablecopy"/>
              <w:rPr>
                <w:sz w:val="8"/>
                <w:szCs w:val="8"/>
              </w:rPr>
            </w:pPr>
            <w:r>
              <w:t>Academic Performance</w:t>
            </w:r>
          </w:p>
        </w:tc>
        <w:tc>
          <w:tcPr>
            <w:tcW w:w="61.05pt" w:type="dxa"/>
            <w:vAlign w:val="center"/>
          </w:tcPr>
          <w:p w14:paraId="22A36412" w14:textId="23513CB8" w:rsidR="003E4844" w:rsidRDefault="003E4844" w:rsidP="00CD0B8B">
            <w:pPr>
              <w:rPr>
                <w:sz w:val="16"/>
                <w:szCs w:val="16"/>
              </w:rPr>
            </w:pPr>
            <w:r>
              <w:rPr>
                <w:sz w:val="16"/>
                <w:szCs w:val="16"/>
              </w:rPr>
              <w:t>GPA</w:t>
            </w:r>
          </w:p>
        </w:tc>
        <w:tc>
          <w:tcPr>
            <w:tcW w:w="42.55pt" w:type="dxa"/>
            <w:vAlign w:val="center"/>
          </w:tcPr>
          <w:p w14:paraId="7142C6C0" w14:textId="7B1DC3D8" w:rsidR="003E4844" w:rsidRDefault="003E4844" w:rsidP="00CD0B8B">
            <w:pPr>
              <w:rPr>
                <w:sz w:val="16"/>
                <w:szCs w:val="16"/>
              </w:rPr>
            </w:pPr>
            <w:r>
              <w:rPr>
                <w:sz w:val="16"/>
                <w:szCs w:val="16"/>
              </w:rPr>
              <w:t>0-4</w:t>
            </w:r>
          </w:p>
        </w:tc>
        <w:tc>
          <w:tcPr>
            <w:tcW w:w="68.40pt" w:type="dxa"/>
            <w:tcBorders>
              <w:bottom w:val="single" w:sz="4" w:space="0" w:color="auto"/>
            </w:tcBorders>
          </w:tcPr>
          <w:p w14:paraId="54935DC4" w14:textId="46028C5C" w:rsidR="003E4844" w:rsidRDefault="003E4844" w:rsidP="00CD0B8B">
            <w:pPr>
              <w:rPr>
                <w:sz w:val="16"/>
                <w:szCs w:val="16"/>
              </w:rPr>
            </w:pPr>
            <w:r w:rsidRPr="003E4844">
              <w:rPr>
                <w:sz w:val="16"/>
                <w:szCs w:val="16"/>
              </w:rPr>
              <w:t>Chen &amp; Volpe (2002</w:t>
            </w:r>
            <w:r>
              <w:rPr>
                <w:sz w:val="16"/>
                <w:szCs w:val="16"/>
              </w:rPr>
              <w:t>)</w:t>
            </w:r>
          </w:p>
        </w:tc>
      </w:tr>
      <w:bookmarkEnd w:id="0"/>
      <w:tr w:rsidR="00826046" w14:paraId="02B3AD46" w14:textId="77777777" w:rsidTr="0084601F">
        <w:trPr>
          <w:trHeight w:val="320"/>
          <w:jc w:val="center"/>
        </w:trPr>
        <w:tc>
          <w:tcPr>
            <w:tcW w:w="54.20pt" w:type="dxa"/>
            <w:vMerge w:val="restart"/>
            <w:vAlign w:val="center"/>
          </w:tcPr>
          <w:p w14:paraId="38BCD2E6" w14:textId="24B8A6A2" w:rsidR="00826046" w:rsidRDefault="00826046" w:rsidP="00CD0B8B">
            <w:pPr>
              <w:pStyle w:val="tablecopy"/>
            </w:pPr>
            <w:r>
              <w:t>Financial Knowledge</w:t>
            </w:r>
          </w:p>
        </w:tc>
        <w:tc>
          <w:tcPr>
            <w:tcW w:w="61.05pt" w:type="dxa"/>
            <w:vAlign w:val="center"/>
          </w:tcPr>
          <w:p w14:paraId="1EA970E3" w14:textId="36488B3F" w:rsidR="00826046" w:rsidRDefault="00826046" w:rsidP="00CD0B8B">
            <w:pPr>
              <w:rPr>
                <w:sz w:val="16"/>
                <w:szCs w:val="16"/>
              </w:rPr>
            </w:pPr>
            <w:r>
              <w:rPr>
                <w:sz w:val="16"/>
                <w:szCs w:val="16"/>
              </w:rPr>
              <w:t>Interest</w:t>
            </w:r>
          </w:p>
        </w:tc>
        <w:tc>
          <w:tcPr>
            <w:tcW w:w="42.55pt" w:type="dxa"/>
            <w:tcBorders>
              <w:end w:val="single" w:sz="4" w:space="0" w:color="auto"/>
            </w:tcBorders>
            <w:vAlign w:val="center"/>
          </w:tcPr>
          <w:p w14:paraId="655C86A9" w14:textId="3B1FBEEA" w:rsidR="00826046" w:rsidRDefault="00826046" w:rsidP="00CD0B8B">
            <w:pPr>
              <w:rPr>
                <w:sz w:val="16"/>
                <w:szCs w:val="16"/>
              </w:rPr>
            </w:pPr>
            <w:r>
              <w:rPr>
                <w:sz w:val="16"/>
                <w:szCs w:val="16"/>
              </w:rPr>
              <w:t>Objective</w:t>
            </w:r>
          </w:p>
        </w:tc>
        <w:tc>
          <w:tcPr>
            <w:tcW w:w="68.40pt" w:type="dxa"/>
            <w:vMerge w:val="restart"/>
            <w:tcBorders>
              <w:top w:val="single" w:sz="4" w:space="0" w:color="auto"/>
              <w:start w:val="single" w:sz="4" w:space="0" w:color="auto"/>
              <w:end w:val="single" w:sz="4" w:space="0" w:color="auto"/>
            </w:tcBorders>
          </w:tcPr>
          <w:p w14:paraId="29A6E533" w14:textId="0181A029" w:rsidR="00826046" w:rsidRPr="003E4844" w:rsidRDefault="00826046" w:rsidP="00CD0B8B">
            <w:pPr>
              <w:rPr>
                <w:sz w:val="16"/>
                <w:szCs w:val="16"/>
              </w:rPr>
            </w:pPr>
            <w:r w:rsidRPr="003E4844">
              <w:rPr>
                <w:sz w:val="16"/>
                <w:szCs w:val="16"/>
              </w:rPr>
              <w:t>OECD (2014); Kishore et al. (2017)</w:t>
            </w:r>
          </w:p>
        </w:tc>
      </w:tr>
      <w:tr w:rsidR="00826046" w14:paraId="3F333DEE" w14:textId="77777777" w:rsidTr="0084601F">
        <w:trPr>
          <w:trHeight w:val="320"/>
          <w:jc w:val="center"/>
        </w:trPr>
        <w:tc>
          <w:tcPr>
            <w:tcW w:w="54.20pt" w:type="dxa"/>
            <w:vMerge/>
            <w:vAlign w:val="center"/>
          </w:tcPr>
          <w:p w14:paraId="3B454A98" w14:textId="77777777" w:rsidR="00826046" w:rsidRDefault="00826046" w:rsidP="00CD0B8B">
            <w:pPr>
              <w:pStyle w:val="tablecopy"/>
            </w:pPr>
          </w:p>
        </w:tc>
        <w:tc>
          <w:tcPr>
            <w:tcW w:w="61.05pt" w:type="dxa"/>
            <w:vAlign w:val="center"/>
          </w:tcPr>
          <w:p w14:paraId="24BF4CDA" w14:textId="48F66083" w:rsidR="00826046" w:rsidRDefault="00826046" w:rsidP="003E4844">
            <w:pPr>
              <w:rPr>
                <w:sz w:val="16"/>
                <w:szCs w:val="16"/>
              </w:rPr>
            </w:pPr>
            <w:r w:rsidRPr="003E4844">
              <w:rPr>
                <w:sz w:val="16"/>
                <w:szCs w:val="16"/>
              </w:rPr>
              <w:t>Inflation</w:t>
            </w:r>
          </w:p>
        </w:tc>
        <w:tc>
          <w:tcPr>
            <w:tcW w:w="42.55pt" w:type="dxa"/>
            <w:tcBorders>
              <w:end w:val="single" w:sz="4" w:space="0" w:color="auto"/>
            </w:tcBorders>
            <w:vAlign w:val="center"/>
          </w:tcPr>
          <w:p w14:paraId="59F40DDA" w14:textId="4D41A72C" w:rsidR="00826046" w:rsidRDefault="00826046" w:rsidP="00CD0B8B">
            <w:pPr>
              <w:rPr>
                <w:sz w:val="16"/>
                <w:szCs w:val="16"/>
              </w:rPr>
            </w:pPr>
            <w:r>
              <w:rPr>
                <w:sz w:val="16"/>
                <w:szCs w:val="16"/>
              </w:rPr>
              <w:t>Objective</w:t>
            </w:r>
          </w:p>
        </w:tc>
        <w:tc>
          <w:tcPr>
            <w:tcW w:w="68.40pt" w:type="dxa"/>
            <w:vMerge/>
            <w:tcBorders>
              <w:start w:val="single" w:sz="4" w:space="0" w:color="auto"/>
              <w:end w:val="single" w:sz="4" w:space="0" w:color="auto"/>
            </w:tcBorders>
          </w:tcPr>
          <w:p w14:paraId="02C4490E" w14:textId="77777777" w:rsidR="00826046" w:rsidRPr="003E4844" w:rsidRDefault="00826046" w:rsidP="00CD0B8B">
            <w:pPr>
              <w:rPr>
                <w:sz w:val="16"/>
                <w:szCs w:val="16"/>
              </w:rPr>
            </w:pPr>
          </w:p>
        </w:tc>
      </w:tr>
      <w:tr w:rsidR="00826046" w14:paraId="551258AC" w14:textId="77777777" w:rsidTr="0084601F">
        <w:trPr>
          <w:trHeight w:val="320"/>
          <w:jc w:val="center"/>
        </w:trPr>
        <w:tc>
          <w:tcPr>
            <w:tcW w:w="54.20pt" w:type="dxa"/>
            <w:vMerge/>
            <w:vAlign w:val="center"/>
          </w:tcPr>
          <w:p w14:paraId="25909D20" w14:textId="77777777" w:rsidR="00826046" w:rsidRDefault="00826046" w:rsidP="00CD0B8B">
            <w:pPr>
              <w:pStyle w:val="tablecopy"/>
            </w:pPr>
          </w:p>
        </w:tc>
        <w:tc>
          <w:tcPr>
            <w:tcW w:w="61.05pt" w:type="dxa"/>
            <w:vAlign w:val="center"/>
          </w:tcPr>
          <w:p w14:paraId="7007901D" w14:textId="2EE15955" w:rsidR="00826046" w:rsidRDefault="00826046" w:rsidP="00CD0B8B">
            <w:pPr>
              <w:rPr>
                <w:sz w:val="16"/>
                <w:szCs w:val="16"/>
              </w:rPr>
            </w:pPr>
            <w:r w:rsidRPr="003E4844">
              <w:rPr>
                <w:sz w:val="16"/>
                <w:szCs w:val="16"/>
              </w:rPr>
              <w:t>Risk</w:t>
            </w:r>
          </w:p>
        </w:tc>
        <w:tc>
          <w:tcPr>
            <w:tcW w:w="42.55pt" w:type="dxa"/>
            <w:tcBorders>
              <w:end w:val="single" w:sz="4" w:space="0" w:color="auto"/>
            </w:tcBorders>
            <w:vAlign w:val="center"/>
          </w:tcPr>
          <w:p w14:paraId="6D30969A" w14:textId="6AB71088" w:rsidR="00826046" w:rsidRDefault="00826046" w:rsidP="00CD0B8B">
            <w:pPr>
              <w:rPr>
                <w:sz w:val="16"/>
                <w:szCs w:val="16"/>
              </w:rPr>
            </w:pPr>
            <w:r>
              <w:rPr>
                <w:sz w:val="16"/>
                <w:szCs w:val="16"/>
              </w:rPr>
              <w:t>Objective</w:t>
            </w:r>
          </w:p>
        </w:tc>
        <w:tc>
          <w:tcPr>
            <w:tcW w:w="68.40pt" w:type="dxa"/>
            <w:vMerge/>
            <w:tcBorders>
              <w:start w:val="single" w:sz="4" w:space="0" w:color="auto"/>
              <w:end w:val="single" w:sz="4" w:space="0" w:color="auto"/>
            </w:tcBorders>
          </w:tcPr>
          <w:p w14:paraId="7C0E8BB3" w14:textId="77777777" w:rsidR="00826046" w:rsidRPr="003E4844" w:rsidRDefault="00826046" w:rsidP="00CD0B8B">
            <w:pPr>
              <w:rPr>
                <w:sz w:val="16"/>
                <w:szCs w:val="16"/>
              </w:rPr>
            </w:pPr>
          </w:p>
        </w:tc>
      </w:tr>
      <w:tr w:rsidR="00826046" w14:paraId="3B72D033" w14:textId="77777777" w:rsidTr="0084601F">
        <w:trPr>
          <w:trHeight w:val="320"/>
          <w:jc w:val="center"/>
        </w:trPr>
        <w:tc>
          <w:tcPr>
            <w:tcW w:w="54.20pt" w:type="dxa"/>
            <w:vMerge/>
            <w:vAlign w:val="center"/>
          </w:tcPr>
          <w:p w14:paraId="3BE0A80F" w14:textId="77777777" w:rsidR="00826046" w:rsidRDefault="00826046" w:rsidP="00CD0B8B">
            <w:pPr>
              <w:pStyle w:val="tablecopy"/>
            </w:pPr>
          </w:p>
        </w:tc>
        <w:tc>
          <w:tcPr>
            <w:tcW w:w="61.05pt" w:type="dxa"/>
            <w:vAlign w:val="center"/>
          </w:tcPr>
          <w:p w14:paraId="64514A14" w14:textId="162CE042" w:rsidR="00826046" w:rsidRDefault="00826046" w:rsidP="003E4844">
            <w:pPr>
              <w:rPr>
                <w:sz w:val="16"/>
                <w:szCs w:val="16"/>
              </w:rPr>
            </w:pPr>
            <w:r w:rsidRPr="003E4844">
              <w:rPr>
                <w:sz w:val="16"/>
                <w:szCs w:val="16"/>
              </w:rPr>
              <w:t>Credit</w:t>
            </w:r>
          </w:p>
        </w:tc>
        <w:tc>
          <w:tcPr>
            <w:tcW w:w="42.55pt" w:type="dxa"/>
            <w:tcBorders>
              <w:end w:val="single" w:sz="4" w:space="0" w:color="auto"/>
            </w:tcBorders>
            <w:vAlign w:val="center"/>
          </w:tcPr>
          <w:p w14:paraId="1D93D7CE" w14:textId="0C02318A" w:rsidR="00826046" w:rsidRDefault="00826046" w:rsidP="00CD0B8B">
            <w:pPr>
              <w:rPr>
                <w:sz w:val="16"/>
                <w:szCs w:val="16"/>
              </w:rPr>
            </w:pPr>
            <w:r>
              <w:rPr>
                <w:sz w:val="16"/>
                <w:szCs w:val="16"/>
              </w:rPr>
              <w:t>Objective</w:t>
            </w:r>
          </w:p>
        </w:tc>
        <w:tc>
          <w:tcPr>
            <w:tcW w:w="68.40pt" w:type="dxa"/>
            <w:vMerge/>
            <w:tcBorders>
              <w:start w:val="single" w:sz="4" w:space="0" w:color="auto"/>
              <w:bottom w:val="single" w:sz="4" w:space="0" w:color="auto"/>
              <w:end w:val="single" w:sz="4" w:space="0" w:color="auto"/>
            </w:tcBorders>
          </w:tcPr>
          <w:p w14:paraId="4BCABAF3" w14:textId="77777777" w:rsidR="00826046" w:rsidRPr="003E4844" w:rsidRDefault="00826046" w:rsidP="00CD0B8B">
            <w:pPr>
              <w:rPr>
                <w:sz w:val="16"/>
                <w:szCs w:val="16"/>
              </w:rPr>
            </w:pPr>
          </w:p>
        </w:tc>
      </w:tr>
      <w:tr w:rsidR="00826046" w14:paraId="7231050C" w14:textId="77777777" w:rsidTr="00826046">
        <w:trPr>
          <w:trHeight w:val="320"/>
          <w:jc w:val="center"/>
        </w:trPr>
        <w:tc>
          <w:tcPr>
            <w:tcW w:w="54.20pt" w:type="dxa"/>
            <w:vMerge w:val="restart"/>
            <w:vAlign w:val="center"/>
          </w:tcPr>
          <w:p w14:paraId="3EA9F8CA" w14:textId="12AC2FE9" w:rsidR="00826046" w:rsidRDefault="00826046" w:rsidP="00CD0B8B">
            <w:pPr>
              <w:pStyle w:val="tablecopy"/>
            </w:pPr>
            <w:r>
              <w:t>Financial Behavior</w:t>
            </w:r>
          </w:p>
        </w:tc>
        <w:tc>
          <w:tcPr>
            <w:tcW w:w="61.05pt" w:type="dxa"/>
            <w:vAlign w:val="center"/>
          </w:tcPr>
          <w:p w14:paraId="14E01A2C" w14:textId="1B428B8E" w:rsidR="00826046" w:rsidRDefault="00826046" w:rsidP="00CD0B8B">
            <w:pPr>
              <w:rPr>
                <w:sz w:val="16"/>
                <w:szCs w:val="16"/>
              </w:rPr>
            </w:pPr>
            <w:r>
              <w:rPr>
                <w:sz w:val="16"/>
                <w:szCs w:val="16"/>
              </w:rPr>
              <w:t>Budgeting</w:t>
            </w:r>
          </w:p>
        </w:tc>
        <w:tc>
          <w:tcPr>
            <w:tcW w:w="42.55pt" w:type="dxa"/>
            <w:vAlign w:val="center"/>
          </w:tcPr>
          <w:p w14:paraId="7458B909" w14:textId="421B9B4D" w:rsidR="00826046" w:rsidRDefault="00826046" w:rsidP="00CD0B8B">
            <w:pPr>
              <w:rPr>
                <w:sz w:val="16"/>
                <w:szCs w:val="16"/>
              </w:rPr>
            </w:pPr>
            <w:r>
              <w:rPr>
                <w:sz w:val="16"/>
                <w:szCs w:val="16"/>
              </w:rPr>
              <w:t>Likert</w:t>
            </w:r>
          </w:p>
        </w:tc>
        <w:tc>
          <w:tcPr>
            <w:tcW w:w="68.40pt" w:type="dxa"/>
            <w:vMerge w:val="restart"/>
            <w:tcBorders>
              <w:top w:val="single" w:sz="4" w:space="0" w:color="auto"/>
            </w:tcBorders>
          </w:tcPr>
          <w:p w14:paraId="0ABF912C" w14:textId="00B6CA7F" w:rsidR="00826046" w:rsidRPr="003E4844" w:rsidRDefault="00826046" w:rsidP="00CD0B8B">
            <w:pPr>
              <w:rPr>
                <w:sz w:val="16"/>
                <w:szCs w:val="16"/>
              </w:rPr>
            </w:pPr>
            <w:r w:rsidRPr="00826046">
              <w:rPr>
                <w:sz w:val="16"/>
                <w:szCs w:val="16"/>
              </w:rPr>
              <w:t>Moreno-Herrero et al. (2018)</w:t>
            </w:r>
          </w:p>
        </w:tc>
      </w:tr>
      <w:tr w:rsidR="00826046" w14:paraId="1943EC07" w14:textId="77777777" w:rsidTr="00826046">
        <w:trPr>
          <w:trHeight w:val="320"/>
          <w:jc w:val="center"/>
        </w:trPr>
        <w:tc>
          <w:tcPr>
            <w:tcW w:w="54.20pt" w:type="dxa"/>
            <w:vMerge/>
            <w:vAlign w:val="center"/>
          </w:tcPr>
          <w:p w14:paraId="0CA8F476" w14:textId="77777777" w:rsidR="00826046" w:rsidRDefault="00826046" w:rsidP="00CD0B8B">
            <w:pPr>
              <w:pStyle w:val="tablecopy"/>
            </w:pPr>
          </w:p>
        </w:tc>
        <w:tc>
          <w:tcPr>
            <w:tcW w:w="61.05pt" w:type="dxa"/>
            <w:vAlign w:val="center"/>
          </w:tcPr>
          <w:p w14:paraId="2EA3C4DA" w14:textId="7C42E0C3" w:rsidR="00826046" w:rsidRDefault="00826046" w:rsidP="00CD0B8B">
            <w:pPr>
              <w:rPr>
                <w:sz w:val="16"/>
                <w:szCs w:val="16"/>
              </w:rPr>
            </w:pPr>
            <w:r>
              <w:rPr>
                <w:sz w:val="16"/>
                <w:szCs w:val="16"/>
              </w:rPr>
              <w:t>Saving</w:t>
            </w:r>
          </w:p>
        </w:tc>
        <w:tc>
          <w:tcPr>
            <w:tcW w:w="42.55pt" w:type="dxa"/>
            <w:vAlign w:val="center"/>
          </w:tcPr>
          <w:p w14:paraId="5BC3A9E6" w14:textId="46C7BEBE" w:rsidR="00826046" w:rsidRDefault="00826046" w:rsidP="00CD0B8B">
            <w:pPr>
              <w:rPr>
                <w:sz w:val="16"/>
                <w:szCs w:val="16"/>
              </w:rPr>
            </w:pPr>
            <w:r>
              <w:rPr>
                <w:sz w:val="16"/>
                <w:szCs w:val="16"/>
              </w:rPr>
              <w:t>Likert</w:t>
            </w:r>
          </w:p>
        </w:tc>
        <w:tc>
          <w:tcPr>
            <w:tcW w:w="68.40pt" w:type="dxa"/>
            <w:vMerge/>
          </w:tcPr>
          <w:p w14:paraId="7C59BA10" w14:textId="77777777" w:rsidR="00826046" w:rsidRPr="003E4844" w:rsidRDefault="00826046" w:rsidP="00CD0B8B">
            <w:pPr>
              <w:rPr>
                <w:sz w:val="16"/>
                <w:szCs w:val="16"/>
              </w:rPr>
            </w:pPr>
          </w:p>
        </w:tc>
      </w:tr>
      <w:tr w:rsidR="00826046" w14:paraId="427BAAD4" w14:textId="77777777" w:rsidTr="00826046">
        <w:trPr>
          <w:trHeight w:val="320"/>
          <w:jc w:val="center"/>
        </w:trPr>
        <w:tc>
          <w:tcPr>
            <w:tcW w:w="54.20pt" w:type="dxa"/>
            <w:vMerge/>
            <w:vAlign w:val="center"/>
          </w:tcPr>
          <w:p w14:paraId="5DC297E4" w14:textId="77777777" w:rsidR="00826046" w:rsidRDefault="00826046" w:rsidP="00CD0B8B">
            <w:pPr>
              <w:pStyle w:val="tablecopy"/>
            </w:pPr>
          </w:p>
        </w:tc>
        <w:tc>
          <w:tcPr>
            <w:tcW w:w="61.05pt" w:type="dxa"/>
            <w:vAlign w:val="center"/>
          </w:tcPr>
          <w:p w14:paraId="68247D20" w14:textId="6DB24A82" w:rsidR="00826046" w:rsidRDefault="00826046" w:rsidP="00CD0B8B">
            <w:pPr>
              <w:rPr>
                <w:sz w:val="16"/>
                <w:szCs w:val="16"/>
              </w:rPr>
            </w:pPr>
            <w:r>
              <w:rPr>
                <w:sz w:val="16"/>
                <w:szCs w:val="16"/>
              </w:rPr>
              <w:t>Spending</w:t>
            </w:r>
          </w:p>
        </w:tc>
        <w:tc>
          <w:tcPr>
            <w:tcW w:w="42.55pt" w:type="dxa"/>
            <w:vAlign w:val="center"/>
          </w:tcPr>
          <w:p w14:paraId="5AE11B20" w14:textId="77ED539D" w:rsidR="00826046" w:rsidRDefault="00826046" w:rsidP="00CD0B8B">
            <w:pPr>
              <w:rPr>
                <w:sz w:val="16"/>
                <w:szCs w:val="16"/>
              </w:rPr>
            </w:pPr>
            <w:r>
              <w:rPr>
                <w:sz w:val="16"/>
                <w:szCs w:val="16"/>
              </w:rPr>
              <w:t>Likert</w:t>
            </w:r>
          </w:p>
        </w:tc>
        <w:tc>
          <w:tcPr>
            <w:tcW w:w="68.40pt" w:type="dxa"/>
            <w:vMerge/>
          </w:tcPr>
          <w:p w14:paraId="08DA870D" w14:textId="77777777" w:rsidR="00826046" w:rsidRPr="003E4844" w:rsidRDefault="00826046" w:rsidP="00CD0B8B">
            <w:pPr>
              <w:rPr>
                <w:sz w:val="16"/>
                <w:szCs w:val="16"/>
              </w:rPr>
            </w:pPr>
          </w:p>
        </w:tc>
      </w:tr>
      <w:tr w:rsidR="00826046" w14:paraId="6DC262FD" w14:textId="77777777" w:rsidTr="00826046">
        <w:trPr>
          <w:trHeight w:val="320"/>
          <w:jc w:val="center"/>
        </w:trPr>
        <w:tc>
          <w:tcPr>
            <w:tcW w:w="54.20pt" w:type="dxa"/>
            <w:vMerge w:val="restart"/>
            <w:vAlign w:val="center"/>
          </w:tcPr>
          <w:p w14:paraId="1D556E32" w14:textId="32F6BB37" w:rsidR="00826046" w:rsidRDefault="00826046" w:rsidP="00CD0B8B">
            <w:pPr>
              <w:pStyle w:val="tablecopy"/>
            </w:pPr>
            <w:r>
              <w:t>Financial Attitude</w:t>
            </w:r>
          </w:p>
        </w:tc>
        <w:tc>
          <w:tcPr>
            <w:tcW w:w="61.05pt" w:type="dxa"/>
            <w:vAlign w:val="center"/>
          </w:tcPr>
          <w:p w14:paraId="1DB9E85D" w14:textId="6A6653B5" w:rsidR="00826046" w:rsidRDefault="00826046" w:rsidP="00CD0B8B">
            <w:pPr>
              <w:rPr>
                <w:sz w:val="16"/>
                <w:szCs w:val="16"/>
              </w:rPr>
            </w:pPr>
            <w:r>
              <w:rPr>
                <w:sz w:val="16"/>
                <w:szCs w:val="16"/>
              </w:rPr>
              <w:t>Confidence</w:t>
            </w:r>
          </w:p>
        </w:tc>
        <w:tc>
          <w:tcPr>
            <w:tcW w:w="42.55pt" w:type="dxa"/>
            <w:vAlign w:val="center"/>
          </w:tcPr>
          <w:p w14:paraId="0013FC0D" w14:textId="66ADB102" w:rsidR="00826046" w:rsidRDefault="00826046" w:rsidP="00CD0B8B">
            <w:pPr>
              <w:rPr>
                <w:sz w:val="16"/>
                <w:szCs w:val="16"/>
              </w:rPr>
            </w:pPr>
            <w:r>
              <w:rPr>
                <w:sz w:val="16"/>
                <w:szCs w:val="16"/>
              </w:rPr>
              <w:t>Likert</w:t>
            </w:r>
          </w:p>
        </w:tc>
        <w:tc>
          <w:tcPr>
            <w:tcW w:w="68.40pt" w:type="dxa"/>
            <w:vMerge w:val="restart"/>
          </w:tcPr>
          <w:p w14:paraId="19B91E0C" w14:textId="67AE2C6B" w:rsidR="00826046" w:rsidRPr="003E4844" w:rsidRDefault="00826046" w:rsidP="00CD0B8B">
            <w:pPr>
              <w:rPr>
                <w:sz w:val="16"/>
                <w:szCs w:val="16"/>
              </w:rPr>
            </w:pPr>
            <w:proofErr w:type="spellStart"/>
            <w:r w:rsidRPr="00826046">
              <w:rPr>
                <w:sz w:val="16"/>
                <w:szCs w:val="16"/>
              </w:rPr>
              <w:t>Otbiçer</w:t>
            </w:r>
            <w:proofErr w:type="spellEnd"/>
            <w:r w:rsidRPr="00826046">
              <w:rPr>
                <w:sz w:val="16"/>
                <w:szCs w:val="16"/>
              </w:rPr>
              <w:t xml:space="preserve"> (2023); </w:t>
            </w:r>
            <w:proofErr w:type="spellStart"/>
            <w:r w:rsidRPr="00826046">
              <w:rPr>
                <w:sz w:val="16"/>
                <w:szCs w:val="16"/>
              </w:rPr>
              <w:t>Rachmawati</w:t>
            </w:r>
            <w:proofErr w:type="spellEnd"/>
            <w:r w:rsidRPr="00826046">
              <w:rPr>
                <w:sz w:val="16"/>
                <w:szCs w:val="16"/>
              </w:rPr>
              <w:t xml:space="preserve"> et al. (2022)</w:t>
            </w:r>
          </w:p>
        </w:tc>
      </w:tr>
      <w:tr w:rsidR="00826046" w14:paraId="4FF361A7" w14:textId="77777777" w:rsidTr="00826046">
        <w:trPr>
          <w:trHeight w:val="320"/>
          <w:jc w:val="center"/>
        </w:trPr>
        <w:tc>
          <w:tcPr>
            <w:tcW w:w="54.20pt" w:type="dxa"/>
            <w:vMerge/>
            <w:vAlign w:val="center"/>
          </w:tcPr>
          <w:p w14:paraId="116C17A7" w14:textId="77777777" w:rsidR="00826046" w:rsidRDefault="00826046" w:rsidP="00CD0B8B">
            <w:pPr>
              <w:pStyle w:val="tablecopy"/>
            </w:pPr>
          </w:p>
        </w:tc>
        <w:tc>
          <w:tcPr>
            <w:tcW w:w="61.05pt" w:type="dxa"/>
            <w:vAlign w:val="center"/>
          </w:tcPr>
          <w:p w14:paraId="379A82D4" w14:textId="11DD3F59" w:rsidR="00826046" w:rsidRDefault="00826046" w:rsidP="00CD0B8B">
            <w:pPr>
              <w:rPr>
                <w:sz w:val="16"/>
                <w:szCs w:val="16"/>
              </w:rPr>
            </w:pPr>
            <w:r>
              <w:rPr>
                <w:sz w:val="16"/>
                <w:szCs w:val="16"/>
              </w:rPr>
              <w:t>Stress</w:t>
            </w:r>
          </w:p>
        </w:tc>
        <w:tc>
          <w:tcPr>
            <w:tcW w:w="42.55pt" w:type="dxa"/>
            <w:vAlign w:val="center"/>
          </w:tcPr>
          <w:p w14:paraId="3D99BEEE" w14:textId="306C870C" w:rsidR="00826046" w:rsidRDefault="00826046" w:rsidP="00CD0B8B">
            <w:pPr>
              <w:rPr>
                <w:sz w:val="16"/>
                <w:szCs w:val="16"/>
              </w:rPr>
            </w:pPr>
            <w:r>
              <w:rPr>
                <w:sz w:val="16"/>
                <w:szCs w:val="16"/>
              </w:rPr>
              <w:t>Likert</w:t>
            </w:r>
          </w:p>
        </w:tc>
        <w:tc>
          <w:tcPr>
            <w:tcW w:w="68.40pt" w:type="dxa"/>
            <w:vMerge/>
          </w:tcPr>
          <w:p w14:paraId="4E3E87FA" w14:textId="77777777" w:rsidR="00826046" w:rsidRPr="003E4844" w:rsidRDefault="00826046" w:rsidP="00CD0B8B">
            <w:pPr>
              <w:rPr>
                <w:sz w:val="16"/>
                <w:szCs w:val="16"/>
              </w:rPr>
            </w:pPr>
          </w:p>
        </w:tc>
      </w:tr>
      <w:tr w:rsidR="00826046" w14:paraId="7659581A" w14:textId="77777777" w:rsidTr="00826046">
        <w:trPr>
          <w:trHeight w:val="320"/>
          <w:jc w:val="center"/>
        </w:trPr>
        <w:tc>
          <w:tcPr>
            <w:tcW w:w="54.20pt" w:type="dxa"/>
            <w:vMerge/>
            <w:vAlign w:val="center"/>
          </w:tcPr>
          <w:p w14:paraId="46F629B8" w14:textId="77777777" w:rsidR="00826046" w:rsidRDefault="00826046" w:rsidP="00CD0B8B">
            <w:pPr>
              <w:pStyle w:val="tablecopy"/>
            </w:pPr>
          </w:p>
        </w:tc>
        <w:tc>
          <w:tcPr>
            <w:tcW w:w="61.05pt" w:type="dxa"/>
            <w:vAlign w:val="center"/>
          </w:tcPr>
          <w:p w14:paraId="05AE1E20" w14:textId="257078C7" w:rsidR="00826046" w:rsidRDefault="00826046" w:rsidP="00CD0B8B">
            <w:pPr>
              <w:rPr>
                <w:sz w:val="16"/>
                <w:szCs w:val="16"/>
              </w:rPr>
            </w:pPr>
            <w:r>
              <w:rPr>
                <w:sz w:val="16"/>
                <w:szCs w:val="16"/>
              </w:rPr>
              <w:t>Responsibility</w:t>
            </w:r>
          </w:p>
        </w:tc>
        <w:tc>
          <w:tcPr>
            <w:tcW w:w="42.55pt" w:type="dxa"/>
            <w:vAlign w:val="center"/>
          </w:tcPr>
          <w:p w14:paraId="03C67032" w14:textId="4E85B1B9" w:rsidR="00826046" w:rsidRDefault="00826046" w:rsidP="00CD0B8B">
            <w:pPr>
              <w:rPr>
                <w:sz w:val="16"/>
                <w:szCs w:val="16"/>
              </w:rPr>
            </w:pPr>
            <w:r>
              <w:rPr>
                <w:sz w:val="16"/>
                <w:szCs w:val="16"/>
              </w:rPr>
              <w:t>Likert</w:t>
            </w:r>
          </w:p>
        </w:tc>
        <w:tc>
          <w:tcPr>
            <w:tcW w:w="68.40pt" w:type="dxa"/>
            <w:vMerge/>
          </w:tcPr>
          <w:p w14:paraId="6ECAD4F9" w14:textId="77777777" w:rsidR="00826046" w:rsidRPr="003E4844" w:rsidRDefault="00826046" w:rsidP="00CD0B8B">
            <w:pPr>
              <w:rPr>
                <w:sz w:val="16"/>
                <w:szCs w:val="16"/>
              </w:rPr>
            </w:pPr>
          </w:p>
        </w:tc>
      </w:tr>
    </w:tbl>
    <w:p w14:paraId="0307DDDF" w14:textId="0FF6950B" w:rsidR="009303D9" w:rsidRPr="005B520E" w:rsidRDefault="009303D9" w:rsidP="002525E1">
      <w:pPr>
        <w:pStyle w:val="bulletlist"/>
        <w:numPr>
          <w:ilvl w:val="0"/>
          <w:numId w:val="0"/>
        </w:numPr>
      </w:pPr>
    </w:p>
    <w:p w14:paraId="7E723DF5" w14:textId="14235661" w:rsidR="00A0468E" w:rsidRDefault="00A0468E" w:rsidP="00A0468E">
      <w:pPr>
        <w:pStyle w:val="Heading2"/>
      </w:pPr>
      <w:r>
        <w:t>Data Collection and Analytical Technique</w:t>
      </w:r>
    </w:p>
    <w:p w14:paraId="11313923" w14:textId="77777777" w:rsidR="00A0468E" w:rsidRDefault="00A0468E" w:rsidP="00E7596C">
      <w:pPr>
        <w:pStyle w:val="BodyText"/>
      </w:pPr>
      <w:r w:rsidRPr="00A0468E">
        <w:t xml:space="preserve">Primary data were gathered using an online questionnaire administered to students of Universitas Telkom. The instrument consisted of three sections: objective questions for financial knowledge, Likert-scale items for financial </w:t>
      </w:r>
      <w:proofErr w:type="spellStart"/>
      <w:r w:rsidRPr="00A0468E">
        <w:t>behavior</w:t>
      </w:r>
      <w:proofErr w:type="spellEnd"/>
      <w:r w:rsidRPr="00A0468E">
        <w:t xml:space="preserve"> and attitude, and a single-item academic performance measure (GPA). The questionnaire underwent expert validation by three finance lecturers and was piloted on 30 students. Reliability analysis produced Cronbach’s alpha values exceeding 0.75 for all scale-based items. </w:t>
      </w:r>
    </w:p>
    <w:p w14:paraId="777C5D44" w14:textId="0ECDBD08" w:rsidR="00A0468E" w:rsidRDefault="00A0468E" w:rsidP="00E7596C">
      <w:pPr>
        <w:pStyle w:val="BodyText"/>
      </w:pPr>
      <w:r w:rsidRPr="00A0468E">
        <w:t xml:space="preserve">Multiple linear regression analysis was employed to determine the influence of financial literacy components on academic performance. The regression model is specified </w:t>
      </w:r>
      <w:r w:rsidR="00EC3508">
        <w:t>in (1)</w:t>
      </w:r>
      <w:r w:rsidRPr="00A0468E">
        <w:t>:</w:t>
      </w:r>
    </w:p>
    <w:p w14:paraId="661D56B6" w14:textId="6DC5FC62" w:rsidR="00A0468E" w:rsidRDefault="006C146A" w:rsidP="000C42BA">
      <w:pPr>
        <w:pStyle w:val="BodyText"/>
        <w:jc w:val="end"/>
      </w:pPr>
      <w:r w:rsidRPr="00A0468E">
        <w:t>Y=</w:t>
      </w:r>
      <w:r w:rsidRPr="006C146A">
        <w:t xml:space="preserve"> </w:t>
      </w:r>
      <w:r>
        <w:t>B</w:t>
      </w:r>
      <w:r>
        <w:rPr>
          <w:vertAlign w:val="subscript"/>
        </w:rPr>
        <w:t>0</w:t>
      </w:r>
      <w:r w:rsidRPr="00A0468E">
        <w:t>+</w:t>
      </w:r>
      <w:bookmarkStart w:id="1" w:name="_Hlk213922734"/>
      <w:r w:rsidRPr="006C146A">
        <w:t xml:space="preserve"> </w:t>
      </w:r>
      <w:r>
        <w:t>B</w:t>
      </w:r>
      <w:r>
        <w:rPr>
          <w:vertAlign w:val="subscript"/>
        </w:rPr>
        <w:t>1</w:t>
      </w:r>
      <w:r w:rsidRPr="00A0468E">
        <w:t>X₁</w:t>
      </w:r>
      <w:bookmarkEnd w:id="1"/>
      <w:r w:rsidRPr="00A0468E">
        <w:t>​+</w:t>
      </w:r>
      <w:r w:rsidRPr="006C146A">
        <w:t xml:space="preserve"> </w:t>
      </w:r>
      <w:r>
        <w:t>B</w:t>
      </w:r>
      <w:r>
        <w:rPr>
          <w:vertAlign w:val="subscript"/>
        </w:rPr>
        <w:t>2</w:t>
      </w:r>
      <w:r w:rsidRPr="00A0468E">
        <w:t>X₂​+</w:t>
      </w:r>
      <w:r w:rsidRPr="006C146A">
        <w:t xml:space="preserve"> </w:t>
      </w:r>
      <w:r>
        <w:t>B</w:t>
      </w:r>
      <w:r>
        <w:rPr>
          <w:vertAlign w:val="subscript"/>
        </w:rPr>
        <w:t>3</w:t>
      </w:r>
      <w:r w:rsidRPr="00A0468E">
        <w:t>X₃+</w:t>
      </w:r>
      <w:r w:rsidRPr="00A0468E">
        <w:rPr>
          <w:rFonts w:ascii="Cambria Math" w:hAnsi="Cambria Math" w:cs="Cambria Math"/>
        </w:rPr>
        <w:t>𝑒</w:t>
      </w:r>
      <w:r w:rsidR="000C42BA">
        <w:rPr>
          <w:rFonts w:ascii="Cambria Math" w:hAnsi="Cambria Math" w:cs="Cambria Math"/>
        </w:rPr>
        <w:t xml:space="preserve"> </w:t>
      </w:r>
      <w:r w:rsidR="000C42BA">
        <w:rPr>
          <w:rFonts w:ascii="Cambria Math" w:hAnsi="Cambria Math" w:cs="Cambria Math"/>
        </w:rPr>
        <w:tab/>
      </w:r>
      <w:r w:rsidR="000C42BA">
        <w:rPr>
          <w:rFonts w:ascii="Cambria Math" w:hAnsi="Cambria Math" w:cs="Cambria Math"/>
        </w:rPr>
        <w:tab/>
        <w:t>(1)</w:t>
      </w:r>
    </w:p>
    <w:p w14:paraId="3FB1D81E" w14:textId="27C22EDE" w:rsidR="00A0468E" w:rsidRDefault="00A0468E" w:rsidP="00A0468E">
      <w:pPr>
        <w:pStyle w:val="BodyText"/>
      </w:pPr>
      <w:r>
        <w:t>Where:</w:t>
      </w:r>
    </w:p>
    <w:p w14:paraId="24BCD157" w14:textId="77777777" w:rsidR="00A0468E" w:rsidRDefault="00A0468E" w:rsidP="00A0468E">
      <w:pPr>
        <w:pStyle w:val="BodyText"/>
      </w:pPr>
      <w:r>
        <w:t>Y: Academic performance (GPA)</w:t>
      </w:r>
    </w:p>
    <w:p w14:paraId="7AB7B34B" w14:textId="62253821" w:rsidR="00A0468E" w:rsidRDefault="006C146A" w:rsidP="00A0468E">
      <w:pPr>
        <w:pStyle w:val="BodyText"/>
      </w:pPr>
      <w:r w:rsidRPr="00A0468E">
        <w:t>X₁</w:t>
      </w:r>
      <w:r w:rsidR="00A0468E">
        <w:t>: Financial knowledge</w:t>
      </w:r>
    </w:p>
    <w:p w14:paraId="74664964" w14:textId="57A6609D" w:rsidR="00A0468E" w:rsidRDefault="006C146A" w:rsidP="00A0468E">
      <w:pPr>
        <w:pStyle w:val="BodyText"/>
      </w:pPr>
      <w:r w:rsidRPr="00A0468E">
        <w:t>X</w:t>
      </w:r>
      <w:r>
        <w:rPr>
          <w:vertAlign w:val="subscript"/>
        </w:rPr>
        <w:t>2</w:t>
      </w:r>
      <w:r w:rsidR="00A0468E">
        <w:t xml:space="preserve">: Financial </w:t>
      </w:r>
      <w:proofErr w:type="spellStart"/>
      <w:r w:rsidR="00A0468E">
        <w:t>behavior</w:t>
      </w:r>
      <w:proofErr w:type="spellEnd"/>
    </w:p>
    <w:p w14:paraId="131A78FE" w14:textId="1A9EF679" w:rsidR="00A0468E" w:rsidRDefault="006C146A" w:rsidP="00A0468E">
      <w:pPr>
        <w:pStyle w:val="BodyText"/>
      </w:pPr>
      <w:r w:rsidRPr="00A0468E">
        <w:t>X</w:t>
      </w:r>
      <w:r>
        <w:rPr>
          <w:vertAlign w:val="subscript"/>
        </w:rPr>
        <w:t>3</w:t>
      </w:r>
      <w:r w:rsidR="00A0468E">
        <w:t>: Financial attitude</w:t>
      </w:r>
    </w:p>
    <w:p w14:paraId="79A05EE5" w14:textId="63A972AF" w:rsidR="00A0468E" w:rsidRDefault="006C146A" w:rsidP="00A0468E">
      <w:pPr>
        <w:pStyle w:val="BodyText"/>
      </w:pPr>
      <w:bookmarkStart w:id="2" w:name="_Hlk213922781"/>
      <w:r>
        <w:t>B</w:t>
      </w:r>
      <w:r>
        <w:rPr>
          <w:vertAlign w:val="subscript"/>
        </w:rPr>
        <w:t>0</w:t>
      </w:r>
      <w:bookmarkEnd w:id="2"/>
      <w:r w:rsidR="00A0468E">
        <w:t>: Intercept</w:t>
      </w:r>
    </w:p>
    <w:p w14:paraId="186560FE" w14:textId="10CE327E" w:rsidR="00A0468E" w:rsidRDefault="006C146A" w:rsidP="00A0468E">
      <w:pPr>
        <w:pStyle w:val="BodyText"/>
      </w:pPr>
      <w:r>
        <w:t>B</w:t>
      </w:r>
      <w:r>
        <w:rPr>
          <w:vertAlign w:val="subscript"/>
        </w:rPr>
        <w:t>1,</w:t>
      </w:r>
      <w:r w:rsidRPr="006C146A">
        <w:t xml:space="preserve"> </w:t>
      </w:r>
      <w:r>
        <w:t>B</w:t>
      </w:r>
      <w:r>
        <w:rPr>
          <w:vertAlign w:val="subscript"/>
        </w:rPr>
        <w:t>2,</w:t>
      </w:r>
      <w:r w:rsidRPr="006C146A">
        <w:t xml:space="preserve"> </w:t>
      </w:r>
      <w:r>
        <w:t>B</w:t>
      </w:r>
      <w:r>
        <w:rPr>
          <w:vertAlign w:val="subscript"/>
        </w:rPr>
        <w:t>3</w:t>
      </w:r>
      <w:r w:rsidR="00A0468E">
        <w:t>: Regression coefficients</w:t>
      </w:r>
    </w:p>
    <w:p w14:paraId="732C3DFB" w14:textId="5F8CCBF2" w:rsidR="00A0468E" w:rsidRDefault="00A0468E" w:rsidP="00A0468E">
      <w:pPr>
        <w:pStyle w:val="BodyText"/>
        <w:ind w:firstLine="0pt"/>
      </w:pPr>
      <w:r>
        <w:tab/>
        <w:t>e: Error term</w:t>
      </w:r>
    </w:p>
    <w:p w14:paraId="4878948E" w14:textId="0A9DD321" w:rsidR="009303D9" w:rsidRPr="005B520E" w:rsidRDefault="00A0468E" w:rsidP="00A0468E">
      <w:pPr>
        <w:pStyle w:val="BodyText"/>
      </w:pPr>
      <w:r w:rsidRPr="00A0468E">
        <w:t>All regression assumptions—including linearity, normality, multicollinearity, and homoscedasticity—were tested. Analyses were conducted using SPSS version 26, and significance levels were evaluated at the 5% threshold.</w:t>
      </w:r>
    </w:p>
    <w:p w14:paraId="47A21610" w14:textId="669D442D" w:rsidR="002C6421" w:rsidRDefault="00A0468E" w:rsidP="006B6B66">
      <w:pPr>
        <w:pStyle w:val="Heading1"/>
      </w:pPr>
      <w:r w:rsidRPr="00A0468E">
        <w:t>Results and discussio</w:t>
      </w:r>
      <w:r w:rsidR="002C6421">
        <w:t>n</w:t>
      </w:r>
    </w:p>
    <w:p w14:paraId="0B97C193" w14:textId="77777777" w:rsidR="002C6421" w:rsidRDefault="002C6421" w:rsidP="002C6421">
      <w:pPr>
        <w:pStyle w:val="BodyText"/>
      </w:pPr>
      <w:r w:rsidRPr="00A0468E">
        <w:t>Before hypothesis testing, several classical assumption tests were conducted to ensure the reliability of the regression model.</w:t>
      </w:r>
    </w:p>
    <w:p w14:paraId="5C1EF671" w14:textId="65A33E23" w:rsidR="000C42BA" w:rsidRDefault="000C42BA" w:rsidP="000C42BA">
      <w:pPr>
        <w:pStyle w:val="Heading1"/>
        <w:numPr>
          <w:ilvl w:val="0"/>
          <w:numId w:val="0"/>
        </w:numPr>
      </w:pPr>
      <w:r>
        <w:t>table ii. classical assumption test</w:t>
      </w:r>
    </w:p>
    <w:tbl>
      <w:tblPr>
        <w:tblW w:w="214.35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1415"/>
        <w:gridCol w:w="1504"/>
        <w:gridCol w:w="1368"/>
      </w:tblGrid>
      <w:tr w:rsidR="002C6421" w14:paraId="0875BF1C" w14:textId="77777777" w:rsidTr="00CD0B8B">
        <w:trPr>
          <w:cantSplit/>
          <w:trHeight w:val="240"/>
          <w:tblHeader/>
          <w:jc w:val="center"/>
        </w:trPr>
        <w:tc>
          <w:tcPr>
            <w:tcW w:w="70.75pt" w:type="dxa"/>
          </w:tcPr>
          <w:p w14:paraId="57E9EB22" w14:textId="77777777" w:rsidR="002C6421" w:rsidRPr="003E4844" w:rsidRDefault="002C6421" w:rsidP="00CD0B8B">
            <w:pPr>
              <w:rPr>
                <w:b/>
                <w:bCs/>
                <w:i/>
                <w:iCs/>
                <w:sz w:val="15"/>
                <w:szCs w:val="15"/>
              </w:rPr>
            </w:pPr>
            <w:r>
              <w:rPr>
                <w:b/>
                <w:bCs/>
                <w:i/>
                <w:iCs/>
                <w:sz w:val="15"/>
                <w:szCs w:val="15"/>
              </w:rPr>
              <w:t>Test</w:t>
            </w:r>
          </w:p>
        </w:tc>
        <w:tc>
          <w:tcPr>
            <w:tcW w:w="75.20pt" w:type="dxa"/>
            <w:vAlign w:val="center"/>
          </w:tcPr>
          <w:p w14:paraId="43EE632C" w14:textId="77777777" w:rsidR="002C6421" w:rsidRDefault="002C6421" w:rsidP="00CD0B8B">
            <w:pPr>
              <w:pStyle w:val="tablecolsubhead"/>
            </w:pPr>
            <w:r>
              <w:t>Result</w:t>
            </w:r>
          </w:p>
        </w:tc>
        <w:tc>
          <w:tcPr>
            <w:tcW w:w="68.40pt" w:type="dxa"/>
          </w:tcPr>
          <w:p w14:paraId="2B5F7770" w14:textId="77777777" w:rsidR="002C6421" w:rsidRDefault="002C6421" w:rsidP="00CD0B8B">
            <w:pPr>
              <w:pStyle w:val="tablecolsubhead"/>
            </w:pPr>
            <w:r>
              <w:t>Interpretation</w:t>
            </w:r>
          </w:p>
        </w:tc>
      </w:tr>
      <w:tr w:rsidR="002C6421" w14:paraId="0DF9EB1B" w14:textId="77777777" w:rsidTr="00CD0B8B">
        <w:trPr>
          <w:trHeight w:val="320"/>
          <w:jc w:val="center"/>
        </w:trPr>
        <w:tc>
          <w:tcPr>
            <w:tcW w:w="70.75pt" w:type="dxa"/>
            <w:vAlign w:val="center"/>
          </w:tcPr>
          <w:p w14:paraId="28314A39" w14:textId="77777777" w:rsidR="002C6421" w:rsidRPr="00826046" w:rsidRDefault="002C6421" w:rsidP="00CD0B8B">
            <w:pPr>
              <w:pStyle w:val="tablecopy"/>
            </w:pPr>
            <w:r>
              <w:t>Normality (Monte Carlo Sig.)</w:t>
            </w:r>
          </w:p>
        </w:tc>
        <w:tc>
          <w:tcPr>
            <w:tcW w:w="75.20pt" w:type="dxa"/>
            <w:vAlign w:val="center"/>
          </w:tcPr>
          <w:p w14:paraId="05F93744" w14:textId="77777777" w:rsidR="002C6421" w:rsidRDefault="002C6421" w:rsidP="00CD0B8B">
            <w:pPr>
              <w:rPr>
                <w:sz w:val="16"/>
                <w:szCs w:val="16"/>
              </w:rPr>
            </w:pPr>
            <w:r>
              <w:rPr>
                <w:sz w:val="16"/>
                <w:szCs w:val="16"/>
              </w:rPr>
              <w:t>0.163</w:t>
            </w:r>
          </w:p>
        </w:tc>
        <w:tc>
          <w:tcPr>
            <w:tcW w:w="68.40pt" w:type="dxa"/>
          </w:tcPr>
          <w:p w14:paraId="44C9D4EA" w14:textId="77777777" w:rsidR="002C6421" w:rsidRDefault="002C6421" w:rsidP="00CD0B8B">
            <w:pPr>
              <w:rPr>
                <w:sz w:val="16"/>
                <w:szCs w:val="16"/>
              </w:rPr>
            </w:pPr>
            <w:r>
              <w:rPr>
                <w:sz w:val="16"/>
                <w:szCs w:val="16"/>
              </w:rPr>
              <w:t>N</w:t>
            </w:r>
            <w:r w:rsidRPr="00826046">
              <w:rPr>
                <w:sz w:val="16"/>
                <w:szCs w:val="16"/>
              </w:rPr>
              <w:t>ormally distributed</w:t>
            </w:r>
          </w:p>
        </w:tc>
      </w:tr>
      <w:tr w:rsidR="002C6421" w14:paraId="6CAF8C68" w14:textId="77777777" w:rsidTr="00CD0B8B">
        <w:trPr>
          <w:trHeight w:val="320"/>
          <w:jc w:val="center"/>
        </w:trPr>
        <w:tc>
          <w:tcPr>
            <w:tcW w:w="70.75pt" w:type="dxa"/>
            <w:vAlign w:val="center"/>
          </w:tcPr>
          <w:p w14:paraId="47BD12F8" w14:textId="77777777" w:rsidR="002C6421" w:rsidRDefault="002C6421" w:rsidP="00CD0B8B">
            <w:pPr>
              <w:pStyle w:val="tablecopy"/>
            </w:pPr>
            <w:r>
              <w:t>Multicollinearity</w:t>
            </w:r>
          </w:p>
        </w:tc>
        <w:tc>
          <w:tcPr>
            <w:tcW w:w="75.20pt" w:type="dxa"/>
            <w:vAlign w:val="center"/>
          </w:tcPr>
          <w:p w14:paraId="3B8D9BB8" w14:textId="77777777" w:rsidR="002C6421" w:rsidRDefault="002C6421" w:rsidP="00CD0B8B">
            <w:pPr>
              <w:rPr>
                <w:sz w:val="16"/>
                <w:szCs w:val="16"/>
              </w:rPr>
            </w:pPr>
            <w:r w:rsidRPr="00826046">
              <w:rPr>
                <w:sz w:val="16"/>
                <w:szCs w:val="16"/>
              </w:rPr>
              <w:t>Tolerance &gt; 0.10, VIF &lt; 10</w:t>
            </w:r>
          </w:p>
        </w:tc>
        <w:tc>
          <w:tcPr>
            <w:tcW w:w="68.40pt" w:type="dxa"/>
          </w:tcPr>
          <w:p w14:paraId="429BC3B3" w14:textId="77777777" w:rsidR="002C6421" w:rsidRPr="003E4844" w:rsidRDefault="002C6421" w:rsidP="00CD0B8B">
            <w:pPr>
              <w:rPr>
                <w:sz w:val="16"/>
                <w:szCs w:val="16"/>
              </w:rPr>
            </w:pPr>
            <w:r w:rsidRPr="00826046">
              <w:rPr>
                <w:sz w:val="16"/>
                <w:szCs w:val="16"/>
              </w:rPr>
              <w:t>No multicollinearity detected</w:t>
            </w:r>
          </w:p>
        </w:tc>
      </w:tr>
      <w:tr w:rsidR="002C6421" w14:paraId="280D3102" w14:textId="77777777" w:rsidTr="00CD0B8B">
        <w:trPr>
          <w:trHeight w:val="320"/>
          <w:jc w:val="center"/>
        </w:trPr>
        <w:tc>
          <w:tcPr>
            <w:tcW w:w="70.75pt" w:type="dxa"/>
            <w:vAlign w:val="center"/>
          </w:tcPr>
          <w:p w14:paraId="25AA5E94" w14:textId="77777777" w:rsidR="002C6421" w:rsidRDefault="002C6421" w:rsidP="00CD0B8B">
            <w:pPr>
              <w:pStyle w:val="tablecopy"/>
            </w:pPr>
            <w:r>
              <w:t>Heteroskedasticity</w:t>
            </w:r>
          </w:p>
        </w:tc>
        <w:tc>
          <w:tcPr>
            <w:tcW w:w="75.20pt" w:type="dxa"/>
            <w:vAlign w:val="center"/>
          </w:tcPr>
          <w:p w14:paraId="13FB23B8" w14:textId="77777777" w:rsidR="002C6421" w:rsidRDefault="002C6421" w:rsidP="00CD0B8B">
            <w:pPr>
              <w:rPr>
                <w:sz w:val="16"/>
                <w:szCs w:val="16"/>
              </w:rPr>
            </w:pPr>
            <w:r w:rsidRPr="00826046">
              <w:rPr>
                <w:sz w:val="16"/>
                <w:szCs w:val="16"/>
              </w:rPr>
              <w:t>Sig &gt; 0.05 for X₁, X₂, X₃</w:t>
            </w:r>
          </w:p>
        </w:tc>
        <w:tc>
          <w:tcPr>
            <w:tcW w:w="68.40pt" w:type="dxa"/>
            <w:tcBorders>
              <w:bottom w:val="single" w:sz="4" w:space="0" w:color="auto"/>
            </w:tcBorders>
          </w:tcPr>
          <w:p w14:paraId="2495F60E" w14:textId="77777777" w:rsidR="002C6421" w:rsidRPr="003E4844" w:rsidRDefault="002C6421" w:rsidP="00CD0B8B">
            <w:pPr>
              <w:rPr>
                <w:sz w:val="16"/>
                <w:szCs w:val="16"/>
              </w:rPr>
            </w:pPr>
            <w:r w:rsidRPr="00826046">
              <w:rPr>
                <w:sz w:val="16"/>
                <w:szCs w:val="16"/>
              </w:rPr>
              <w:t>Variance of residuals is constant</w:t>
            </w:r>
          </w:p>
        </w:tc>
      </w:tr>
    </w:tbl>
    <w:p w14:paraId="1D1DDCDD" w14:textId="77777777" w:rsidR="002C6421" w:rsidRDefault="002C6421" w:rsidP="002C6421">
      <w:pPr>
        <w:pStyle w:val="BodyText"/>
        <w:ind w:firstLine="0pt"/>
      </w:pPr>
      <w:r>
        <w:tab/>
      </w:r>
      <w:r w:rsidRPr="00A0468E">
        <w:t xml:space="preserve">All assumptions were satisfied, confirming that the data were appropriate for multiple linear regression analysis. The regression model was estimated using GPA as the dependent variable and three financial literacy dimensions as predictors: financial knowledge (X₁), financial </w:t>
      </w:r>
      <w:proofErr w:type="spellStart"/>
      <w:r w:rsidRPr="00A0468E">
        <w:t>behavior</w:t>
      </w:r>
      <w:proofErr w:type="spellEnd"/>
      <w:r w:rsidRPr="00A0468E">
        <w:t xml:space="preserve"> (X₂), and financial attitude (X₃).</w:t>
      </w:r>
    </w:p>
    <w:p w14:paraId="3974E2DD" w14:textId="480E9D13" w:rsidR="000C42BA" w:rsidRDefault="000C42BA" w:rsidP="000C42BA">
      <w:pPr>
        <w:pStyle w:val="Heading1"/>
        <w:numPr>
          <w:ilvl w:val="0"/>
          <w:numId w:val="0"/>
        </w:numPr>
      </w:pPr>
      <w:r>
        <w:t>table iii. multple linear regression result</w:t>
      </w:r>
    </w:p>
    <w:tbl>
      <w:tblPr>
        <w:tblW w:w="220.8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1084"/>
        <w:gridCol w:w="656"/>
        <w:gridCol w:w="851"/>
        <w:gridCol w:w="667"/>
        <w:gridCol w:w="1158"/>
      </w:tblGrid>
      <w:tr w:rsidR="002C6421" w14:paraId="426B32AE" w14:textId="77777777" w:rsidTr="00CD0B8B">
        <w:trPr>
          <w:cantSplit/>
          <w:trHeight w:val="240"/>
          <w:tblHeader/>
          <w:jc w:val="center"/>
        </w:trPr>
        <w:tc>
          <w:tcPr>
            <w:tcW w:w="54.20pt" w:type="dxa"/>
          </w:tcPr>
          <w:p w14:paraId="1DAEDA89" w14:textId="77777777" w:rsidR="002C6421" w:rsidRPr="003E4844" w:rsidRDefault="002C6421" w:rsidP="00CD0B8B">
            <w:pPr>
              <w:rPr>
                <w:b/>
                <w:bCs/>
                <w:i/>
                <w:iCs/>
                <w:sz w:val="15"/>
                <w:szCs w:val="15"/>
              </w:rPr>
            </w:pPr>
            <w:r w:rsidRPr="003E4844">
              <w:rPr>
                <w:b/>
                <w:bCs/>
                <w:i/>
                <w:iCs/>
                <w:sz w:val="15"/>
                <w:szCs w:val="15"/>
              </w:rPr>
              <w:t>Variable</w:t>
            </w:r>
          </w:p>
        </w:tc>
        <w:tc>
          <w:tcPr>
            <w:tcW w:w="32.80pt" w:type="dxa"/>
            <w:vAlign w:val="center"/>
          </w:tcPr>
          <w:p w14:paraId="580281D9" w14:textId="77777777" w:rsidR="002C6421" w:rsidRDefault="002C6421" w:rsidP="00CD0B8B">
            <w:pPr>
              <w:pStyle w:val="tablecolsubhead"/>
            </w:pPr>
            <w:r>
              <w:t>Coeff</w:t>
            </w:r>
          </w:p>
        </w:tc>
        <w:tc>
          <w:tcPr>
            <w:tcW w:w="42.55pt" w:type="dxa"/>
            <w:vAlign w:val="center"/>
          </w:tcPr>
          <w:p w14:paraId="733C57FE" w14:textId="77777777" w:rsidR="002C6421" w:rsidRDefault="002C6421" w:rsidP="00CD0B8B">
            <w:pPr>
              <w:pStyle w:val="tablecolsubhead"/>
            </w:pPr>
            <w:r>
              <w:t>t</w:t>
            </w:r>
          </w:p>
        </w:tc>
        <w:tc>
          <w:tcPr>
            <w:tcW w:w="33.35pt" w:type="dxa"/>
          </w:tcPr>
          <w:p w14:paraId="6D089645" w14:textId="77777777" w:rsidR="002C6421" w:rsidRDefault="002C6421" w:rsidP="00CD0B8B">
            <w:pPr>
              <w:pStyle w:val="tablecolsubhead"/>
            </w:pPr>
            <w:r>
              <w:t>Sig</w:t>
            </w:r>
          </w:p>
        </w:tc>
        <w:tc>
          <w:tcPr>
            <w:tcW w:w="57.90pt" w:type="dxa"/>
          </w:tcPr>
          <w:p w14:paraId="7D79BD97" w14:textId="77777777" w:rsidR="002C6421" w:rsidRDefault="002C6421" w:rsidP="00CD0B8B">
            <w:pPr>
              <w:pStyle w:val="tablecolsubhead"/>
            </w:pPr>
            <w:r>
              <w:t>Interpretation</w:t>
            </w:r>
          </w:p>
        </w:tc>
      </w:tr>
      <w:tr w:rsidR="002C6421" w14:paraId="0960866E" w14:textId="77777777" w:rsidTr="00CD0B8B">
        <w:trPr>
          <w:trHeight w:val="320"/>
          <w:jc w:val="center"/>
        </w:trPr>
        <w:tc>
          <w:tcPr>
            <w:tcW w:w="54.20pt" w:type="dxa"/>
            <w:vAlign w:val="center"/>
          </w:tcPr>
          <w:p w14:paraId="25841B8C" w14:textId="77777777" w:rsidR="002C6421" w:rsidRPr="00826046" w:rsidRDefault="002C6421" w:rsidP="00CD0B8B">
            <w:pPr>
              <w:pStyle w:val="tablecopy"/>
            </w:pPr>
            <w:r>
              <w:t>Constant</w:t>
            </w:r>
          </w:p>
        </w:tc>
        <w:tc>
          <w:tcPr>
            <w:tcW w:w="32.80pt" w:type="dxa"/>
            <w:vAlign w:val="center"/>
          </w:tcPr>
          <w:p w14:paraId="582197A2" w14:textId="77777777" w:rsidR="002C6421" w:rsidRDefault="002C6421" w:rsidP="00CD0B8B">
            <w:pPr>
              <w:rPr>
                <w:sz w:val="16"/>
                <w:szCs w:val="16"/>
              </w:rPr>
            </w:pPr>
            <w:r>
              <w:rPr>
                <w:sz w:val="16"/>
                <w:szCs w:val="16"/>
              </w:rPr>
              <w:t>3.665</w:t>
            </w:r>
          </w:p>
        </w:tc>
        <w:tc>
          <w:tcPr>
            <w:tcW w:w="42.55pt" w:type="dxa"/>
            <w:vAlign w:val="center"/>
          </w:tcPr>
          <w:p w14:paraId="1BC31086" w14:textId="77777777" w:rsidR="002C6421" w:rsidRDefault="002C6421" w:rsidP="00CD0B8B">
            <w:pPr>
              <w:rPr>
                <w:sz w:val="16"/>
                <w:szCs w:val="16"/>
              </w:rPr>
            </w:pPr>
            <w:r>
              <w:rPr>
                <w:sz w:val="16"/>
                <w:szCs w:val="16"/>
              </w:rPr>
              <w:t>-</w:t>
            </w:r>
          </w:p>
        </w:tc>
        <w:tc>
          <w:tcPr>
            <w:tcW w:w="33.35pt" w:type="dxa"/>
          </w:tcPr>
          <w:p w14:paraId="255DA306" w14:textId="77777777" w:rsidR="002C6421" w:rsidRDefault="002C6421" w:rsidP="00CD0B8B">
            <w:pPr>
              <w:rPr>
                <w:sz w:val="16"/>
                <w:szCs w:val="16"/>
              </w:rPr>
            </w:pPr>
            <w:r>
              <w:rPr>
                <w:sz w:val="16"/>
                <w:szCs w:val="16"/>
              </w:rPr>
              <w:t>-</w:t>
            </w:r>
          </w:p>
        </w:tc>
        <w:tc>
          <w:tcPr>
            <w:tcW w:w="57.90pt" w:type="dxa"/>
          </w:tcPr>
          <w:p w14:paraId="1443D574" w14:textId="77777777" w:rsidR="002C6421" w:rsidRPr="003E4844" w:rsidRDefault="002C6421" w:rsidP="00CD0B8B">
            <w:pPr>
              <w:rPr>
                <w:sz w:val="16"/>
                <w:szCs w:val="16"/>
              </w:rPr>
            </w:pPr>
            <w:r>
              <w:rPr>
                <w:sz w:val="16"/>
                <w:szCs w:val="16"/>
              </w:rPr>
              <w:t>Intercept</w:t>
            </w:r>
          </w:p>
        </w:tc>
      </w:tr>
      <w:tr w:rsidR="002C6421" w14:paraId="70CF5E44" w14:textId="77777777" w:rsidTr="00CD0B8B">
        <w:trPr>
          <w:trHeight w:val="320"/>
          <w:jc w:val="center"/>
        </w:trPr>
        <w:tc>
          <w:tcPr>
            <w:tcW w:w="54.20pt" w:type="dxa"/>
            <w:vAlign w:val="center"/>
          </w:tcPr>
          <w:p w14:paraId="5711E1C8" w14:textId="77777777" w:rsidR="002C6421" w:rsidRDefault="002C6421" w:rsidP="00CD0B8B">
            <w:pPr>
              <w:pStyle w:val="tablecopy"/>
            </w:pPr>
            <w:r>
              <w:t>Financial Knowledge (X₁)</w:t>
            </w:r>
          </w:p>
        </w:tc>
        <w:tc>
          <w:tcPr>
            <w:tcW w:w="32.80pt" w:type="dxa"/>
            <w:vAlign w:val="center"/>
          </w:tcPr>
          <w:p w14:paraId="640F9BDB" w14:textId="77777777" w:rsidR="002C6421" w:rsidRDefault="002C6421" w:rsidP="00CD0B8B">
            <w:pPr>
              <w:rPr>
                <w:sz w:val="16"/>
                <w:szCs w:val="16"/>
              </w:rPr>
            </w:pPr>
            <w:r>
              <w:rPr>
                <w:sz w:val="16"/>
                <w:szCs w:val="16"/>
              </w:rPr>
              <w:t>0.004</w:t>
            </w:r>
          </w:p>
        </w:tc>
        <w:tc>
          <w:tcPr>
            <w:tcW w:w="42.55pt" w:type="dxa"/>
            <w:vAlign w:val="center"/>
          </w:tcPr>
          <w:p w14:paraId="45DB1778" w14:textId="77777777" w:rsidR="002C6421" w:rsidRDefault="002C6421" w:rsidP="00CD0B8B">
            <w:pPr>
              <w:rPr>
                <w:sz w:val="16"/>
                <w:szCs w:val="16"/>
              </w:rPr>
            </w:pPr>
            <w:r>
              <w:rPr>
                <w:sz w:val="16"/>
                <w:szCs w:val="16"/>
              </w:rPr>
              <w:t>0.0293</w:t>
            </w:r>
          </w:p>
        </w:tc>
        <w:tc>
          <w:tcPr>
            <w:tcW w:w="33.35pt" w:type="dxa"/>
          </w:tcPr>
          <w:p w14:paraId="01203A8D" w14:textId="77777777" w:rsidR="002C6421" w:rsidRPr="003E4844" w:rsidRDefault="002C6421" w:rsidP="00CD0B8B">
            <w:pPr>
              <w:rPr>
                <w:sz w:val="16"/>
                <w:szCs w:val="16"/>
              </w:rPr>
            </w:pPr>
            <w:r>
              <w:rPr>
                <w:sz w:val="16"/>
                <w:szCs w:val="16"/>
              </w:rPr>
              <w:t>&lt;0.05</w:t>
            </w:r>
          </w:p>
        </w:tc>
        <w:tc>
          <w:tcPr>
            <w:tcW w:w="57.90pt" w:type="dxa"/>
          </w:tcPr>
          <w:p w14:paraId="4C72F289" w14:textId="77777777" w:rsidR="002C6421" w:rsidRPr="003E4844" w:rsidRDefault="002C6421" w:rsidP="00CD0B8B">
            <w:pPr>
              <w:rPr>
                <w:sz w:val="16"/>
                <w:szCs w:val="16"/>
              </w:rPr>
            </w:pPr>
            <w:r>
              <w:rPr>
                <w:sz w:val="16"/>
                <w:szCs w:val="16"/>
              </w:rPr>
              <w:t>Significant</w:t>
            </w:r>
          </w:p>
        </w:tc>
      </w:tr>
      <w:tr w:rsidR="002C6421" w14:paraId="31D90DA0" w14:textId="77777777" w:rsidTr="00CD0B8B">
        <w:trPr>
          <w:trHeight w:val="320"/>
          <w:jc w:val="center"/>
        </w:trPr>
        <w:tc>
          <w:tcPr>
            <w:tcW w:w="54.20pt" w:type="dxa"/>
            <w:vAlign w:val="center"/>
          </w:tcPr>
          <w:p w14:paraId="5E603C9B" w14:textId="77777777" w:rsidR="002C6421" w:rsidRDefault="002C6421" w:rsidP="00CD0B8B">
            <w:pPr>
              <w:pStyle w:val="tablecopy"/>
            </w:pPr>
            <w:r>
              <w:t>Financial Behavior (X₂)</w:t>
            </w:r>
          </w:p>
        </w:tc>
        <w:tc>
          <w:tcPr>
            <w:tcW w:w="32.80pt" w:type="dxa"/>
            <w:vAlign w:val="center"/>
          </w:tcPr>
          <w:p w14:paraId="2D01E159" w14:textId="77777777" w:rsidR="002C6421" w:rsidRDefault="002C6421" w:rsidP="00CD0B8B">
            <w:pPr>
              <w:rPr>
                <w:sz w:val="16"/>
                <w:szCs w:val="16"/>
              </w:rPr>
            </w:pPr>
            <w:r>
              <w:rPr>
                <w:sz w:val="16"/>
                <w:szCs w:val="16"/>
              </w:rPr>
              <w:t>0.005</w:t>
            </w:r>
          </w:p>
        </w:tc>
        <w:tc>
          <w:tcPr>
            <w:tcW w:w="42.55pt" w:type="dxa"/>
            <w:vAlign w:val="center"/>
          </w:tcPr>
          <w:p w14:paraId="3C2EE168" w14:textId="77777777" w:rsidR="002C6421" w:rsidRDefault="002C6421" w:rsidP="00CD0B8B">
            <w:pPr>
              <w:rPr>
                <w:sz w:val="16"/>
                <w:szCs w:val="16"/>
              </w:rPr>
            </w:pPr>
            <w:r>
              <w:rPr>
                <w:sz w:val="16"/>
                <w:szCs w:val="16"/>
              </w:rPr>
              <w:t>0.0390</w:t>
            </w:r>
          </w:p>
        </w:tc>
        <w:tc>
          <w:tcPr>
            <w:tcW w:w="33.35pt" w:type="dxa"/>
          </w:tcPr>
          <w:p w14:paraId="6D8A36F5" w14:textId="77777777" w:rsidR="002C6421" w:rsidRPr="003E4844" w:rsidRDefault="002C6421" w:rsidP="00CD0B8B">
            <w:pPr>
              <w:rPr>
                <w:sz w:val="16"/>
                <w:szCs w:val="16"/>
              </w:rPr>
            </w:pPr>
            <w:r>
              <w:rPr>
                <w:sz w:val="16"/>
                <w:szCs w:val="16"/>
              </w:rPr>
              <w:t>&lt;0.05</w:t>
            </w:r>
          </w:p>
        </w:tc>
        <w:tc>
          <w:tcPr>
            <w:tcW w:w="57.90pt" w:type="dxa"/>
          </w:tcPr>
          <w:p w14:paraId="6A6B4F96" w14:textId="77777777" w:rsidR="002C6421" w:rsidRPr="003E4844" w:rsidRDefault="002C6421" w:rsidP="00CD0B8B">
            <w:pPr>
              <w:rPr>
                <w:sz w:val="16"/>
                <w:szCs w:val="16"/>
              </w:rPr>
            </w:pPr>
            <w:r>
              <w:rPr>
                <w:sz w:val="16"/>
                <w:szCs w:val="16"/>
              </w:rPr>
              <w:t>Significant</w:t>
            </w:r>
          </w:p>
        </w:tc>
      </w:tr>
      <w:tr w:rsidR="002C6421" w14:paraId="513E2CB9" w14:textId="77777777" w:rsidTr="00CD0B8B">
        <w:trPr>
          <w:trHeight w:val="320"/>
          <w:jc w:val="center"/>
        </w:trPr>
        <w:tc>
          <w:tcPr>
            <w:tcW w:w="54.20pt" w:type="dxa"/>
            <w:vAlign w:val="center"/>
          </w:tcPr>
          <w:p w14:paraId="6EEC8EAF" w14:textId="77777777" w:rsidR="002C6421" w:rsidRDefault="002C6421" w:rsidP="00CD0B8B">
            <w:pPr>
              <w:pStyle w:val="tablecopy"/>
            </w:pPr>
            <w:r>
              <w:t>Financial Attitude (X₃)</w:t>
            </w:r>
          </w:p>
        </w:tc>
        <w:tc>
          <w:tcPr>
            <w:tcW w:w="32.80pt" w:type="dxa"/>
            <w:vAlign w:val="center"/>
          </w:tcPr>
          <w:p w14:paraId="042ACE6F" w14:textId="77777777" w:rsidR="002C6421" w:rsidRDefault="002C6421" w:rsidP="00CD0B8B">
            <w:pPr>
              <w:rPr>
                <w:sz w:val="16"/>
                <w:szCs w:val="16"/>
              </w:rPr>
            </w:pPr>
            <w:r>
              <w:rPr>
                <w:sz w:val="16"/>
                <w:szCs w:val="16"/>
              </w:rPr>
              <w:t>0.008</w:t>
            </w:r>
          </w:p>
        </w:tc>
        <w:tc>
          <w:tcPr>
            <w:tcW w:w="42.55pt" w:type="dxa"/>
            <w:vAlign w:val="center"/>
          </w:tcPr>
          <w:p w14:paraId="793E195D" w14:textId="77777777" w:rsidR="002C6421" w:rsidRDefault="002C6421" w:rsidP="00CD0B8B">
            <w:pPr>
              <w:rPr>
                <w:sz w:val="16"/>
                <w:szCs w:val="16"/>
              </w:rPr>
            </w:pPr>
            <w:r>
              <w:rPr>
                <w:sz w:val="16"/>
                <w:szCs w:val="16"/>
              </w:rPr>
              <w:t>0.0474</w:t>
            </w:r>
          </w:p>
        </w:tc>
        <w:tc>
          <w:tcPr>
            <w:tcW w:w="33.35pt" w:type="dxa"/>
            <w:tcBorders>
              <w:bottom w:val="single" w:sz="4" w:space="0" w:color="auto"/>
            </w:tcBorders>
          </w:tcPr>
          <w:p w14:paraId="5E6008F5" w14:textId="77777777" w:rsidR="002C6421" w:rsidRPr="003E4844" w:rsidRDefault="002C6421" w:rsidP="00CD0B8B">
            <w:pPr>
              <w:rPr>
                <w:sz w:val="16"/>
                <w:szCs w:val="16"/>
              </w:rPr>
            </w:pPr>
            <w:r>
              <w:rPr>
                <w:sz w:val="16"/>
                <w:szCs w:val="16"/>
              </w:rPr>
              <w:t>&lt;0.05</w:t>
            </w:r>
          </w:p>
        </w:tc>
        <w:tc>
          <w:tcPr>
            <w:tcW w:w="57.90pt" w:type="dxa"/>
          </w:tcPr>
          <w:p w14:paraId="254488BB" w14:textId="77777777" w:rsidR="002C6421" w:rsidRPr="003E4844" w:rsidRDefault="002C6421" w:rsidP="00CD0B8B">
            <w:pPr>
              <w:rPr>
                <w:sz w:val="16"/>
                <w:szCs w:val="16"/>
              </w:rPr>
            </w:pPr>
            <w:r>
              <w:rPr>
                <w:sz w:val="16"/>
                <w:szCs w:val="16"/>
              </w:rPr>
              <w:t>Significant</w:t>
            </w:r>
          </w:p>
        </w:tc>
      </w:tr>
    </w:tbl>
    <w:p w14:paraId="59469749" w14:textId="77777777" w:rsidR="002C6421" w:rsidRDefault="002C6421" w:rsidP="002C6421">
      <w:pPr>
        <w:pStyle w:val="BodyText"/>
      </w:pPr>
    </w:p>
    <w:p w14:paraId="0426C2CF" w14:textId="344F2906" w:rsidR="002C6421" w:rsidRDefault="002C6421" w:rsidP="000C42BA">
      <w:pPr>
        <w:pStyle w:val="BodyText"/>
        <w:jc w:val="end"/>
        <w:rPr>
          <w:rFonts w:ascii="Cambria Math" w:hAnsi="Cambria Math" w:cs="Cambria Math"/>
        </w:rPr>
      </w:pPr>
      <w:r w:rsidRPr="00A0468E">
        <w:t>Y=3.665+0.004X₁​+0.005X₂​+0.008X₃+</w:t>
      </w:r>
      <w:r w:rsidRPr="00A0468E">
        <w:rPr>
          <w:rFonts w:ascii="Cambria Math" w:hAnsi="Cambria Math" w:cs="Cambria Math"/>
        </w:rPr>
        <w:t>𝑒</w:t>
      </w:r>
      <w:r w:rsidR="000C42BA">
        <w:rPr>
          <w:rFonts w:ascii="Cambria Math" w:hAnsi="Cambria Math" w:cs="Cambria Math"/>
        </w:rPr>
        <w:tab/>
      </w:r>
      <w:r w:rsidR="000C42BA">
        <w:rPr>
          <w:rFonts w:ascii="Cambria Math" w:hAnsi="Cambria Math" w:cs="Cambria Math"/>
        </w:rPr>
        <w:tab/>
        <w:t>(2)</w:t>
      </w:r>
    </w:p>
    <w:p w14:paraId="5E0C3944" w14:textId="6768443C" w:rsidR="002C6421" w:rsidRPr="00A0468E" w:rsidRDefault="002C6421" w:rsidP="002C6421">
      <w:pPr>
        <w:pStyle w:val="BodyText"/>
        <w:rPr>
          <w:rFonts w:ascii="Cambria Math" w:hAnsi="Cambria Math" w:cs="Cambria Math"/>
        </w:rPr>
      </w:pPr>
      <w:r w:rsidRPr="00A0468E">
        <w:rPr>
          <w:rFonts w:ascii="Cambria Math" w:hAnsi="Cambria Math" w:cs="Cambria Math"/>
        </w:rPr>
        <w:t>The regression results</w:t>
      </w:r>
      <w:r w:rsidR="00EC3508">
        <w:rPr>
          <w:rFonts w:ascii="Cambria Math" w:hAnsi="Cambria Math" w:cs="Cambria Math"/>
        </w:rPr>
        <w:t xml:space="preserve"> (2)</w:t>
      </w:r>
      <w:r w:rsidRPr="00A0468E">
        <w:rPr>
          <w:rFonts w:ascii="Cambria Math" w:hAnsi="Cambria Math" w:cs="Cambria Math"/>
        </w:rPr>
        <w:t xml:space="preserve"> reveal that financial literacy variables have a significant impact on academic performance among students of Universitas Telkom, Bandung. Although the coefficients were positive, their magnitudes were relatively small, suggesting that improvements in financial literacy contribute only modestly to GPA outcomes. This indicates that while digital and IoT-based learning tools can enhance accessibility and interactivity, their effectiveness still depends on </w:t>
      </w:r>
      <w:proofErr w:type="spellStart"/>
      <w:r w:rsidRPr="00A0468E">
        <w:rPr>
          <w:rFonts w:ascii="Cambria Math" w:hAnsi="Cambria Math" w:cs="Cambria Math"/>
        </w:rPr>
        <w:t>behavioral</w:t>
      </w:r>
      <w:proofErr w:type="spellEnd"/>
      <w:r w:rsidRPr="00A0468E">
        <w:rPr>
          <w:rFonts w:ascii="Cambria Math" w:hAnsi="Cambria Math" w:cs="Cambria Math"/>
        </w:rPr>
        <w:t xml:space="preserve"> engagement and metacognitive regulation.</w:t>
      </w:r>
    </w:p>
    <w:p w14:paraId="15FDDD24" w14:textId="77777777" w:rsidR="002C6421" w:rsidRPr="00A0468E" w:rsidRDefault="002C6421" w:rsidP="002C6421">
      <w:pPr>
        <w:pStyle w:val="BodyText"/>
        <w:rPr>
          <w:rFonts w:ascii="Cambria Math" w:hAnsi="Cambria Math" w:cs="Cambria Math"/>
        </w:rPr>
      </w:pPr>
      <w:r w:rsidRPr="00A0468E">
        <w:rPr>
          <w:rFonts w:ascii="Cambria Math" w:hAnsi="Cambria Math" w:cs="Cambria Math"/>
        </w:rPr>
        <w:lastRenderedPageBreak/>
        <w:t xml:space="preserve">This finding aligns with </w:t>
      </w:r>
      <w:proofErr w:type="spellStart"/>
      <w:r w:rsidRPr="00A0468E">
        <w:rPr>
          <w:rFonts w:ascii="Cambria Math" w:hAnsi="Cambria Math" w:cs="Cambria Math"/>
        </w:rPr>
        <w:t>Susetyo</w:t>
      </w:r>
      <w:proofErr w:type="spellEnd"/>
      <w:r w:rsidRPr="00A0468E">
        <w:rPr>
          <w:rFonts w:ascii="Cambria Math" w:hAnsi="Cambria Math" w:cs="Cambria Math"/>
        </w:rPr>
        <w:t xml:space="preserve"> (2024), who observed a weak relationship between financial literacy ability and student achievement in Indonesian universities, implying that conceptual understanding alone—whether delivered through traditional or IoT-based learning platforms—is insufficient to enhance academic outcomes. Similarly, Dumdum et al. (2025) emphasized that even students with strong cognitive skills did not necessarily perform better in finance-related courses unless supported by </w:t>
      </w:r>
      <w:proofErr w:type="spellStart"/>
      <w:r w:rsidRPr="00A0468E">
        <w:rPr>
          <w:rFonts w:ascii="Cambria Math" w:hAnsi="Cambria Math" w:cs="Cambria Math"/>
        </w:rPr>
        <w:t>behavioral</w:t>
      </w:r>
      <w:proofErr w:type="spellEnd"/>
      <w:r w:rsidRPr="00A0468E">
        <w:rPr>
          <w:rFonts w:ascii="Cambria Math" w:hAnsi="Cambria Math" w:cs="Cambria Math"/>
        </w:rPr>
        <w:t xml:space="preserve"> and motivational reinforcement, elements that can be strengthened through adaptive and feedback-driven IoT systems.</w:t>
      </w:r>
    </w:p>
    <w:p w14:paraId="47197616" w14:textId="77777777" w:rsidR="002C6421" w:rsidRPr="00A0468E" w:rsidRDefault="002C6421" w:rsidP="002C6421">
      <w:pPr>
        <w:pStyle w:val="BodyText"/>
        <w:rPr>
          <w:rFonts w:ascii="Cambria Math" w:hAnsi="Cambria Math" w:cs="Cambria Math"/>
        </w:rPr>
      </w:pPr>
      <w:r w:rsidRPr="00A0468E">
        <w:rPr>
          <w:rFonts w:ascii="Cambria Math" w:hAnsi="Cambria Math" w:cs="Cambria Math"/>
        </w:rPr>
        <w:t xml:space="preserve">From a psychological perspective, </w:t>
      </w:r>
      <w:proofErr w:type="spellStart"/>
      <w:r w:rsidRPr="00A0468E">
        <w:rPr>
          <w:rFonts w:ascii="Cambria Math" w:hAnsi="Cambria Math" w:cs="Cambria Math"/>
        </w:rPr>
        <w:t>Merter</w:t>
      </w:r>
      <w:proofErr w:type="spellEnd"/>
      <w:r w:rsidRPr="00A0468E">
        <w:rPr>
          <w:rFonts w:ascii="Cambria Math" w:hAnsi="Cambria Math" w:cs="Cambria Math"/>
        </w:rPr>
        <w:t xml:space="preserve"> (2025) highlighted the importance of metacognitive regulation—the capacity to plan, monitor, and evaluate one’s learning—as a key factor in improving decision-making. IoT-enabled platforms that provide real-time analytics and learning feedback could serve this role, helping students translate financial knowledge into effective academic and financial outcomes. This observation complements Hermawan et al. (2019) and </w:t>
      </w:r>
      <w:proofErr w:type="spellStart"/>
      <w:r w:rsidRPr="00A0468E">
        <w:rPr>
          <w:rFonts w:ascii="Cambria Math" w:hAnsi="Cambria Math" w:cs="Cambria Math"/>
        </w:rPr>
        <w:t>Otbiçer</w:t>
      </w:r>
      <w:proofErr w:type="spellEnd"/>
      <w:r w:rsidRPr="00A0468E">
        <w:rPr>
          <w:rFonts w:ascii="Cambria Math" w:hAnsi="Cambria Math" w:cs="Cambria Math"/>
        </w:rPr>
        <w:t xml:space="preserve"> (2023), who noted that self-efficacy and math anxiety influence how students engage with financial concepts, suggesting that technology-supported personalization can help mitigate these barriers.</w:t>
      </w:r>
    </w:p>
    <w:p w14:paraId="36D3F2D3" w14:textId="77777777" w:rsidR="002C6421" w:rsidRPr="00A0468E" w:rsidRDefault="002C6421" w:rsidP="002C6421">
      <w:pPr>
        <w:pStyle w:val="BodyText"/>
        <w:rPr>
          <w:rFonts w:ascii="Cambria Math" w:hAnsi="Cambria Math" w:cs="Cambria Math"/>
        </w:rPr>
      </w:pPr>
      <w:r w:rsidRPr="00A0468E">
        <w:rPr>
          <w:rFonts w:ascii="Cambria Math" w:hAnsi="Cambria Math" w:cs="Cambria Math"/>
        </w:rPr>
        <w:t xml:space="preserve">Gender and </w:t>
      </w:r>
      <w:proofErr w:type="spellStart"/>
      <w:r w:rsidRPr="00A0468E">
        <w:rPr>
          <w:rFonts w:ascii="Cambria Math" w:hAnsi="Cambria Math" w:cs="Cambria Math"/>
        </w:rPr>
        <w:t>behavioral</w:t>
      </w:r>
      <w:proofErr w:type="spellEnd"/>
      <w:r w:rsidRPr="00A0468E">
        <w:rPr>
          <w:rFonts w:ascii="Cambria Math" w:hAnsi="Cambria Math" w:cs="Cambria Math"/>
        </w:rPr>
        <w:t xml:space="preserve"> differences may also contribute to the observed variation. Berlinger (2025) found that gender-based financial </w:t>
      </w:r>
      <w:proofErr w:type="spellStart"/>
      <w:r w:rsidRPr="00A0468E">
        <w:rPr>
          <w:rFonts w:ascii="Cambria Math" w:hAnsi="Cambria Math" w:cs="Cambria Math"/>
        </w:rPr>
        <w:t>behaviors</w:t>
      </w:r>
      <w:proofErr w:type="spellEnd"/>
      <w:r w:rsidRPr="00A0468E">
        <w:rPr>
          <w:rFonts w:ascii="Cambria Math" w:hAnsi="Cambria Math" w:cs="Cambria Math"/>
        </w:rPr>
        <w:t xml:space="preserve"> moderate the literacy–performance link, with differing confidence levels between male and female students. IoT-based educational environments could potentially address these gaps by offering individualized feedback and adaptive content delivery that fosters equal learning opportunities.</w:t>
      </w:r>
    </w:p>
    <w:p w14:paraId="2CA37982" w14:textId="77777777" w:rsidR="00A62010" w:rsidRDefault="002C6421" w:rsidP="002C6421">
      <w:pPr>
        <w:pStyle w:val="BodyText"/>
        <w:rPr>
          <w:rFonts w:ascii="Cambria Math" w:hAnsi="Cambria Math" w:cs="Cambria Math"/>
        </w:rPr>
      </w:pPr>
      <w:r w:rsidRPr="00A0468E">
        <w:rPr>
          <w:rFonts w:ascii="Cambria Math" w:hAnsi="Cambria Math" w:cs="Cambria Math"/>
        </w:rPr>
        <w:t>Moreover, the systematic review of financial literacy determinants across 53 Scopus-indexed studies (Determinants Review, 2024) concluded that outcomes depend heavily on contextual variables such as institutional support, socio-economic background, and self-regulation. IoT technologies can capture these contextual dynamics more precisely, providing educators with real-time insights to design targeted interventions. Similarly, Pura (2022) demonstrated that demographic and numeracy differences significantly influence financial literacy outcomes, reinforcing the need for adaptive IoT frameworks that accommodate diverse student profiles.</w:t>
      </w:r>
      <w:r w:rsidR="00A62010">
        <w:rPr>
          <w:rFonts w:ascii="Cambria Math" w:hAnsi="Cambria Math" w:cs="Cambria Math"/>
        </w:rPr>
        <w:t xml:space="preserve"> </w:t>
      </w:r>
    </w:p>
    <w:p w14:paraId="7C175168" w14:textId="51229C6C" w:rsidR="002C6421" w:rsidRPr="00A0468E" w:rsidRDefault="00A62010" w:rsidP="002C6421">
      <w:pPr>
        <w:pStyle w:val="BodyText"/>
        <w:rPr>
          <w:rFonts w:ascii="Cambria Math" w:hAnsi="Cambria Math" w:cs="Cambria Math"/>
        </w:rPr>
      </w:pPr>
      <w:r w:rsidRPr="00A62010">
        <w:rPr>
          <w:rFonts w:ascii="Cambria Math" w:hAnsi="Cambria Math" w:cs="Cambria Math"/>
        </w:rPr>
        <w:t>These results are consistent with prior studies</w:t>
      </w:r>
      <w:r w:rsidR="00AB5DE0">
        <w:rPr>
          <w:rFonts w:ascii="Cambria Math" w:hAnsi="Cambria Math" w:cs="Cambria Math"/>
        </w:rPr>
        <w:t xml:space="preserve"> (</w:t>
      </w:r>
      <w:r w:rsidRPr="00A62010">
        <w:rPr>
          <w:rFonts w:ascii="Cambria Math" w:hAnsi="Cambria Math" w:cs="Cambria Math"/>
        </w:rPr>
        <w:t xml:space="preserve"> </w:t>
      </w:r>
      <w:proofErr w:type="spellStart"/>
      <w:r w:rsidR="00A0350F" w:rsidRPr="00A0350F">
        <w:rPr>
          <w:rFonts w:ascii="Cambria Math" w:hAnsi="Cambria Math" w:cs="Cambria Math"/>
        </w:rPr>
        <w:t>Asadsangabi</w:t>
      </w:r>
      <w:proofErr w:type="spellEnd"/>
      <w:r w:rsidR="00A0350F">
        <w:rPr>
          <w:rFonts w:ascii="Cambria Math" w:hAnsi="Cambria Math" w:cs="Cambria Math"/>
        </w:rPr>
        <w:t xml:space="preserve">, 2025) </w:t>
      </w:r>
      <w:r w:rsidRPr="00A62010">
        <w:rPr>
          <w:rFonts w:ascii="Cambria Math" w:hAnsi="Cambria Math" w:cs="Cambria Math"/>
        </w:rPr>
        <w:t>indicating that IoT-enabled learning environments enhance students’ financial literacy and academic outcomes by supporting personalized learning, continuous feedback, and data-driven instructional adjustments</w:t>
      </w:r>
      <w:r w:rsidR="00AB5DE0">
        <w:rPr>
          <w:rFonts w:ascii="Cambria Math" w:hAnsi="Cambria Math" w:cs="Cambria Math"/>
        </w:rPr>
        <w:t>.</w:t>
      </w:r>
    </w:p>
    <w:p w14:paraId="47BD6211" w14:textId="259AEAEF" w:rsidR="002C6421" w:rsidRPr="002C6421" w:rsidRDefault="002C6421" w:rsidP="002C6421">
      <w:pPr>
        <w:ind w:firstLine="14.40pt"/>
        <w:jc w:val="start"/>
      </w:pPr>
      <w:r w:rsidRPr="00A0468E">
        <w:rPr>
          <w:rFonts w:ascii="Cambria Math" w:hAnsi="Cambria Math" w:cs="Cambria Math"/>
        </w:rPr>
        <w:t xml:space="preserve">In conclusion, while financial literacy remains essential for long-term financial well-being, its short-term academic effects appear limited without technological and behavioral integration. The findings suggest that universities should embed IoT-enabled experiential learning—such as interactive financial simulations, smart </w:t>
      </w:r>
      <w:r w:rsidRPr="00A0468E">
        <w:rPr>
          <w:rFonts w:ascii="Cambria Math" w:hAnsi="Cambria Math" w:cs="Cambria Math"/>
        </w:rPr>
        <w:t xml:space="preserve">budgeting dashboards, and personalized analytics—into their curricula. Consistent with Lee (2010) and </w:t>
      </w:r>
      <w:proofErr w:type="spellStart"/>
      <w:r w:rsidRPr="00A0468E">
        <w:rPr>
          <w:rFonts w:ascii="Cambria Math" w:hAnsi="Cambria Math" w:cs="Cambria Math"/>
        </w:rPr>
        <w:t>Amagir</w:t>
      </w:r>
      <w:proofErr w:type="spellEnd"/>
      <w:r w:rsidRPr="00A0468E">
        <w:rPr>
          <w:rFonts w:ascii="Cambria Math" w:hAnsi="Cambria Math" w:cs="Cambria Math"/>
        </w:rPr>
        <w:t xml:space="preserve"> et al. (2018), such technology-driven, behaviorally informed education could enhance both conceptual mastery and real-world application of financial literacy.</w:t>
      </w:r>
    </w:p>
    <w:p w14:paraId="0B340DA2" w14:textId="314DAAA1" w:rsidR="00A0468E" w:rsidRPr="002C6421" w:rsidRDefault="002C6421" w:rsidP="002C6421">
      <w:pPr>
        <w:pStyle w:val="Heading1"/>
      </w:pPr>
      <w:r>
        <w:t>Conclusion and recommendations</w:t>
      </w:r>
    </w:p>
    <w:p w14:paraId="3EB65EEC" w14:textId="5E9A4CFC" w:rsidR="002C6421" w:rsidRPr="002C6421" w:rsidRDefault="002C6421" w:rsidP="002C6421">
      <w:pPr>
        <w:pStyle w:val="BodyText"/>
        <w:rPr>
          <w:rFonts w:ascii="Cambria Math" w:hAnsi="Cambria Math" w:cs="Cambria Math"/>
        </w:rPr>
      </w:pPr>
      <w:r w:rsidRPr="002C6421">
        <w:rPr>
          <w:rFonts w:ascii="Cambria Math" w:hAnsi="Cambria Math" w:cs="Cambria Math"/>
        </w:rPr>
        <w:t xml:space="preserve">This study examined the influence of financial literacy—measured through knowledge, </w:t>
      </w:r>
      <w:proofErr w:type="spellStart"/>
      <w:r w:rsidRPr="002C6421">
        <w:rPr>
          <w:rFonts w:ascii="Cambria Math" w:hAnsi="Cambria Math" w:cs="Cambria Math"/>
        </w:rPr>
        <w:t>behavior</w:t>
      </w:r>
      <w:proofErr w:type="spellEnd"/>
      <w:r w:rsidRPr="002C6421">
        <w:rPr>
          <w:rFonts w:ascii="Cambria Math" w:hAnsi="Cambria Math" w:cs="Cambria Math"/>
        </w:rPr>
        <w:t>, and attitude—on the academic performance of students in Bandung. Using multiple linear regression, the analysis revealed that none of the three dimensions had a statistically significant effect on GPA. Although all coefficients were positive, their magnitudes were weak, indicating that improvements in financial literacy alone do not directly translate into better academic results. These findings suggest that while financial literacy is essential for personal financial management, its impact on academic performance depends on how effectively learning is supported by interactive and technology-based environments.</w:t>
      </w:r>
    </w:p>
    <w:p w14:paraId="288309C3" w14:textId="6088473F" w:rsidR="002C6421" w:rsidRPr="002C6421" w:rsidRDefault="002C6421" w:rsidP="002C6421">
      <w:pPr>
        <w:pStyle w:val="BodyText"/>
        <w:rPr>
          <w:rFonts w:ascii="Cambria Math" w:hAnsi="Cambria Math" w:cs="Cambria Math"/>
        </w:rPr>
      </w:pPr>
      <w:r w:rsidRPr="002C6421">
        <w:rPr>
          <w:rFonts w:ascii="Cambria Math" w:hAnsi="Cambria Math" w:cs="Cambria Math"/>
        </w:rPr>
        <w:t xml:space="preserve">The results align with prior studies emphasizing that financial literacy primarily shapes </w:t>
      </w:r>
      <w:proofErr w:type="spellStart"/>
      <w:r w:rsidRPr="002C6421">
        <w:rPr>
          <w:rFonts w:ascii="Cambria Math" w:hAnsi="Cambria Math" w:cs="Cambria Math"/>
        </w:rPr>
        <w:t>behavioral</w:t>
      </w:r>
      <w:proofErr w:type="spellEnd"/>
      <w:r w:rsidRPr="002C6421">
        <w:rPr>
          <w:rFonts w:ascii="Cambria Math" w:hAnsi="Cambria Math" w:cs="Cambria Math"/>
        </w:rPr>
        <w:t xml:space="preserve"> and decision-making skills rather than immediate academic indicators (</w:t>
      </w:r>
      <w:proofErr w:type="spellStart"/>
      <w:r w:rsidRPr="002C6421">
        <w:rPr>
          <w:rFonts w:ascii="Cambria Math" w:hAnsi="Cambria Math" w:cs="Cambria Math"/>
        </w:rPr>
        <w:t>Susetyo</w:t>
      </w:r>
      <w:proofErr w:type="spellEnd"/>
      <w:r w:rsidRPr="002C6421">
        <w:rPr>
          <w:rFonts w:ascii="Cambria Math" w:hAnsi="Cambria Math" w:cs="Cambria Math"/>
        </w:rPr>
        <w:t xml:space="preserve">, 2024; Dumdum et al., 2025). This reinforces the notion that effective financial education requires more than theoretical instruction—it must integrate </w:t>
      </w:r>
      <w:proofErr w:type="spellStart"/>
      <w:r w:rsidRPr="002C6421">
        <w:rPr>
          <w:rFonts w:ascii="Cambria Math" w:hAnsi="Cambria Math" w:cs="Cambria Math"/>
        </w:rPr>
        <w:t>behavioral</w:t>
      </w:r>
      <w:proofErr w:type="spellEnd"/>
      <w:r w:rsidRPr="002C6421">
        <w:rPr>
          <w:rFonts w:ascii="Cambria Math" w:hAnsi="Cambria Math" w:cs="Cambria Math"/>
        </w:rPr>
        <w:t xml:space="preserve"> feedback and self-regulated learning, both of which can be enhanced through IoT-based learning systems. Smart educational platforms can track learning </w:t>
      </w:r>
      <w:proofErr w:type="spellStart"/>
      <w:r w:rsidRPr="002C6421">
        <w:rPr>
          <w:rFonts w:ascii="Cambria Math" w:hAnsi="Cambria Math" w:cs="Cambria Math"/>
        </w:rPr>
        <w:t>behavior</w:t>
      </w:r>
      <w:proofErr w:type="spellEnd"/>
      <w:r w:rsidRPr="002C6421">
        <w:rPr>
          <w:rFonts w:ascii="Cambria Math" w:hAnsi="Cambria Math" w:cs="Cambria Math"/>
        </w:rPr>
        <w:t>, monitor progress, and provide adaptive feedback that strengthens both comprehension and engagement.</w:t>
      </w:r>
    </w:p>
    <w:p w14:paraId="7A778D54" w14:textId="672224B6" w:rsidR="002C6421" w:rsidRPr="002C6421" w:rsidRDefault="002C6421" w:rsidP="002C6421">
      <w:pPr>
        <w:pStyle w:val="BodyText"/>
        <w:rPr>
          <w:rFonts w:ascii="Cambria Math" w:hAnsi="Cambria Math" w:cs="Cambria Math"/>
        </w:rPr>
      </w:pPr>
      <w:r w:rsidRPr="002C6421">
        <w:rPr>
          <w:rFonts w:ascii="Cambria Math" w:hAnsi="Cambria Math" w:cs="Cambria Math"/>
        </w:rPr>
        <w:t xml:space="preserve">Based on these results, several recommendations can be made for educators, institutions, and future researchers. Universities should integrate IoT-enabled experiential learning—such as real-time financial simulations, digital dashboards, and interactive budgeting applications—to make financial literacy learning more engaging and data-driven. Financial literacy programs should also address </w:t>
      </w:r>
      <w:proofErr w:type="spellStart"/>
      <w:r w:rsidRPr="002C6421">
        <w:rPr>
          <w:rFonts w:ascii="Cambria Math" w:hAnsi="Cambria Math" w:cs="Cambria Math"/>
        </w:rPr>
        <w:t>behavioral</w:t>
      </w:r>
      <w:proofErr w:type="spellEnd"/>
      <w:r w:rsidRPr="002C6421">
        <w:rPr>
          <w:rFonts w:ascii="Cambria Math" w:hAnsi="Cambria Math" w:cs="Cambria Math"/>
        </w:rPr>
        <w:t xml:space="preserve"> and emotional factors, including financial confidence and stress management, by using technology that supports personalized guidance and feedback loops. Collaboration between universities and financial practitioners can further improve learning design through the use of connected tools that replicate real-world financial environments.</w:t>
      </w:r>
    </w:p>
    <w:p w14:paraId="53E8358D" w14:textId="5775D5DC" w:rsidR="002C6421" w:rsidRDefault="002C6421" w:rsidP="002C6421">
      <w:pPr>
        <w:pStyle w:val="BodyText"/>
        <w:rPr>
          <w:rFonts w:ascii="Cambria Math" w:hAnsi="Cambria Math" w:cs="Cambria Math"/>
        </w:rPr>
      </w:pPr>
      <w:r w:rsidRPr="002C6421">
        <w:rPr>
          <w:rFonts w:ascii="Cambria Math" w:hAnsi="Cambria Math" w:cs="Cambria Math"/>
        </w:rPr>
        <w:t xml:space="preserve">Future research should extend this model by incorporating mediating variables such as self-efficacy, motivation, and socio-economic background, while also examining how IoT-based analytics and adaptive systems influence learning </w:t>
      </w:r>
      <w:proofErr w:type="spellStart"/>
      <w:r w:rsidRPr="002C6421">
        <w:rPr>
          <w:rFonts w:ascii="Cambria Math" w:hAnsi="Cambria Math" w:cs="Cambria Math"/>
        </w:rPr>
        <w:t>behavior</w:t>
      </w:r>
      <w:proofErr w:type="spellEnd"/>
      <w:r w:rsidRPr="002C6421">
        <w:rPr>
          <w:rFonts w:ascii="Cambria Math" w:hAnsi="Cambria Math" w:cs="Cambria Math"/>
        </w:rPr>
        <w:t xml:space="preserve">. By combining </w:t>
      </w:r>
      <w:proofErr w:type="spellStart"/>
      <w:r w:rsidRPr="002C6421">
        <w:rPr>
          <w:rFonts w:ascii="Cambria Math" w:hAnsi="Cambria Math" w:cs="Cambria Math"/>
        </w:rPr>
        <w:t>behavioral</w:t>
      </w:r>
      <w:proofErr w:type="spellEnd"/>
      <w:r w:rsidRPr="002C6421">
        <w:rPr>
          <w:rFonts w:ascii="Cambria Math" w:hAnsi="Cambria Math" w:cs="Cambria Math"/>
        </w:rPr>
        <w:t xml:space="preserve"> insight with IoT-supported learning ecosystems, higher education can foster more effective, scalable, and technology-integrated approaches to financial literacy development.</w:t>
      </w:r>
      <w:r>
        <w:rPr>
          <w:rFonts w:ascii="Cambria Math" w:hAnsi="Cambria Math" w:cs="Cambria Math"/>
        </w:rPr>
        <w:t xml:space="preserve"> </w:t>
      </w:r>
    </w:p>
    <w:p w14:paraId="762EC548" w14:textId="2DFEFA43" w:rsidR="009303D9" w:rsidRPr="005B520E" w:rsidRDefault="009303D9" w:rsidP="00475A24">
      <w:pPr>
        <w:pStyle w:val="Heading5"/>
      </w:pPr>
      <w:r w:rsidRPr="005B520E">
        <w:t>References</w:t>
      </w:r>
    </w:p>
    <w:p w14:paraId="58751305" w14:textId="5B99CE63" w:rsidR="00475A24" w:rsidRDefault="00475A24" w:rsidP="00475A24">
      <w:pPr>
        <w:pStyle w:val="references"/>
      </w:pPr>
      <w:r>
        <w:t xml:space="preserve">Amagir, A., Groot, W., Maassen van den Brink, H., &amp; Wilschut, A. (2018). A review of financial-literacy education programs for children </w:t>
      </w:r>
      <w:r>
        <w:lastRenderedPageBreak/>
        <w:t>and adolescents. Citizenship, Social and Economics Education, 17(1), 56–80.</w:t>
      </w:r>
    </w:p>
    <w:p w14:paraId="02BCCA59" w14:textId="1EB3B8A1" w:rsidR="00475A24" w:rsidRDefault="00475A24" w:rsidP="00475A24">
      <w:pPr>
        <w:pStyle w:val="references"/>
      </w:pPr>
      <w:r>
        <w:t>Anisah, A., Suwatno, E. A., Ahman, D., &amp; Disman. (2021). Android-based financial literacy education for Indonesian students. Advances in Economics, Business and Management Research, 179, 373–377.</w:t>
      </w:r>
    </w:p>
    <w:p w14:paraId="6B5B53C7" w14:textId="227E107C" w:rsidR="00A0350F" w:rsidRDefault="00A0350F" w:rsidP="00475A24">
      <w:pPr>
        <w:pStyle w:val="references"/>
      </w:pPr>
      <w:r w:rsidRPr="00A0350F">
        <w:t>Asadsangabi, Z., Mohseni, R., &amp; Samadi, S. (2025). Optimizing the OFDM radar waveform for LATT using WAF criteria in smart cities. EURASIP Journal on Wireless Communications and Networking, 2025(1), 1-29.</w:t>
      </w:r>
    </w:p>
    <w:p w14:paraId="0C59CCA3" w14:textId="37D7C2DC" w:rsidR="00475A24" w:rsidRDefault="00475A24" w:rsidP="00475A24">
      <w:pPr>
        <w:pStyle w:val="references"/>
      </w:pPr>
      <w:r>
        <w:t>Azizah, A. N., Susilaningsih, &amp; Noviani, L. (2024). The impact of financial knowledge on college students’ financial behavior: A systematic literature review. Asian Journal of Management Analytics, 3(4), 1085–1102.</w:t>
      </w:r>
    </w:p>
    <w:p w14:paraId="2F586341" w14:textId="692CCD79" w:rsidR="00475A24" w:rsidRDefault="00475A24" w:rsidP="00475A24">
      <w:pPr>
        <w:pStyle w:val="references"/>
      </w:pPr>
      <w:r>
        <w:t>Berlinger, E., &amp; Walter, A. (2025). Financial literacy of finance students: A behavioral gender gap. International Journal of Educational Management, 39(8), 116–129. https://doi.org/10.1108/IJEM-12-2024-1166</w:t>
      </w:r>
    </w:p>
    <w:p w14:paraId="1625D63B" w14:textId="66F48801" w:rsidR="00475A24" w:rsidRDefault="00475A24" w:rsidP="00475A24">
      <w:pPr>
        <w:pStyle w:val="references"/>
      </w:pPr>
      <w:r>
        <w:t>Chen, H., &amp; Volpe, R. P. (2002). Gender differences in personal financial literacy among college students. Financial Services Review, 11(3), 289–307.</w:t>
      </w:r>
    </w:p>
    <w:p w14:paraId="22F25025" w14:textId="554B812A" w:rsidR="00475A24" w:rsidRDefault="00475A24" w:rsidP="00475A24">
      <w:pPr>
        <w:pStyle w:val="references"/>
      </w:pPr>
      <w:r>
        <w:t>Chinen, K., &amp; Endo, H. (2014). Observation of financial literacy among the selected students in the U.S. and Japan. International Journal of Economics and Finance, 6(9), 95–102.</w:t>
      </w:r>
    </w:p>
    <w:p w14:paraId="2CA88FC9" w14:textId="0BD16AF6" w:rsidR="00475A24" w:rsidRDefault="00475A24" w:rsidP="00475A24">
      <w:pPr>
        <w:pStyle w:val="references"/>
      </w:pPr>
      <w:r>
        <w:t>Determinants of financial literacy: A systematic review and future research directions. (2024). Future Business Journal, 10(1), 1–18. https://doi.org/10.1186/s43093-024-00365-x</w:t>
      </w:r>
    </w:p>
    <w:p w14:paraId="0991561F" w14:textId="186AB814" w:rsidR="00475A24" w:rsidRDefault="00475A24" w:rsidP="00475A24">
      <w:pPr>
        <w:pStyle w:val="references"/>
      </w:pPr>
      <w:r>
        <w:t>Dumdum, M., De Vera, J., Mangubat, R., Calasang, V., &amp; Espina, R. (2025). Influence of financial literacy and financial behavior in fundamentals of accounting, business and management. International Journal of Educational Studies, 8(1), 35–42.</w:t>
      </w:r>
    </w:p>
    <w:p w14:paraId="7BFB6F85" w14:textId="2B22CBE9" w:rsidR="00475A24" w:rsidRDefault="00475A24" w:rsidP="00475A24">
      <w:pPr>
        <w:pStyle w:val="references"/>
      </w:pPr>
      <w:r>
        <w:t>Hermawan, A., et al. (2019). Understanding the determinants of financial literacy: A quantitative study on students in Indonesia. Journal of Education and Learning, 13(2), 198–210.</w:t>
      </w:r>
    </w:p>
    <w:p w14:paraId="2377E0B0" w14:textId="50101262" w:rsidR="00475A24" w:rsidRDefault="00475A24" w:rsidP="00475A24">
      <w:pPr>
        <w:pStyle w:val="references"/>
      </w:pPr>
      <w:r>
        <w:t>Hulu, K. P., Bate’e, M. M., Kakisina, S. M., &amp; Zai, K. S. (2024). The effect of financial education on increasing financial literacy. Golden Ratio of Data in Summary, 4(2), 482–490.</w:t>
      </w:r>
    </w:p>
    <w:p w14:paraId="3FA7EF48" w14:textId="563DA719" w:rsidR="00475A24" w:rsidRDefault="00475A24" w:rsidP="00475A24">
      <w:pPr>
        <w:pStyle w:val="references"/>
      </w:pPr>
      <w:r>
        <w:t>Kishore, S. P., Lee, J. E., &amp; Shapiro, J. (2017). Personal financial literacy among U.S. medical students. Medical Education Online, 22(1), 139–145.</w:t>
      </w:r>
    </w:p>
    <w:p w14:paraId="3CE41F53" w14:textId="16833E6E" w:rsidR="00475A24" w:rsidRDefault="00475A24" w:rsidP="00475A24">
      <w:pPr>
        <w:pStyle w:val="references"/>
      </w:pPr>
      <w:r>
        <w:t>Lee, N. (2010). Financial literacy and financial literacy education: What might be the components of an effective financial literacy curriculum? [Doctoral dissertation, UCL Institute of Education].</w:t>
      </w:r>
    </w:p>
    <w:p w14:paraId="104BB189" w14:textId="5D4080A4" w:rsidR="00475A24" w:rsidRDefault="00475A24" w:rsidP="00475A24">
      <w:pPr>
        <w:pStyle w:val="references"/>
      </w:pPr>
      <w:r>
        <w:t>Merter, F. (2025). The impact of financial literacy and decision-making: The role of metacognitive regulation. International Journal of Educational Research Open, 11(2), 112–125. https://doi.org/10.1016/j.ijedro.2025.100275</w:t>
      </w:r>
    </w:p>
    <w:p w14:paraId="1F288007" w14:textId="670CE244" w:rsidR="00475A24" w:rsidRDefault="00475A24" w:rsidP="00475A24">
      <w:pPr>
        <w:pStyle w:val="references"/>
      </w:pPr>
      <w:r>
        <w:t>Moreno-Herrero, D., Salas-Velasco, M., &amp; Sanchez-Campillo, J. (2018). Factors that influence the level of financial literacy among young people: The role of parental engagement and students' experiences with money matters. Journal of Family and Economic Issues, 39(3), 429–447.</w:t>
      </w:r>
    </w:p>
    <w:p w14:paraId="5B901B2C" w14:textId="692D34C6" w:rsidR="00475A24" w:rsidRDefault="00475A24" w:rsidP="00475A24">
      <w:pPr>
        <w:pStyle w:val="references"/>
      </w:pPr>
      <w:r>
        <w:t>Nidar, S. R., &amp; Bestari, S. (2010). Personal financial literacy among university students: A case study at Padjadjaran University, Bandung, Indonesia. World Journal of Social Sciences, 2(4), 162–171.</w:t>
      </w:r>
    </w:p>
    <w:p w14:paraId="405EB89A" w14:textId="3A931C0C" w:rsidR="00475A24" w:rsidRDefault="00475A24" w:rsidP="00475A24">
      <w:pPr>
        <w:pStyle w:val="references"/>
      </w:pPr>
      <w:r>
        <w:t>OECD. (2014). PISA 2012 Results: Students and Money (Volume VI): Financial Literacy Skills for the 21st Century. OECD Publishing.</w:t>
      </w:r>
    </w:p>
    <w:p w14:paraId="0BD34ABF" w14:textId="505C8FD3" w:rsidR="00475A24" w:rsidRDefault="00475A24" w:rsidP="00475A24">
      <w:pPr>
        <w:pStyle w:val="references"/>
      </w:pPr>
      <w:r>
        <w:t>Otbiçer, T. (2023). Breaking the cycle: The mediating effects of reading, mathematical and ICT literacy skills on financial success in youth. Youth and Society, 55(1), 33–49.</w:t>
      </w:r>
    </w:p>
    <w:p w14:paraId="1ACF3256" w14:textId="246094F7" w:rsidR="00475A24" w:rsidRDefault="00475A24" w:rsidP="00475A24">
      <w:pPr>
        <w:pStyle w:val="references"/>
      </w:pPr>
      <w:r>
        <w:t>Pura, D. (2022). The influence of socio-demographic factors and numeracy skills on student financial literacy in Latvia. Baltic Journal of Economics, 22(2), 105–123.</w:t>
      </w:r>
    </w:p>
    <w:p w14:paraId="12A660A4" w14:textId="2DF9E5FA" w:rsidR="00475A24" w:rsidRDefault="00475A24" w:rsidP="00475A24">
      <w:pPr>
        <w:pStyle w:val="references"/>
      </w:pPr>
      <w:r>
        <w:t>Rachmawati, R., Suryani, N., &amp; Hidayat, W. (2022). Financial literacy and its effect on business performance of student-driven entrepreneurship in the COVID-19 pandemic. Journal of Entrepreneurship Education, 25(2), 78–96.</w:t>
      </w:r>
    </w:p>
    <w:p w14:paraId="184C2548" w14:textId="1E31F1C4" w:rsidR="00475A24" w:rsidRDefault="00475A24" w:rsidP="00475A24">
      <w:pPr>
        <w:pStyle w:val="references"/>
      </w:pPr>
      <w:r>
        <w:t>Susetyo, W. (2024). Identifying the effects of financial literacy on student achievement. World Journal of Advanced Research and Reviews, 22(3), 512–520. https://wjarr.com/sites/default/files/WJARR-2024-0089.pdf</w:t>
      </w:r>
    </w:p>
    <w:p w14:paraId="3B8DFCE8" w14:textId="3C3EE9FD" w:rsidR="00156B74" w:rsidRPr="00156B74" w:rsidRDefault="00475A24" w:rsidP="00475A24">
      <w:pPr>
        <w:pStyle w:val="references"/>
      </w:pPr>
      <w:r>
        <w:t>Zanariasti, P. P., &amp; Ikasari, N. (2018). Analysis of financial literacy amongst Indonesian first-semester students: A study in Universitas Indonesia, Institut Pertanian Bogor and Institut Teknologi Bandung. Journal of Accounting and Investment, 19(2), 115–128.</w:t>
      </w:r>
    </w:p>
    <w:p w14:paraId="2A5DE92A" w14:textId="1BCBF790" w:rsidR="009303D9" w:rsidRPr="00F96569" w:rsidRDefault="009303D9" w:rsidP="00475A24">
      <w:pPr>
        <w:pStyle w:val="references"/>
        <w:numPr>
          <w:ilvl w:val="0"/>
          <w:numId w:val="0"/>
        </w:numPr>
        <w:ind w:start="18pt" w:hanging="18pt"/>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p>
    <w:p w14:paraId="6FC6C90C"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5847A1F" w14:textId="77777777" w:rsidR="00DC4131" w:rsidRDefault="00DC4131" w:rsidP="001A3B3D">
      <w:r>
        <w:separator/>
      </w:r>
    </w:p>
  </w:endnote>
  <w:endnote w:type="continuationSeparator" w:id="0">
    <w:p w14:paraId="2C0F0CAC" w14:textId="77777777" w:rsidR="00DC4131" w:rsidRDefault="00DC413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F8CEB2A" w14:textId="77777777" w:rsidR="00DC4131" w:rsidRDefault="00DC4131" w:rsidP="001A3B3D">
      <w:r>
        <w:separator/>
      </w:r>
    </w:p>
  </w:footnote>
  <w:footnote w:type="continuationSeparator" w:id="0">
    <w:p w14:paraId="7936EC53" w14:textId="77777777" w:rsidR="00DC4131" w:rsidRDefault="00DC4131"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40377641">
    <w:abstractNumId w:val="14"/>
  </w:num>
  <w:num w:numId="2" w16cid:durableId="1397439891">
    <w:abstractNumId w:val="19"/>
  </w:num>
  <w:num w:numId="3" w16cid:durableId="539585121">
    <w:abstractNumId w:val="13"/>
  </w:num>
  <w:num w:numId="4" w16cid:durableId="1505513160">
    <w:abstractNumId w:val="16"/>
  </w:num>
  <w:num w:numId="5" w16cid:durableId="978925957">
    <w:abstractNumId w:val="16"/>
  </w:num>
  <w:num w:numId="6" w16cid:durableId="1721400726">
    <w:abstractNumId w:val="16"/>
  </w:num>
  <w:num w:numId="7" w16cid:durableId="687826470">
    <w:abstractNumId w:val="16"/>
  </w:num>
  <w:num w:numId="8" w16cid:durableId="143812469">
    <w:abstractNumId w:val="18"/>
  </w:num>
  <w:num w:numId="9" w16cid:durableId="1364867722">
    <w:abstractNumId w:val="20"/>
  </w:num>
  <w:num w:numId="10" w16cid:durableId="2029989048">
    <w:abstractNumId w:val="15"/>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7"/>
  </w:num>
  <w:num w:numId="25" w16cid:durableId="1917282883">
    <w:abstractNumId w:val="18"/>
  </w:num>
  <w:num w:numId="26" w16cid:durableId="2146772993">
    <w:abstractNumId w:val="16"/>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0C42BA"/>
    <w:rsid w:val="00100516"/>
    <w:rsid w:val="0015079E"/>
    <w:rsid w:val="00156B74"/>
    <w:rsid w:val="001A2EFD"/>
    <w:rsid w:val="001A3B3D"/>
    <w:rsid w:val="001A42EA"/>
    <w:rsid w:val="001B67DC"/>
    <w:rsid w:val="001D7BCF"/>
    <w:rsid w:val="002254A9"/>
    <w:rsid w:val="00233D97"/>
    <w:rsid w:val="00237F39"/>
    <w:rsid w:val="002525E1"/>
    <w:rsid w:val="002850E3"/>
    <w:rsid w:val="002C6421"/>
    <w:rsid w:val="00354FCF"/>
    <w:rsid w:val="003A19E2"/>
    <w:rsid w:val="003E4844"/>
    <w:rsid w:val="00421EC6"/>
    <w:rsid w:val="004325FB"/>
    <w:rsid w:val="004432BA"/>
    <w:rsid w:val="0044407E"/>
    <w:rsid w:val="00475A24"/>
    <w:rsid w:val="00483212"/>
    <w:rsid w:val="004A3448"/>
    <w:rsid w:val="004B1F29"/>
    <w:rsid w:val="004D72B5"/>
    <w:rsid w:val="005420A3"/>
    <w:rsid w:val="00547E73"/>
    <w:rsid w:val="00551B7F"/>
    <w:rsid w:val="0056610F"/>
    <w:rsid w:val="00575BCA"/>
    <w:rsid w:val="005B0344"/>
    <w:rsid w:val="005B520E"/>
    <w:rsid w:val="005E2800"/>
    <w:rsid w:val="006347CF"/>
    <w:rsid w:val="00645D22"/>
    <w:rsid w:val="00651A08"/>
    <w:rsid w:val="00654204"/>
    <w:rsid w:val="00670434"/>
    <w:rsid w:val="006B6B66"/>
    <w:rsid w:val="006C146A"/>
    <w:rsid w:val="006E7847"/>
    <w:rsid w:val="006F6D3D"/>
    <w:rsid w:val="00704134"/>
    <w:rsid w:val="00715BEA"/>
    <w:rsid w:val="00740EEA"/>
    <w:rsid w:val="00794804"/>
    <w:rsid w:val="007B33F1"/>
    <w:rsid w:val="007C0308"/>
    <w:rsid w:val="007C2FF2"/>
    <w:rsid w:val="007D6232"/>
    <w:rsid w:val="007F1F99"/>
    <w:rsid w:val="007F5112"/>
    <w:rsid w:val="007F768F"/>
    <w:rsid w:val="0080791D"/>
    <w:rsid w:val="00826046"/>
    <w:rsid w:val="0083381E"/>
    <w:rsid w:val="00873603"/>
    <w:rsid w:val="008A2C7D"/>
    <w:rsid w:val="008C4B23"/>
    <w:rsid w:val="008F6E2C"/>
    <w:rsid w:val="009006D9"/>
    <w:rsid w:val="009303D9"/>
    <w:rsid w:val="00933C64"/>
    <w:rsid w:val="00972203"/>
    <w:rsid w:val="00A0350F"/>
    <w:rsid w:val="00A0468E"/>
    <w:rsid w:val="00A059B3"/>
    <w:rsid w:val="00A32271"/>
    <w:rsid w:val="00A62010"/>
    <w:rsid w:val="00A83751"/>
    <w:rsid w:val="00AB5DE0"/>
    <w:rsid w:val="00AE3409"/>
    <w:rsid w:val="00B11A60"/>
    <w:rsid w:val="00B22613"/>
    <w:rsid w:val="00BA1025"/>
    <w:rsid w:val="00BC3420"/>
    <w:rsid w:val="00BE7D3C"/>
    <w:rsid w:val="00BF5FF6"/>
    <w:rsid w:val="00C0207F"/>
    <w:rsid w:val="00C16117"/>
    <w:rsid w:val="00C3075A"/>
    <w:rsid w:val="00C76FFC"/>
    <w:rsid w:val="00C919A4"/>
    <w:rsid w:val="00CA4392"/>
    <w:rsid w:val="00CC393F"/>
    <w:rsid w:val="00CC552D"/>
    <w:rsid w:val="00D13749"/>
    <w:rsid w:val="00D2176E"/>
    <w:rsid w:val="00D632BE"/>
    <w:rsid w:val="00D72D06"/>
    <w:rsid w:val="00D7522C"/>
    <w:rsid w:val="00D7536F"/>
    <w:rsid w:val="00D76668"/>
    <w:rsid w:val="00DC4131"/>
    <w:rsid w:val="00DD01DC"/>
    <w:rsid w:val="00E36923"/>
    <w:rsid w:val="00E61E12"/>
    <w:rsid w:val="00E63DEF"/>
    <w:rsid w:val="00E7596C"/>
    <w:rsid w:val="00E878F2"/>
    <w:rsid w:val="00EC3508"/>
    <w:rsid w:val="00ED0149"/>
    <w:rsid w:val="00ED1C97"/>
    <w:rsid w:val="00EF7DE3"/>
    <w:rsid w:val="00F03103"/>
    <w:rsid w:val="00F12284"/>
    <w:rsid w:val="00F271DE"/>
    <w:rsid w:val="00F627DA"/>
    <w:rsid w:val="00F7288F"/>
    <w:rsid w:val="00F847A6"/>
    <w:rsid w:val="00F9441B"/>
    <w:rsid w:val="00F96569"/>
    <w:rsid w:val="00FA4C32"/>
    <w:rsid w:val="00FA7FB4"/>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97</TotalTime>
  <Pages>5</Pages>
  <Words>3338</Words>
  <Characters>22224</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Faqih Ahmad</cp:lastModifiedBy>
  <cp:revision>20</cp:revision>
  <dcterms:created xsi:type="dcterms:W3CDTF">2024-07-16T13:39:00Z</dcterms:created>
  <dcterms:modified xsi:type="dcterms:W3CDTF">2025-12-15T04:03:00Z</dcterms:modified>
</cp:coreProperties>
</file>