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6CB7" w14:textId="77777777" w:rsidR="00B45CEA" w:rsidRDefault="00000000">
      <w:pPr>
        <w:pStyle w:val="IETPaperTitle"/>
        <w:jc w:val="center"/>
        <w:rPr>
          <w:rFonts w:eastAsia="MS Mincho"/>
          <w:b w:val="0"/>
          <w:kern w:val="48"/>
          <w:sz w:val="48"/>
          <w:szCs w:val="48"/>
          <w:lang w:val="en-US" w:eastAsia="en-US"/>
        </w:rPr>
      </w:pPr>
      <w:r>
        <w:rPr>
          <w:rFonts w:eastAsia="MS Mincho"/>
          <w:b w:val="0"/>
          <w:kern w:val="48"/>
          <w:sz w:val="48"/>
          <w:szCs w:val="48"/>
          <w:lang w:val="en-US" w:eastAsia="en-US"/>
        </w:rPr>
        <w:t>Green Information Networks: Energy-Aware Architectures and Protocols</w:t>
      </w:r>
    </w:p>
    <w:p w14:paraId="36377894" w14:textId="77777777" w:rsidR="00B45CEA" w:rsidRDefault="00B45CEA">
      <w:pPr>
        <w:pStyle w:val="IETPaperTitle"/>
        <w:jc w:val="both"/>
        <w:rPr>
          <w:sz w:val="20"/>
          <w:szCs w:val="20"/>
        </w:rPr>
      </w:pPr>
    </w:p>
    <w:p w14:paraId="0919A647" w14:textId="77777777" w:rsidR="00B45CEA" w:rsidRDefault="00B45CEA">
      <w:pPr>
        <w:pStyle w:val="IETPaperTitle"/>
        <w:jc w:val="both"/>
        <w:rPr>
          <w:sz w:val="20"/>
          <w:szCs w:val="20"/>
        </w:rPr>
      </w:pPr>
    </w:p>
    <w:p w14:paraId="380CA379" w14:textId="77777777" w:rsidR="00B45CEA" w:rsidRDefault="00B45CEA">
      <w:pPr>
        <w:jc w:val="both"/>
        <w:rPr>
          <w:sz w:val="22"/>
          <w:szCs w:val="20"/>
          <w:lang w:val="en-US"/>
        </w:rPr>
        <w:sectPr w:rsidR="00B45CEA">
          <w:footerReference w:type="default" r:id="rId8"/>
          <w:pgSz w:w="11906" w:h="16838"/>
          <w:pgMar w:top="1440" w:right="1440" w:bottom="1440" w:left="1440" w:header="567" w:footer="0" w:gutter="0"/>
          <w:cols w:space="708"/>
          <w:docGrid w:linePitch="360"/>
        </w:sectPr>
      </w:pPr>
    </w:p>
    <w:p w14:paraId="57E81CD7" w14:textId="77777777" w:rsidR="00B45CEA" w:rsidRDefault="00B45CEA">
      <w:pPr>
        <w:jc w:val="both"/>
        <w:rPr>
          <w:sz w:val="22"/>
          <w:szCs w:val="20"/>
          <w:lang w:val="en-US"/>
        </w:rPr>
      </w:pPr>
    </w:p>
    <w:p w14:paraId="7EA753AC" w14:textId="77777777" w:rsidR="00B45CEA" w:rsidRDefault="00B45CEA">
      <w:pPr>
        <w:jc w:val="both"/>
        <w:rPr>
          <w:sz w:val="22"/>
          <w:szCs w:val="20"/>
          <w:lang w:val="en-US"/>
        </w:rPr>
      </w:pPr>
    </w:p>
    <w:p w14:paraId="7441D914" w14:textId="77777777" w:rsidR="00B45CEA" w:rsidRDefault="00B45CEA">
      <w:pPr>
        <w:jc w:val="both"/>
        <w:rPr>
          <w:sz w:val="22"/>
          <w:szCs w:val="20"/>
          <w:lang w:val="en-US"/>
        </w:rPr>
      </w:pPr>
    </w:p>
    <w:p w14:paraId="1D31CE2D" w14:textId="77777777" w:rsidR="00B45CEA" w:rsidRDefault="00B45CEA">
      <w:pPr>
        <w:jc w:val="center"/>
        <w:rPr>
          <w:sz w:val="18"/>
          <w:szCs w:val="18"/>
          <w:lang w:val="en-US" w:eastAsia="en-US"/>
        </w:rPr>
      </w:pPr>
    </w:p>
    <w:p w14:paraId="1ABF5C35" w14:textId="77777777" w:rsidR="00B45CEA" w:rsidRDefault="00000000">
      <w:pPr>
        <w:jc w:val="center"/>
        <w:rPr>
          <w:sz w:val="18"/>
          <w:szCs w:val="18"/>
          <w:lang w:val="en-US" w:eastAsia="en-US"/>
        </w:rPr>
      </w:pPr>
      <w:r>
        <w:rPr>
          <w:sz w:val="18"/>
          <w:szCs w:val="18"/>
          <w:lang w:val="en-US" w:eastAsia="en-US"/>
        </w:rPr>
        <w:t xml:space="preserve">Wai Yie Leong                       </w:t>
      </w:r>
      <w:r>
        <w:rPr>
          <w:i/>
          <w:sz w:val="18"/>
          <w:szCs w:val="18"/>
          <w:lang w:val="en-US" w:eastAsia="en-US"/>
        </w:rPr>
        <w:t xml:space="preserve">Engineering and Quantity Surveying                                 INTI International University        </w:t>
      </w:r>
      <w:r>
        <w:rPr>
          <w:sz w:val="18"/>
          <w:szCs w:val="18"/>
          <w:lang w:val="en-US" w:eastAsia="en-US"/>
        </w:rPr>
        <w:t>71800 Nilai, Malaysia</w:t>
      </w:r>
    </w:p>
    <w:p w14:paraId="3A411826" w14:textId="77777777" w:rsidR="00B45CEA" w:rsidRDefault="00000000">
      <w:pPr>
        <w:jc w:val="center"/>
        <w:rPr>
          <w:sz w:val="18"/>
          <w:szCs w:val="18"/>
          <w:lang w:val="en-US" w:eastAsia="en-US"/>
        </w:rPr>
      </w:pPr>
      <w:r>
        <w:rPr>
          <w:sz w:val="18"/>
          <w:szCs w:val="18"/>
          <w:lang w:val="en-US" w:eastAsia="en-US"/>
        </w:rPr>
        <w:t>waiyie@gmail.com</w:t>
      </w:r>
    </w:p>
    <w:p w14:paraId="6E483ACD" w14:textId="77777777" w:rsidR="00B45CEA" w:rsidRDefault="00B45CEA">
      <w:pPr>
        <w:jc w:val="center"/>
        <w:rPr>
          <w:sz w:val="18"/>
          <w:szCs w:val="18"/>
          <w:lang w:val="en-US" w:eastAsia="en-US"/>
        </w:rPr>
      </w:pPr>
    </w:p>
    <w:p w14:paraId="6404B1DF" w14:textId="77777777" w:rsidR="00B45CEA" w:rsidRDefault="00B45CEA">
      <w:pPr>
        <w:jc w:val="center"/>
        <w:rPr>
          <w:sz w:val="18"/>
          <w:szCs w:val="18"/>
          <w:lang w:val="en-US" w:eastAsia="en-US"/>
        </w:rPr>
      </w:pPr>
    </w:p>
    <w:p w14:paraId="2328AB54" w14:textId="77777777" w:rsidR="00B45CEA" w:rsidRDefault="00B45CEA">
      <w:pPr>
        <w:jc w:val="center"/>
        <w:rPr>
          <w:sz w:val="18"/>
          <w:szCs w:val="18"/>
          <w:lang w:val="en-US" w:eastAsia="en-US"/>
        </w:rPr>
      </w:pPr>
    </w:p>
    <w:p w14:paraId="6A417DE5" w14:textId="77777777" w:rsidR="00B45CEA" w:rsidRDefault="00B45CEA">
      <w:pPr>
        <w:jc w:val="center"/>
        <w:rPr>
          <w:sz w:val="20"/>
          <w:szCs w:val="20"/>
          <w:lang w:val="en-US"/>
        </w:rPr>
      </w:pPr>
    </w:p>
    <w:p w14:paraId="6D87A5DC" w14:textId="77777777" w:rsidR="00B45CEA" w:rsidRDefault="00B45CEA">
      <w:pPr>
        <w:jc w:val="center"/>
        <w:rPr>
          <w:sz w:val="20"/>
          <w:szCs w:val="20"/>
          <w:lang w:val="en-US"/>
        </w:rPr>
      </w:pPr>
    </w:p>
    <w:p w14:paraId="07F2E9CD" w14:textId="77777777" w:rsidR="00B45CEA" w:rsidRDefault="00B45CEA">
      <w:pPr>
        <w:jc w:val="center"/>
        <w:rPr>
          <w:sz w:val="20"/>
          <w:szCs w:val="20"/>
          <w:lang w:val="en-US"/>
        </w:rPr>
      </w:pPr>
    </w:p>
    <w:p w14:paraId="0D002123" w14:textId="77777777" w:rsidR="00B45CEA" w:rsidRDefault="00B45CEA">
      <w:pPr>
        <w:jc w:val="center"/>
        <w:rPr>
          <w:sz w:val="20"/>
          <w:szCs w:val="20"/>
          <w:lang w:val="en-US"/>
        </w:rPr>
        <w:sectPr w:rsidR="00B45CEA">
          <w:type w:val="continuous"/>
          <w:pgSz w:w="11906" w:h="16838"/>
          <w:pgMar w:top="1440" w:right="1440" w:bottom="1440" w:left="1440" w:header="567" w:footer="0" w:gutter="0"/>
          <w:cols w:num="3" w:space="720" w:equalWidth="0">
            <w:col w:w="2725" w:space="425"/>
            <w:col w:w="2850" w:space="300"/>
            <w:col w:w="2725"/>
          </w:cols>
          <w:docGrid w:linePitch="360"/>
        </w:sectPr>
      </w:pPr>
    </w:p>
    <w:p w14:paraId="5903F003" w14:textId="77777777" w:rsidR="00B45CEA" w:rsidRDefault="00B45CEA">
      <w:pPr>
        <w:jc w:val="both"/>
        <w:rPr>
          <w:sz w:val="20"/>
          <w:szCs w:val="20"/>
          <w:lang w:val="en-US"/>
        </w:rPr>
      </w:pPr>
    </w:p>
    <w:p w14:paraId="071B9B0E" w14:textId="77777777" w:rsidR="00B45CEA" w:rsidRDefault="00B45CEA">
      <w:pPr>
        <w:rPr>
          <w:sz w:val="20"/>
          <w:szCs w:val="20"/>
        </w:rPr>
        <w:sectPr w:rsidR="00B45CEA">
          <w:type w:val="continuous"/>
          <w:pgSz w:w="11906" w:h="16838"/>
          <w:pgMar w:top="1440" w:right="1440" w:bottom="1440" w:left="1440" w:header="567" w:footer="0" w:gutter="0"/>
          <w:cols w:space="708"/>
          <w:docGrid w:linePitch="360"/>
        </w:sectPr>
      </w:pPr>
    </w:p>
    <w:p w14:paraId="49181425" w14:textId="77777777" w:rsidR="00B45CEA" w:rsidRDefault="00000000">
      <w:pPr>
        <w:pStyle w:val="IETAbstractText"/>
        <w:jc w:val="both"/>
        <w:rPr>
          <w:bCs/>
          <w:sz w:val="18"/>
          <w:szCs w:val="18"/>
        </w:rPr>
      </w:pPr>
      <w:r>
        <w:rPr>
          <w:bCs/>
          <w:i/>
          <w:iCs/>
          <w:sz w:val="18"/>
          <w:szCs w:val="18"/>
          <w:lang w:val="en-US" w:eastAsia="en-US"/>
        </w:rPr>
        <w:t>Abstract</w:t>
      </w:r>
      <w:r>
        <w:rPr>
          <w:bCs/>
          <w:sz w:val="18"/>
          <w:szCs w:val="18"/>
          <w:lang w:val="en-US" w:eastAsia="en-US"/>
        </w:rPr>
        <w:t xml:space="preserve"> - </w:t>
      </w:r>
      <w:r>
        <w:rPr>
          <w:bCs/>
          <w:sz w:val="18"/>
          <w:szCs w:val="18"/>
        </w:rPr>
        <w:t xml:space="preserve">The exponential growth of digital communication, mobile devices, cloud platforms, and Internet of Things (IoT) ecosystems has intensified the energy footprint of information networks, raising urgent concerns regarding environmental sustainability and long-term viability. Green Information Networks (GINs) represent a paradigm shift in network architecture and protocol design, prioritizing energy efficiency, carbon-awareness, and renewable energy integration without compromising performance or security. This paper investigates the evolution of energy-aware architectures and protocols across multiple layers—physical, network, and application—while presenting a comprehensive Trust-by-Design sustainability stack for next-generation infrastructures. Using a design-science methodology, we synthesize findings from prior work in green networking, propose a reference architecture for energy-aware operations, and evaluate real-world testbeds across smart city, healthcare, and telecommunication workloads. Results demonstrate that protocol-level optimizations, AI-driven traffic engineering, and renewable-aware edge–cloud offloading reduce network energy consumption by 27–42% compared to baselines, while maintaining latency within 15% of existing SLAs. We show that carbon intensity per gigabit transferred can be reduced to below 30 </w:t>
      </w:r>
      <w:proofErr w:type="spellStart"/>
      <w:r>
        <w:rPr>
          <w:bCs/>
          <w:sz w:val="18"/>
          <w:szCs w:val="18"/>
        </w:rPr>
        <w:t>gCO₂e</w:t>
      </w:r>
      <w:proofErr w:type="spellEnd"/>
      <w:r>
        <w:rPr>
          <w:bCs/>
          <w:sz w:val="18"/>
          <w:szCs w:val="18"/>
        </w:rPr>
        <w:t xml:space="preserve"> in optimized deployments, aligning with 2030 Net Zero trajectories. Our findings reveal that GINs are  necessary for the sustainable evolution of information infrastructures, requiring the integration of energy efficiency into every layer of design, governance, and policy.</w:t>
      </w:r>
    </w:p>
    <w:p w14:paraId="3BC9A1CA" w14:textId="77777777" w:rsidR="00B45CEA" w:rsidRDefault="00B45CEA"/>
    <w:p w14:paraId="41508DC3" w14:textId="77777777" w:rsidR="00B45CEA" w:rsidRDefault="00000000">
      <w:pPr>
        <w:pStyle w:val="Keywords"/>
      </w:pPr>
      <w:r>
        <w:t>Keywords—</w:t>
      </w:r>
      <w:r>
        <w:rPr>
          <w:lang w:val="en-AU" w:eastAsia="zh-CN"/>
        </w:rPr>
        <w:t>Internet of Things (IoT)</w:t>
      </w:r>
      <w:r>
        <w:t>, Green Networks, Artificial Intelligence</w:t>
      </w:r>
    </w:p>
    <w:p w14:paraId="4A5B4157" w14:textId="77777777" w:rsidR="00B45CEA" w:rsidRDefault="00000000">
      <w:pPr>
        <w:pStyle w:val="IETHeading1"/>
        <w:numPr>
          <w:ilvl w:val="0"/>
          <w:numId w:val="6"/>
        </w:numPr>
        <w:ind w:left="360" w:hanging="360"/>
        <w:jc w:val="center"/>
        <w:rPr>
          <w:rFonts w:ascii="Times New Roman" w:hAnsi="Times New Roman" w:cs="Times New Roman"/>
          <w:b w:val="0"/>
          <w:bCs w:val="0"/>
          <w:smallCaps/>
          <w:sz w:val="20"/>
          <w:szCs w:val="20"/>
          <w:lang w:val="en-US" w:eastAsia="en-US"/>
        </w:rPr>
      </w:pPr>
      <w:r>
        <w:rPr>
          <w:rFonts w:ascii="Times New Roman" w:hAnsi="Times New Roman" w:cs="Times New Roman"/>
          <w:b w:val="0"/>
          <w:bCs w:val="0"/>
          <w:smallCaps/>
          <w:sz w:val="20"/>
          <w:szCs w:val="20"/>
          <w:lang w:val="en-US" w:eastAsia="en-US"/>
        </w:rPr>
        <w:t>Introduction</w:t>
      </w:r>
    </w:p>
    <w:p w14:paraId="29E675BB" w14:textId="77777777" w:rsidR="00B45CEA" w:rsidRDefault="00000000">
      <w:pPr>
        <w:pStyle w:val="BodyText"/>
        <w:tabs>
          <w:tab w:val="left" w:pos="288"/>
        </w:tabs>
        <w:rPr>
          <w:sz w:val="20"/>
          <w:szCs w:val="20"/>
          <w:lang w:val="en-US"/>
        </w:rPr>
      </w:pPr>
      <w:r w:rsidRPr="00055B35">
        <w:rPr>
          <w:sz w:val="20"/>
          <w:szCs w:val="20"/>
          <w:lang w:val="en-US"/>
        </w:rPr>
        <w:t xml:space="preserve">The global information infrastructure is undergoing a profound transformation, driven by the convergence of cloud platforms, edge computing, artificial intelligence (AI), and the proliferation of Internet of Things (IoT) devices. While these developments promise unprecedented levels of connectivity, automation, and data-driven intelligence, they also introduce an escalating energy and carbon burden. According to the International Energy Agency (IEA), data transmission networks consumed over 260 TWh of electricity in 2021, representing nearly 1% of global electricity demand, with data centers contributing another 300 TWh [1]. Projections suggest that by 2030, the ICT sector could account for more than 20% of global electricity use if unchecked, surpassing industries such as aviation and shipping [2]. This trajectory raises fundamental concerns about the sustainability of digital infrastructures, particularly given the urgency of international climate goals and Net Zero </w:t>
      </w:r>
      <w:r w:rsidRPr="00055B35">
        <w:rPr>
          <w:sz w:val="20"/>
          <w:szCs w:val="20"/>
          <w:lang w:val="en-US"/>
        </w:rPr>
        <w:t>targets. As governments, industry, and academia explore avenues for decarbonization, the concept of Green Inf</w:t>
      </w:r>
      <w:r>
        <w:rPr>
          <w:sz w:val="20"/>
          <w:szCs w:val="20"/>
          <w:lang w:val="en-US"/>
        </w:rPr>
        <w:t>ormation Networks (GINs) has emerged as a vital research and development frontier [3].</w:t>
      </w:r>
    </w:p>
    <w:p w14:paraId="093F5995" w14:textId="77777777" w:rsidR="00B45CEA" w:rsidRDefault="00000000">
      <w:pPr>
        <w:pStyle w:val="BodyText"/>
        <w:tabs>
          <w:tab w:val="left" w:pos="288"/>
        </w:tabs>
        <w:rPr>
          <w:sz w:val="20"/>
          <w:szCs w:val="20"/>
          <w:lang w:val="en-US"/>
        </w:rPr>
      </w:pPr>
      <w:r>
        <w:rPr>
          <w:sz w:val="20"/>
          <w:szCs w:val="20"/>
          <w:lang w:val="en-US"/>
        </w:rPr>
        <w:t>Green Information Networks represent a paradigm shift from performance-centric network design toward holistic architectures that integrate energy efficiency, carbon awaren</w:t>
      </w:r>
      <w:r w:rsidRPr="00055B35">
        <w:rPr>
          <w:sz w:val="20"/>
          <w:szCs w:val="20"/>
          <w:lang w:val="en-US"/>
        </w:rPr>
        <w:t>ess, and renewable energy utilization. Unlike traditional communication infrastructures, which treat energy efficiency as a secondary optimization objective, GINs position sustainability as a first-class design principle. This shift involves embedding energy-aware decision-making into every layer of the stack—from low-power physical devices to application-level workload orchestration [4]. For instance, radio access networks (RANs) in 5G and emerging 6G systems now account for a significant share of energy consumption, often operating continuously even during low-traffic periods [5]. Introducing sleep modes, traffic-aware scheduling, and renewable integration can reduce consu</w:t>
      </w:r>
      <w:r>
        <w:rPr>
          <w:sz w:val="20"/>
          <w:szCs w:val="20"/>
          <w:lang w:val="en-US"/>
        </w:rPr>
        <w:t>mption by double-digit percentages, but achieving this requires redesigning both protocols and governance mechanisms. Such efforts extend beyond the technical domain into broader questions of compliance, policy alignment, and ESG (environmental, social, governance) accountability [6].</w:t>
      </w:r>
    </w:p>
    <w:p w14:paraId="5E5C6A04" w14:textId="2F0AF9E4" w:rsidR="00B45CEA" w:rsidRDefault="00000000">
      <w:pPr>
        <w:pStyle w:val="BodyText"/>
        <w:tabs>
          <w:tab w:val="left" w:pos="288"/>
        </w:tabs>
        <w:rPr>
          <w:sz w:val="20"/>
          <w:szCs w:val="20"/>
          <w:lang w:val="en-US"/>
        </w:rPr>
      </w:pPr>
      <w:r>
        <w:rPr>
          <w:sz w:val="20"/>
          <w:szCs w:val="20"/>
          <w:lang w:val="en-US"/>
        </w:rPr>
        <w:t>A central challenge in advancing Green Information Networks lies in the heterogeneity of components, workloads, and energy sources. Network elements such as base stations, routers, and gateways each exhibit different energy</w:t>
      </w:r>
      <w:r w:rsidRPr="00055B35">
        <w:rPr>
          <w:sz w:val="20"/>
          <w:szCs w:val="20"/>
          <w:lang w:val="en-US"/>
        </w:rPr>
        <w:t xml:space="preserve"> profiles depending on utilization, geographic location, and design [15]. In parallel, renewable energy integration introduces variability into supply, as solar and wind power fluctuate by time of day and weather conditions</w:t>
      </w:r>
      <w:r w:rsidR="00553689">
        <w:rPr>
          <w:rFonts w:hint="eastAsia"/>
          <w:sz w:val="20"/>
          <w:szCs w:val="20"/>
          <w:lang w:val="en-US"/>
        </w:rPr>
        <w:t xml:space="preserve">. </w:t>
      </w:r>
      <w:r w:rsidRPr="00055B35">
        <w:rPr>
          <w:sz w:val="20"/>
          <w:szCs w:val="20"/>
          <w:lang w:val="en-US"/>
        </w:rPr>
        <w:t>Aligning demand with renewable availability requires not only energy-aware scheduling but also predictive analytics capable of forecasting renewable supply and traffic demand. Recent advances in AI-based forecasting, coupled with blockchain-enabled energy marketplaces, offer promising pathways for in</w:t>
      </w:r>
      <w:r>
        <w:rPr>
          <w:sz w:val="20"/>
          <w:szCs w:val="20"/>
          <w:lang w:val="en-US"/>
        </w:rPr>
        <w:t>tegrating green energy directly into network operation</w:t>
      </w:r>
      <w:r w:rsidR="00553689">
        <w:rPr>
          <w:rFonts w:hint="eastAsia"/>
          <w:sz w:val="20"/>
          <w:szCs w:val="20"/>
          <w:lang w:val="en-US"/>
        </w:rPr>
        <w:t xml:space="preserve">. </w:t>
      </w:r>
      <w:r>
        <w:rPr>
          <w:sz w:val="20"/>
          <w:szCs w:val="20"/>
          <w:lang w:val="en-US"/>
        </w:rPr>
        <w:t>Nonetheless, such approaches demand careful attention to latency, reliability, and compliance, especially in critical infrastructures such as healthcare and energy grids.</w:t>
      </w:r>
    </w:p>
    <w:p w14:paraId="1A5C00D5" w14:textId="77777777" w:rsidR="00B45CEA" w:rsidRPr="00055B35" w:rsidRDefault="00000000">
      <w:pPr>
        <w:pStyle w:val="BodyText"/>
        <w:tabs>
          <w:tab w:val="left" w:pos="288"/>
        </w:tabs>
        <w:rPr>
          <w:sz w:val="20"/>
          <w:szCs w:val="20"/>
          <w:lang w:val="en-US"/>
        </w:rPr>
      </w:pPr>
      <w:r>
        <w:rPr>
          <w:sz w:val="20"/>
          <w:szCs w:val="20"/>
          <w:lang w:val="en-US"/>
        </w:rPr>
        <w:t xml:space="preserve">This paper responds to the above challenges by presenting a comprehensive design-science investigation of Green </w:t>
      </w:r>
      <w:r w:rsidRPr="00055B35">
        <w:rPr>
          <w:sz w:val="20"/>
          <w:szCs w:val="20"/>
          <w:lang w:val="en-US"/>
        </w:rPr>
        <w:t xml:space="preserve">Information Networks, emphasizing energy-aware architectures and protocols. The research adopts a holistic view, synthesizing insights from hardware, protocol design, and governance into a unified framework. The contributions </w:t>
      </w:r>
      <w:r w:rsidRPr="00055B35">
        <w:rPr>
          <w:sz w:val="20"/>
          <w:szCs w:val="20"/>
          <w:lang w:val="en-US"/>
        </w:rPr>
        <w:lastRenderedPageBreak/>
        <w:t>of this paper are fivefold. First, we propose a reference architecture that defines a layered sustainability stack spanning governance, routing, and workload orchestration. Second, we introduce protocol enhancements including carbon-aware routing algorithms, adaptive congestion control mechanisms, and renewable-aware workload schedulers. Third, we design and implement experimental testbeds that evaluate these innovations across representative workloads such as smart city telemetry, healthcare event streams, and telecommunication networks. Fourth, we report quantitative results showing that optimized architectures achieve 27–42% energy savings with less than 15% additional latency compared to baseline scenarios. Finally, we provide a sustainability roadmap, situating Green Information Networks within global decarbonization strategies and regulatory frameworks, while highlighting future research opportunities.</w:t>
      </w:r>
    </w:p>
    <w:p w14:paraId="5698BC00" w14:textId="77777777" w:rsidR="00B45CEA" w:rsidRDefault="00000000">
      <w:pPr>
        <w:pStyle w:val="IETHeading1"/>
        <w:numPr>
          <w:ilvl w:val="0"/>
          <w:numId w:val="6"/>
        </w:numPr>
        <w:ind w:left="360" w:hanging="360"/>
        <w:jc w:val="center"/>
        <w:rPr>
          <w:rFonts w:ascii="Times New Roman" w:hAnsi="Times New Roman" w:cs="Times New Roman"/>
          <w:b w:val="0"/>
          <w:bCs w:val="0"/>
          <w:smallCaps/>
          <w:sz w:val="20"/>
          <w:szCs w:val="20"/>
          <w:lang w:val="en-US" w:eastAsia="en-US"/>
        </w:rPr>
      </w:pPr>
      <w:r>
        <w:rPr>
          <w:rFonts w:ascii="Times New Roman" w:hAnsi="Times New Roman" w:cs="Times New Roman"/>
          <w:b w:val="0"/>
          <w:bCs w:val="0"/>
          <w:smallCaps/>
          <w:sz w:val="20"/>
          <w:szCs w:val="20"/>
          <w:lang w:val="en-US" w:eastAsia="en-US"/>
        </w:rPr>
        <w:t>Literature Review</w:t>
      </w:r>
    </w:p>
    <w:p w14:paraId="3C7136EC" w14:textId="77777777" w:rsidR="00B45CEA" w:rsidRDefault="00000000">
      <w:pPr>
        <w:pStyle w:val="BodyText"/>
        <w:tabs>
          <w:tab w:val="left" w:pos="288"/>
        </w:tabs>
        <w:rPr>
          <w:sz w:val="20"/>
          <w:szCs w:val="20"/>
          <w:lang w:val="en-US"/>
        </w:rPr>
      </w:pPr>
      <w:r>
        <w:rPr>
          <w:sz w:val="20"/>
          <w:szCs w:val="20"/>
          <w:lang w:val="en-US"/>
        </w:rPr>
        <w:t>The study of energy-efficient and sustainable networking has evolved significantly in the past two decades, reflect</w:t>
      </w:r>
      <w:r>
        <w:rPr>
          <w:sz w:val="20"/>
          <w:szCs w:val="20"/>
          <w:lang w:val="en-US" w:eastAsia="en-US"/>
        </w:rPr>
        <w:t>ing the growing recognition of ICT’s role in global energy consumption and climate change. Early research in the 2000s primarily focused on har</w:t>
      </w:r>
      <w:r>
        <w:rPr>
          <w:sz w:val="20"/>
          <w:szCs w:val="20"/>
          <w:lang w:val="en-US"/>
        </w:rPr>
        <w:t>dware-level optimizations, such as energy-efficient Ethernet (EEE) [1], low-power routers [2], and energy-aware data center servers [3]. These works demonstrated the potential to reduce network energy consumption by deploying adaptive link rates and low-power idle modes without compromising throughput. However, as networks scaled and workloads diversified, it became evident that hardware alone could not resolve the escalating carbon burden of ICT infrastructures [4]. Consequently, research emphasis shifted toward network-wide architectures and protocol-level solutions, encompassing routing, transport, and application-layer optimizations [5]. The emergence of Green Information Networks (GINs) reflects this broader systems-level perspective, integrating energy efficiency across multiple layers and domains [6].</w:t>
      </w:r>
    </w:p>
    <w:p w14:paraId="5E54DD4A" w14:textId="77777777" w:rsidR="00B45CEA" w:rsidRDefault="00000000">
      <w:pPr>
        <w:pStyle w:val="BodyText"/>
        <w:tabs>
          <w:tab w:val="left" w:pos="288"/>
        </w:tabs>
        <w:rPr>
          <w:sz w:val="20"/>
          <w:szCs w:val="20"/>
          <w:lang w:val="en-US"/>
        </w:rPr>
      </w:pPr>
      <w:r>
        <w:rPr>
          <w:sz w:val="20"/>
          <w:szCs w:val="20"/>
          <w:lang w:val="en-US"/>
        </w:rPr>
        <w:t xml:space="preserve">Studies consistently reveal that ICT infrastructures are major contributors to global electricity consumption and greenhouse gas (GHG) emissions. Data centers alone consumed more than 200 TWh annually in </w:t>
      </w:r>
      <w:r w:rsidRPr="00055B35">
        <w:rPr>
          <w:sz w:val="20"/>
          <w:szCs w:val="20"/>
          <w:lang w:val="en-US"/>
        </w:rPr>
        <w:t>2018, accounting for nearly 1% of global electricity demand [7]. Meanwhile, telecommunication networks consumed approximately 260 TWh in 2021, with radio access networks (RANs) responsible for over 70% of mobile network energy use [8]. The shift toward 5G and emerging 6G networks further exacerbates this trend, as ultra-dense deployments, massive MIMO, and millimeter-wave technologies require significantly more energy per base station [9]. Without inte</w:t>
      </w:r>
      <w:r>
        <w:rPr>
          <w:sz w:val="20"/>
          <w:szCs w:val="20"/>
          <w:lang w:val="en-US"/>
        </w:rPr>
        <w:t>rvention, global data traffic growth of 25–30% annually will likely result in unsustainable levels of energy consumption [10]. These findings underscore the importance of developing holistic approaches that combine hardware efficiency, renewable energy adoption, and protocol-level innovations.</w:t>
      </w:r>
    </w:p>
    <w:p w14:paraId="78BA4CC0" w14:textId="77777777" w:rsidR="00B45CEA" w:rsidRDefault="00000000">
      <w:pPr>
        <w:pStyle w:val="BodyText"/>
        <w:tabs>
          <w:tab w:val="left" w:pos="288"/>
        </w:tabs>
        <w:rPr>
          <w:sz w:val="20"/>
          <w:szCs w:val="20"/>
          <w:lang w:val="en-US"/>
        </w:rPr>
      </w:pPr>
      <w:r>
        <w:rPr>
          <w:sz w:val="20"/>
          <w:szCs w:val="20"/>
          <w:lang w:val="en-US"/>
        </w:rPr>
        <w:t>Data centers represent a critical domain for green networkin</w:t>
      </w:r>
      <w:r w:rsidRPr="00055B35">
        <w:rPr>
          <w:sz w:val="20"/>
          <w:szCs w:val="20"/>
          <w:lang w:val="en-US"/>
        </w:rPr>
        <w:t xml:space="preserve">g due to their concentrated energy demand. Research on green data centers has focused on both infrastructure-level improvements and workload management strategies. At the infrastructure level, innovations in cooling technologies (e.g., liquid immersion cooling [11]), power distribution optimization [12], and renewable energy integration [13] have substantially </w:t>
      </w:r>
      <w:r w:rsidRPr="00055B35">
        <w:rPr>
          <w:sz w:val="20"/>
          <w:szCs w:val="20"/>
          <w:lang w:val="en-US"/>
        </w:rPr>
        <w:t xml:space="preserve">improved the energy efficiency of hyperscale data centers. At the workload level, virtualization, containerization, and dynamic workload consolidation have enabled operators to reduce server idling and improve Power Usage Effectiveness (PUE) [14]. Cloud platforms such as Google Cloud and </w:t>
      </w:r>
      <w:r>
        <w:rPr>
          <w:sz w:val="20"/>
          <w:szCs w:val="20"/>
          <w:lang w:val="en-US"/>
        </w:rPr>
        <w:t>Microsoft Azure now leverage AI-driven workload scheduling to align energy demand with renewable availability, achieving carbon-aware load balancing across regions [15]. These advances demonstrate how energy-aware orchestration mechanisms can be integrated into Green Information Networks, extending beyond the data center into distributed edge–cloud ecosystems.</w:t>
      </w:r>
    </w:p>
    <w:p w14:paraId="348D845B" w14:textId="77777777" w:rsidR="00B45CEA" w:rsidRDefault="00000000">
      <w:pPr>
        <w:pStyle w:val="BodyText"/>
        <w:tabs>
          <w:tab w:val="left" w:pos="288"/>
        </w:tabs>
        <w:rPr>
          <w:sz w:val="20"/>
          <w:szCs w:val="20"/>
          <w:lang w:val="en-US"/>
        </w:rPr>
      </w:pPr>
      <w:r>
        <w:rPr>
          <w:sz w:val="20"/>
          <w:szCs w:val="20"/>
          <w:lang w:val="en-US"/>
        </w:rPr>
        <w:t>Despite significant progress, several gaps remain in the literature. First, much of the existing research evaluates isolated components (e.g., data centers, RANs, or routing protoc</w:t>
      </w:r>
      <w:r w:rsidRPr="00055B35">
        <w:rPr>
          <w:sz w:val="20"/>
          <w:szCs w:val="20"/>
          <w:lang w:val="en-US"/>
        </w:rPr>
        <w:t>ols) rather than developing holistic, cross-layer architectures. Second, the integration of renewable-aware scheduling with real-time QoS constraints is underexplored, particularly in latency-sensitive domains like healthcare or autonomous driving. Third, while AI and ML are increasingly employed for predictive optimization, their own energy costs are often neglected, raising questions about net sustainability benefits. Finally, governance and policy fram</w:t>
      </w:r>
      <w:r>
        <w:rPr>
          <w:sz w:val="20"/>
          <w:szCs w:val="20"/>
          <w:lang w:val="en-US"/>
        </w:rPr>
        <w:t>eworks remain fragmented, with limited mechanisms for verifying compliance at the protocol level. Addressing these gaps requires a systemic approach to Green Information Networks, embedding energy-awareness into every layer while ensuring alignment with global decarbonization goals.</w:t>
      </w:r>
    </w:p>
    <w:p w14:paraId="341B77B8" w14:textId="77777777" w:rsidR="00B45CEA" w:rsidRDefault="00000000">
      <w:pPr>
        <w:pStyle w:val="IETHeading1"/>
        <w:numPr>
          <w:ilvl w:val="0"/>
          <w:numId w:val="6"/>
        </w:numPr>
        <w:ind w:left="360" w:hanging="360"/>
        <w:jc w:val="center"/>
        <w:rPr>
          <w:rFonts w:ascii="Times New Roman" w:hAnsi="Times New Roman" w:cs="Times New Roman"/>
          <w:b w:val="0"/>
          <w:bCs w:val="0"/>
          <w:smallCaps/>
          <w:sz w:val="20"/>
          <w:szCs w:val="20"/>
          <w:lang w:val="en-US" w:eastAsia="en-US"/>
        </w:rPr>
      </w:pPr>
      <w:r>
        <w:rPr>
          <w:rFonts w:ascii="Times New Roman" w:hAnsi="Times New Roman" w:cs="Times New Roman"/>
          <w:b w:val="0"/>
          <w:bCs w:val="0"/>
          <w:smallCaps/>
          <w:sz w:val="20"/>
          <w:szCs w:val="20"/>
          <w:lang w:val="en-US" w:eastAsia="en-US"/>
        </w:rPr>
        <w:t>Methodology</w:t>
      </w:r>
    </w:p>
    <w:p w14:paraId="76912C59" w14:textId="0E10A284" w:rsidR="00055B35" w:rsidRPr="00055B35" w:rsidRDefault="00055B35" w:rsidP="00055B35">
      <w:pPr>
        <w:pStyle w:val="BodyText"/>
        <w:tabs>
          <w:tab w:val="left" w:pos="288"/>
        </w:tabs>
        <w:rPr>
          <w:sz w:val="20"/>
          <w:szCs w:val="20"/>
          <w:lang w:val="en-US"/>
        </w:rPr>
      </w:pPr>
      <w:r w:rsidRPr="00055B35">
        <w:rPr>
          <w:sz w:val="20"/>
          <w:szCs w:val="20"/>
          <w:lang w:val="en-US"/>
        </w:rPr>
        <w:t>This study adopts a multi-layered, energy-aware network engineering methodology to design, implement, and evaluate Green Information Networks (GINs) that minimize energy consumption while preserving quality of service (QoS), reliability, and scalability</w:t>
      </w:r>
      <w:r w:rsidR="00CB0F54">
        <w:rPr>
          <w:rFonts w:hint="eastAsia"/>
          <w:sz w:val="20"/>
          <w:szCs w:val="20"/>
          <w:lang w:val="en-US"/>
        </w:rPr>
        <w:t xml:space="preserve"> (Figure 1)</w:t>
      </w:r>
      <w:r w:rsidRPr="00055B35">
        <w:rPr>
          <w:sz w:val="20"/>
          <w:szCs w:val="20"/>
          <w:lang w:val="en-US"/>
        </w:rPr>
        <w:t>. The methodology integrates architectural modeling, protocol design, simulation-based experimentation, and multi-metric performance evaluation.</w:t>
      </w:r>
    </w:p>
    <w:p w14:paraId="72CF0777" w14:textId="65E32A02" w:rsidR="00055B35" w:rsidRPr="00055B35" w:rsidRDefault="00055B35" w:rsidP="00055B35">
      <w:pPr>
        <w:pStyle w:val="BodyText"/>
        <w:tabs>
          <w:tab w:val="left" w:pos="288"/>
        </w:tabs>
        <w:rPr>
          <w:sz w:val="20"/>
          <w:szCs w:val="20"/>
          <w:lang w:val="en-US"/>
        </w:rPr>
      </w:pPr>
      <w:r w:rsidRPr="00055B35">
        <w:rPr>
          <w:sz w:val="20"/>
          <w:szCs w:val="20"/>
          <w:lang w:val="en-US"/>
        </w:rPr>
        <w:t>The proposed methodology is grounded in a three-layer Green Information Network architecture comprising:</w:t>
      </w:r>
      <w:r w:rsidR="00CB0F54">
        <w:rPr>
          <w:rFonts w:hint="eastAsia"/>
          <w:sz w:val="20"/>
          <w:szCs w:val="20"/>
          <w:lang w:val="en-US"/>
        </w:rPr>
        <w:t xml:space="preserve"> </w:t>
      </w:r>
      <w:r w:rsidRPr="00055B35">
        <w:rPr>
          <w:sz w:val="20"/>
          <w:szCs w:val="20"/>
          <w:lang w:val="en-US"/>
        </w:rPr>
        <w:t>(</w:t>
      </w:r>
      <w:proofErr w:type="spellStart"/>
      <w:r w:rsidRPr="00055B35">
        <w:rPr>
          <w:sz w:val="20"/>
          <w:szCs w:val="20"/>
          <w:lang w:val="en-US"/>
        </w:rPr>
        <w:t>i</w:t>
      </w:r>
      <w:proofErr w:type="spellEnd"/>
      <w:r w:rsidRPr="00055B35">
        <w:rPr>
          <w:sz w:val="20"/>
          <w:szCs w:val="20"/>
          <w:lang w:val="en-US"/>
        </w:rPr>
        <w:t>) the physical and infrastructure layer,</w:t>
      </w:r>
      <w:r w:rsidR="00CB0F54">
        <w:rPr>
          <w:rFonts w:hint="eastAsia"/>
          <w:sz w:val="20"/>
          <w:szCs w:val="20"/>
          <w:lang w:val="en-US"/>
        </w:rPr>
        <w:t xml:space="preserve"> </w:t>
      </w:r>
      <w:r w:rsidRPr="00055B35">
        <w:rPr>
          <w:sz w:val="20"/>
          <w:szCs w:val="20"/>
          <w:lang w:val="en-US"/>
        </w:rPr>
        <w:t>(ii) the network and protocol layer, and</w:t>
      </w:r>
      <w:r w:rsidR="00CB0F54">
        <w:rPr>
          <w:rFonts w:hint="eastAsia"/>
          <w:sz w:val="20"/>
          <w:szCs w:val="20"/>
          <w:lang w:val="en-US"/>
        </w:rPr>
        <w:t xml:space="preserve"> </w:t>
      </w:r>
      <w:r w:rsidRPr="00055B35">
        <w:rPr>
          <w:sz w:val="20"/>
          <w:szCs w:val="20"/>
          <w:lang w:val="en-US"/>
        </w:rPr>
        <w:t>(iii) the intelligence and control layer.</w:t>
      </w:r>
    </w:p>
    <w:p w14:paraId="0B5E61B6" w14:textId="77777777" w:rsidR="00055B35" w:rsidRPr="00055B35" w:rsidRDefault="00055B35" w:rsidP="00055B35">
      <w:pPr>
        <w:pStyle w:val="BodyText"/>
        <w:tabs>
          <w:tab w:val="left" w:pos="288"/>
        </w:tabs>
        <w:rPr>
          <w:sz w:val="20"/>
          <w:szCs w:val="20"/>
          <w:lang w:val="en-US"/>
        </w:rPr>
      </w:pPr>
      <w:r w:rsidRPr="00055B35">
        <w:rPr>
          <w:sz w:val="20"/>
          <w:szCs w:val="20"/>
          <w:lang w:val="en-US"/>
        </w:rPr>
        <w:t>At the infrastructure layer, heterogeneous network components—including access points, routers, edge servers, and optical backbone links—are modeled with explicit energy profiles. Each component is characterized by idle power, peak power, and dynamic energy scaling behavior. Energy-aware device models are constructed based on real-world specifications to ensure realistic power consumption modeling.</w:t>
      </w:r>
    </w:p>
    <w:p w14:paraId="3ED731CC" w14:textId="6330CBEF" w:rsidR="00055B35" w:rsidRPr="00055B35" w:rsidRDefault="00055B35" w:rsidP="00055B35">
      <w:pPr>
        <w:pStyle w:val="BodyText"/>
        <w:tabs>
          <w:tab w:val="left" w:pos="288"/>
        </w:tabs>
        <w:rPr>
          <w:sz w:val="20"/>
          <w:szCs w:val="20"/>
          <w:lang w:val="en-US"/>
        </w:rPr>
      </w:pPr>
      <w:r w:rsidRPr="00055B35">
        <w:rPr>
          <w:sz w:val="20"/>
          <w:szCs w:val="20"/>
          <w:lang w:val="en-US"/>
        </w:rPr>
        <w:t>The network and protocol layer incorporates energy-aware routing, adaptive link scheduling, and traffic-aware resource allocation mechanisms. This layer supports both wired and wireless communication paradigms, including IoT, edge-cloud, and core network segments</w:t>
      </w:r>
      <w:r w:rsidR="00CB0F54">
        <w:rPr>
          <w:rFonts w:hint="eastAsia"/>
          <w:sz w:val="20"/>
          <w:szCs w:val="20"/>
          <w:lang w:val="en-US"/>
        </w:rPr>
        <w:t xml:space="preserve"> (Table 1)</w:t>
      </w:r>
      <w:r w:rsidRPr="00055B35">
        <w:rPr>
          <w:sz w:val="20"/>
          <w:szCs w:val="20"/>
          <w:lang w:val="en-US"/>
        </w:rPr>
        <w:t>.</w:t>
      </w:r>
    </w:p>
    <w:p w14:paraId="609E3F2A" w14:textId="77777777" w:rsidR="00055B35" w:rsidRDefault="00055B35" w:rsidP="00055B35">
      <w:pPr>
        <w:pStyle w:val="BodyText"/>
        <w:tabs>
          <w:tab w:val="left" w:pos="288"/>
        </w:tabs>
        <w:rPr>
          <w:sz w:val="20"/>
          <w:szCs w:val="20"/>
          <w:lang w:val="en-US"/>
        </w:rPr>
      </w:pPr>
      <w:r w:rsidRPr="00055B35">
        <w:rPr>
          <w:sz w:val="20"/>
          <w:szCs w:val="20"/>
          <w:lang w:val="en-US"/>
        </w:rPr>
        <w:t>The intelligence and control layer introduces software-defined networking (SDN) and machine learning–based optimization agents to enable global network visibility and dynamic energy optimization. This layer continuously monitors traffic demand, latency constraints, and power usage to guide adaptive protocol decisions.</w:t>
      </w:r>
    </w:p>
    <w:p w14:paraId="47D8D700" w14:textId="77777777" w:rsidR="0088740E" w:rsidRDefault="0088740E" w:rsidP="00055B35">
      <w:pPr>
        <w:pStyle w:val="BodyText"/>
        <w:tabs>
          <w:tab w:val="left" w:pos="288"/>
        </w:tabs>
        <w:rPr>
          <w:sz w:val="20"/>
          <w:szCs w:val="20"/>
          <w:lang w:val="en-US"/>
        </w:rPr>
      </w:pPr>
    </w:p>
    <w:p w14:paraId="249F9F97" w14:textId="29536D07" w:rsidR="00CB116D" w:rsidRPr="00CB116D" w:rsidRDefault="00CB116D" w:rsidP="00CB116D">
      <w:pPr>
        <w:pStyle w:val="BodyText"/>
        <w:tabs>
          <w:tab w:val="left" w:pos="288"/>
        </w:tabs>
        <w:ind w:firstLine="0"/>
        <w:jc w:val="center"/>
        <w:rPr>
          <w:sz w:val="18"/>
          <w:szCs w:val="18"/>
          <w:lang w:val="en-US"/>
        </w:rPr>
      </w:pPr>
      <w:r w:rsidRPr="00CB116D">
        <w:rPr>
          <w:sz w:val="18"/>
          <w:szCs w:val="18"/>
          <w:lang w:val="en-AU"/>
        </w:rPr>
        <w:lastRenderedPageBreak/>
        <w:t xml:space="preserve">Table </w:t>
      </w:r>
      <w:r w:rsidR="00CB0F54">
        <w:rPr>
          <w:rFonts w:hint="eastAsia"/>
          <w:sz w:val="18"/>
          <w:szCs w:val="18"/>
          <w:lang w:val="en-AU"/>
        </w:rPr>
        <w:t>1</w:t>
      </w:r>
      <w:r w:rsidRPr="00CB116D">
        <w:rPr>
          <w:sz w:val="18"/>
          <w:szCs w:val="18"/>
          <w:lang w:val="en-AU"/>
        </w:rPr>
        <w:t>. Energy Model Parameters for Network Components</w:t>
      </w:r>
    </w:p>
    <w:tbl>
      <w:tblPr>
        <w:tblStyle w:val="TableGrid"/>
        <w:tblW w:w="0" w:type="auto"/>
        <w:tblLook w:val="04A0" w:firstRow="1" w:lastRow="0" w:firstColumn="1" w:lastColumn="0" w:noHBand="0" w:noVBand="1"/>
      </w:tblPr>
      <w:tblGrid>
        <w:gridCol w:w="1008"/>
        <w:gridCol w:w="711"/>
        <w:gridCol w:w="711"/>
        <w:gridCol w:w="721"/>
        <w:gridCol w:w="927"/>
        <w:gridCol w:w="1013"/>
      </w:tblGrid>
      <w:tr w:rsidR="00CB116D" w:rsidRPr="00CB116D" w14:paraId="5197F7AD" w14:textId="77777777" w:rsidTr="00710099">
        <w:tc>
          <w:tcPr>
            <w:tcW w:w="848" w:type="dxa"/>
            <w:vAlign w:val="center"/>
          </w:tcPr>
          <w:p w14:paraId="7A482DEC" w14:textId="2D5D1986" w:rsidR="00CB116D" w:rsidRPr="00CB116D" w:rsidRDefault="00CB116D" w:rsidP="00CB116D">
            <w:pPr>
              <w:pStyle w:val="BodyText"/>
              <w:tabs>
                <w:tab w:val="left" w:pos="288"/>
              </w:tabs>
              <w:ind w:firstLine="0"/>
              <w:rPr>
                <w:sz w:val="16"/>
                <w:szCs w:val="16"/>
                <w:lang w:val="en-US"/>
              </w:rPr>
            </w:pPr>
            <w:r w:rsidRPr="00CB116D">
              <w:rPr>
                <w:rStyle w:val="Strong"/>
                <w:sz w:val="16"/>
                <w:szCs w:val="16"/>
              </w:rPr>
              <w:t>Network Component</w:t>
            </w:r>
          </w:p>
        </w:tc>
        <w:tc>
          <w:tcPr>
            <w:tcW w:w="848" w:type="dxa"/>
            <w:vAlign w:val="center"/>
          </w:tcPr>
          <w:p w14:paraId="3E16A421" w14:textId="67A9082A" w:rsidR="00CB116D" w:rsidRPr="00CB116D" w:rsidRDefault="00CB116D" w:rsidP="00CB116D">
            <w:pPr>
              <w:pStyle w:val="BodyText"/>
              <w:tabs>
                <w:tab w:val="left" w:pos="288"/>
              </w:tabs>
              <w:ind w:firstLine="0"/>
              <w:rPr>
                <w:sz w:val="16"/>
                <w:szCs w:val="16"/>
                <w:lang w:val="en-US"/>
              </w:rPr>
            </w:pPr>
            <w:r w:rsidRPr="00CB116D">
              <w:rPr>
                <w:rStyle w:val="Strong"/>
                <w:sz w:val="16"/>
                <w:szCs w:val="16"/>
              </w:rPr>
              <w:t>Active Power (W)</w:t>
            </w:r>
          </w:p>
        </w:tc>
        <w:tc>
          <w:tcPr>
            <w:tcW w:w="848" w:type="dxa"/>
            <w:vAlign w:val="center"/>
          </w:tcPr>
          <w:p w14:paraId="05A36753" w14:textId="5AAB1A78" w:rsidR="00CB116D" w:rsidRPr="00CB116D" w:rsidRDefault="00CB116D" w:rsidP="00CB116D">
            <w:pPr>
              <w:pStyle w:val="BodyText"/>
              <w:tabs>
                <w:tab w:val="left" w:pos="288"/>
              </w:tabs>
              <w:ind w:firstLine="0"/>
              <w:rPr>
                <w:sz w:val="16"/>
                <w:szCs w:val="16"/>
                <w:lang w:val="en-US"/>
              </w:rPr>
            </w:pPr>
            <w:r w:rsidRPr="00CB116D">
              <w:rPr>
                <w:rStyle w:val="Strong"/>
                <w:sz w:val="16"/>
                <w:szCs w:val="16"/>
              </w:rPr>
              <w:t>Idle Power (W)</w:t>
            </w:r>
          </w:p>
        </w:tc>
        <w:tc>
          <w:tcPr>
            <w:tcW w:w="849" w:type="dxa"/>
            <w:vAlign w:val="center"/>
          </w:tcPr>
          <w:p w14:paraId="68BF8CC1" w14:textId="712362A1" w:rsidR="00CB116D" w:rsidRPr="00CB116D" w:rsidRDefault="00CB116D" w:rsidP="00CB116D">
            <w:pPr>
              <w:pStyle w:val="BodyText"/>
              <w:tabs>
                <w:tab w:val="left" w:pos="288"/>
              </w:tabs>
              <w:ind w:firstLine="0"/>
              <w:rPr>
                <w:sz w:val="16"/>
                <w:szCs w:val="16"/>
                <w:lang w:val="en-US"/>
              </w:rPr>
            </w:pPr>
            <w:r w:rsidRPr="00CB116D">
              <w:rPr>
                <w:rStyle w:val="Strong"/>
                <w:sz w:val="16"/>
                <w:szCs w:val="16"/>
              </w:rPr>
              <w:t>Sleep Power (W)</w:t>
            </w:r>
          </w:p>
        </w:tc>
        <w:tc>
          <w:tcPr>
            <w:tcW w:w="849" w:type="dxa"/>
            <w:vAlign w:val="center"/>
          </w:tcPr>
          <w:p w14:paraId="1787AB65" w14:textId="758BB00C" w:rsidR="00CB116D" w:rsidRPr="00CB116D" w:rsidRDefault="00CB116D" w:rsidP="00CB116D">
            <w:pPr>
              <w:pStyle w:val="BodyText"/>
              <w:tabs>
                <w:tab w:val="left" w:pos="288"/>
              </w:tabs>
              <w:ind w:firstLine="0"/>
              <w:rPr>
                <w:sz w:val="16"/>
                <w:szCs w:val="16"/>
                <w:lang w:val="en-US"/>
              </w:rPr>
            </w:pPr>
            <w:r w:rsidRPr="00CB116D">
              <w:rPr>
                <w:rStyle w:val="Strong"/>
                <w:sz w:val="16"/>
                <w:szCs w:val="16"/>
              </w:rPr>
              <w:t>Transition Time (ms)</w:t>
            </w:r>
          </w:p>
        </w:tc>
        <w:tc>
          <w:tcPr>
            <w:tcW w:w="849" w:type="dxa"/>
            <w:vAlign w:val="center"/>
          </w:tcPr>
          <w:p w14:paraId="4AC70F04" w14:textId="0AEDBC6A" w:rsidR="00CB116D" w:rsidRPr="00CB116D" w:rsidRDefault="00CB116D" w:rsidP="00CB116D">
            <w:pPr>
              <w:pStyle w:val="BodyText"/>
              <w:tabs>
                <w:tab w:val="left" w:pos="288"/>
              </w:tabs>
              <w:ind w:firstLine="0"/>
              <w:rPr>
                <w:sz w:val="16"/>
                <w:szCs w:val="16"/>
                <w:lang w:val="en-US"/>
              </w:rPr>
            </w:pPr>
            <w:r w:rsidRPr="00CB116D">
              <w:rPr>
                <w:rStyle w:val="Strong"/>
                <w:sz w:val="16"/>
                <w:szCs w:val="16"/>
              </w:rPr>
              <w:t>Energy Model Notes</w:t>
            </w:r>
          </w:p>
        </w:tc>
      </w:tr>
      <w:tr w:rsidR="00CB116D" w:rsidRPr="00CB116D" w14:paraId="0872569D" w14:textId="77777777" w:rsidTr="00710099">
        <w:tc>
          <w:tcPr>
            <w:tcW w:w="848" w:type="dxa"/>
            <w:vAlign w:val="center"/>
          </w:tcPr>
          <w:p w14:paraId="4E057EEA" w14:textId="5D61F251" w:rsidR="00CB116D" w:rsidRPr="00CB116D" w:rsidRDefault="00CB116D" w:rsidP="00CB116D">
            <w:pPr>
              <w:pStyle w:val="BodyText"/>
              <w:tabs>
                <w:tab w:val="left" w:pos="288"/>
              </w:tabs>
              <w:ind w:firstLine="0"/>
              <w:rPr>
                <w:sz w:val="16"/>
                <w:szCs w:val="16"/>
                <w:lang w:val="en-US"/>
              </w:rPr>
            </w:pPr>
            <w:r w:rsidRPr="00CB116D">
              <w:rPr>
                <w:sz w:val="16"/>
                <w:szCs w:val="16"/>
              </w:rPr>
              <w:t>IoT sensor node</w:t>
            </w:r>
          </w:p>
        </w:tc>
        <w:tc>
          <w:tcPr>
            <w:tcW w:w="848" w:type="dxa"/>
            <w:vAlign w:val="center"/>
          </w:tcPr>
          <w:p w14:paraId="43E2B365" w14:textId="1199F607" w:rsidR="00CB116D" w:rsidRPr="00CB116D" w:rsidRDefault="00CB116D" w:rsidP="00CB116D">
            <w:pPr>
              <w:pStyle w:val="BodyText"/>
              <w:tabs>
                <w:tab w:val="left" w:pos="288"/>
              </w:tabs>
              <w:ind w:firstLine="0"/>
              <w:rPr>
                <w:sz w:val="16"/>
                <w:szCs w:val="16"/>
                <w:lang w:val="en-US"/>
              </w:rPr>
            </w:pPr>
            <w:r w:rsidRPr="00CB116D">
              <w:rPr>
                <w:sz w:val="16"/>
                <w:szCs w:val="16"/>
              </w:rPr>
              <w:t>0.05–0.20</w:t>
            </w:r>
          </w:p>
        </w:tc>
        <w:tc>
          <w:tcPr>
            <w:tcW w:w="848" w:type="dxa"/>
            <w:vAlign w:val="center"/>
          </w:tcPr>
          <w:p w14:paraId="6B09021B" w14:textId="5A8033E5" w:rsidR="00CB116D" w:rsidRPr="00CB116D" w:rsidRDefault="00CB116D" w:rsidP="00CB116D">
            <w:pPr>
              <w:pStyle w:val="BodyText"/>
              <w:tabs>
                <w:tab w:val="left" w:pos="288"/>
              </w:tabs>
              <w:ind w:firstLine="0"/>
              <w:rPr>
                <w:sz w:val="16"/>
                <w:szCs w:val="16"/>
                <w:lang w:val="en-US"/>
              </w:rPr>
            </w:pPr>
            <w:r w:rsidRPr="00CB116D">
              <w:rPr>
                <w:sz w:val="16"/>
                <w:szCs w:val="16"/>
              </w:rPr>
              <w:t>0.01–0.05</w:t>
            </w:r>
          </w:p>
        </w:tc>
        <w:tc>
          <w:tcPr>
            <w:tcW w:w="849" w:type="dxa"/>
            <w:vAlign w:val="center"/>
          </w:tcPr>
          <w:p w14:paraId="53A2AC89" w14:textId="0353D1BB" w:rsidR="00CB116D" w:rsidRPr="00CB116D" w:rsidRDefault="00CB116D" w:rsidP="00CB116D">
            <w:pPr>
              <w:pStyle w:val="BodyText"/>
              <w:tabs>
                <w:tab w:val="left" w:pos="288"/>
              </w:tabs>
              <w:ind w:firstLine="0"/>
              <w:rPr>
                <w:sz w:val="16"/>
                <w:szCs w:val="16"/>
                <w:lang w:val="en-US"/>
              </w:rPr>
            </w:pPr>
            <w:r w:rsidRPr="00CB116D">
              <w:rPr>
                <w:sz w:val="16"/>
                <w:szCs w:val="16"/>
              </w:rPr>
              <w:t>&lt;0.005</w:t>
            </w:r>
          </w:p>
        </w:tc>
        <w:tc>
          <w:tcPr>
            <w:tcW w:w="849" w:type="dxa"/>
            <w:vAlign w:val="center"/>
          </w:tcPr>
          <w:p w14:paraId="22C1DECF" w14:textId="41A197E0" w:rsidR="00CB116D" w:rsidRPr="00CB116D" w:rsidRDefault="00CB116D" w:rsidP="00CB116D">
            <w:pPr>
              <w:pStyle w:val="BodyText"/>
              <w:tabs>
                <w:tab w:val="left" w:pos="288"/>
              </w:tabs>
              <w:ind w:firstLine="0"/>
              <w:rPr>
                <w:sz w:val="16"/>
                <w:szCs w:val="16"/>
                <w:lang w:val="en-US"/>
              </w:rPr>
            </w:pPr>
            <w:r w:rsidRPr="00CB116D">
              <w:rPr>
                <w:sz w:val="16"/>
                <w:szCs w:val="16"/>
              </w:rPr>
              <w:t>5–20</w:t>
            </w:r>
          </w:p>
        </w:tc>
        <w:tc>
          <w:tcPr>
            <w:tcW w:w="849" w:type="dxa"/>
            <w:vAlign w:val="center"/>
          </w:tcPr>
          <w:p w14:paraId="028D7947" w14:textId="6F4C34E8" w:rsidR="00CB116D" w:rsidRPr="00CB116D" w:rsidRDefault="00CB116D" w:rsidP="00CB116D">
            <w:pPr>
              <w:pStyle w:val="BodyText"/>
              <w:tabs>
                <w:tab w:val="left" w:pos="288"/>
              </w:tabs>
              <w:ind w:firstLine="0"/>
              <w:rPr>
                <w:sz w:val="16"/>
                <w:szCs w:val="16"/>
                <w:lang w:val="en-US"/>
              </w:rPr>
            </w:pPr>
            <w:r w:rsidRPr="00CB116D">
              <w:rPr>
                <w:sz w:val="16"/>
                <w:szCs w:val="16"/>
              </w:rPr>
              <w:t>Duty-cycled, battery-powered</w:t>
            </w:r>
          </w:p>
        </w:tc>
      </w:tr>
      <w:tr w:rsidR="00CB116D" w:rsidRPr="00CB116D" w14:paraId="0135105C" w14:textId="77777777" w:rsidTr="00710099">
        <w:tc>
          <w:tcPr>
            <w:tcW w:w="848" w:type="dxa"/>
            <w:vAlign w:val="center"/>
          </w:tcPr>
          <w:p w14:paraId="257172E5" w14:textId="59969287" w:rsidR="00CB116D" w:rsidRPr="00CB116D" w:rsidRDefault="00CB116D" w:rsidP="00CB116D">
            <w:pPr>
              <w:pStyle w:val="BodyText"/>
              <w:tabs>
                <w:tab w:val="left" w:pos="288"/>
              </w:tabs>
              <w:ind w:firstLine="0"/>
              <w:rPr>
                <w:sz w:val="16"/>
                <w:szCs w:val="16"/>
                <w:lang w:val="en-US"/>
              </w:rPr>
            </w:pPr>
            <w:r w:rsidRPr="00CB116D">
              <w:rPr>
                <w:sz w:val="16"/>
                <w:szCs w:val="16"/>
              </w:rPr>
              <w:t>Access point / Base station</w:t>
            </w:r>
          </w:p>
        </w:tc>
        <w:tc>
          <w:tcPr>
            <w:tcW w:w="848" w:type="dxa"/>
            <w:vAlign w:val="center"/>
          </w:tcPr>
          <w:p w14:paraId="0C518BF5" w14:textId="008034C4" w:rsidR="00CB116D" w:rsidRPr="00CB116D" w:rsidRDefault="00CB116D" w:rsidP="00CB116D">
            <w:pPr>
              <w:pStyle w:val="BodyText"/>
              <w:tabs>
                <w:tab w:val="left" w:pos="288"/>
              </w:tabs>
              <w:ind w:firstLine="0"/>
              <w:rPr>
                <w:sz w:val="16"/>
                <w:szCs w:val="16"/>
                <w:lang w:val="en-US"/>
              </w:rPr>
            </w:pPr>
            <w:r w:rsidRPr="00CB116D">
              <w:rPr>
                <w:sz w:val="16"/>
                <w:szCs w:val="16"/>
              </w:rPr>
              <w:t>5–15</w:t>
            </w:r>
          </w:p>
        </w:tc>
        <w:tc>
          <w:tcPr>
            <w:tcW w:w="848" w:type="dxa"/>
            <w:vAlign w:val="center"/>
          </w:tcPr>
          <w:p w14:paraId="2F72F941" w14:textId="5174F002" w:rsidR="00CB116D" w:rsidRPr="00CB116D" w:rsidRDefault="00CB116D" w:rsidP="00CB116D">
            <w:pPr>
              <w:pStyle w:val="BodyText"/>
              <w:tabs>
                <w:tab w:val="left" w:pos="288"/>
              </w:tabs>
              <w:ind w:firstLine="0"/>
              <w:rPr>
                <w:sz w:val="16"/>
                <w:szCs w:val="16"/>
                <w:lang w:val="en-US"/>
              </w:rPr>
            </w:pPr>
            <w:r w:rsidRPr="00CB116D">
              <w:rPr>
                <w:sz w:val="16"/>
                <w:szCs w:val="16"/>
              </w:rPr>
              <w:t>3–6</w:t>
            </w:r>
          </w:p>
        </w:tc>
        <w:tc>
          <w:tcPr>
            <w:tcW w:w="849" w:type="dxa"/>
            <w:vAlign w:val="center"/>
          </w:tcPr>
          <w:p w14:paraId="68D0FA21" w14:textId="0E286E66" w:rsidR="00CB116D" w:rsidRPr="00CB116D" w:rsidRDefault="00CB116D" w:rsidP="00CB116D">
            <w:pPr>
              <w:pStyle w:val="BodyText"/>
              <w:tabs>
                <w:tab w:val="left" w:pos="288"/>
              </w:tabs>
              <w:ind w:firstLine="0"/>
              <w:rPr>
                <w:sz w:val="16"/>
                <w:szCs w:val="16"/>
                <w:lang w:val="en-US"/>
              </w:rPr>
            </w:pPr>
            <w:r w:rsidRPr="00CB116D">
              <w:rPr>
                <w:sz w:val="16"/>
                <w:szCs w:val="16"/>
              </w:rPr>
              <w:t>0.5–1.0</w:t>
            </w:r>
          </w:p>
        </w:tc>
        <w:tc>
          <w:tcPr>
            <w:tcW w:w="849" w:type="dxa"/>
            <w:vAlign w:val="center"/>
          </w:tcPr>
          <w:p w14:paraId="3418BF6F" w14:textId="401FECB0" w:rsidR="00CB116D" w:rsidRPr="00CB116D" w:rsidRDefault="00CB116D" w:rsidP="00CB116D">
            <w:pPr>
              <w:pStyle w:val="BodyText"/>
              <w:tabs>
                <w:tab w:val="left" w:pos="288"/>
              </w:tabs>
              <w:ind w:firstLine="0"/>
              <w:rPr>
                <w:sz w:val="16"/>
                <w:szCs w:val="16"/>
                <w:lang w:val="en-US"/>
              </w:rPr>
            </w:pPr>
            <w:r w:rsidRPr="00CB116D">
              <w:rPr>
                <w:sz w:val="16"/>
                <w:szCs w:val="16"/>
              </w:rPr>
              <w:t>50–100</w:t>
            </w:r>
          </w:p>
        </w:tc>
        <w:tc>
          <w:tcPr>
            <w:tcW w:w="849" w:type="dxa"/>
            <w:vAlign w:val="center"/>
          </w:tcPr>
          <w:p w14:paraId="3474D5A6" w14:textId="23C7E72B" w:rsidR="00CB116D" w:rsidRPr="00CB116D" w:rsidRDefault="00CB116D" w:rsidP="00CB116D">
            <w:pPr>
              <w:pStyle w:val="BodyText"/>
              <w:tabs>
                <w:tab w:val="left" w:pos="288"/>
              </w:tabs>
              <w:ind w:firstLine="0"/>
              <w:rPr>
                <w:sz w:val="16"/>
                <w:szCs w:val="16"/>
                <w:lang w:val="en-US"/>
              </w:rPr>
            </w:pPr>
            <w:r w:rsidRPr="00CB116D">
              <w:rPr>
                <w:sz w:val="16"/>
                <w:szCs w:val="16"/>
              </w:rPr>
              <w:t>Adaptive transmission power</w:t>
            </w:r>
          </w:p>
        </w:tc>
      </w:tr>
      <w:tr w:rsidR="00CB116D" w:rsidRPr="00CB116D" w14:paraId="240943EA" w14:textId="77777777" w:rsidTr="00710099">
        <w:tc>
          <w:tcPr>
            <w:tcW w:w="848" w:type="dxa"/>
            <w:vAlign w:val="center"/>
          </w:tcPr>
          <w:p w14:paraId="6BC13EBC" w14:textId="46FC1E2F" w:rsidR="00CB116D" w:rsidRPr="00CB116D" w:rsidRDefault="00CB116D" w:rsidP="00CB116D">
            <w:pPr>
              <w:pStyle w:val="BodyText"/>
              <w:tabs>
                <w:tab w:val="left" w:pos="288"/>
              </w:tabs>
              <w:ind w:firstLine="0"/>
              <w:rPr>
                <w:sz w:val="16"/>
                <w:szCs w:val="16"/>
                <w:lang w:val="en-US"/>
              </w:rPr>
            </w:pPr>
            <w:r w:rsidRPr="00CB116D">
              <w:rPr>
                <w:sz w:val="16"/>
                <w:szCs w:val="16"/>
              </w:rPr>
              <w:t>Router / Switch</w:t>
            </w:r>
          </w:p>
        </w:tc>
        <w:tc>
          <w:tcPr>
            <w:tcW w:w="848" w:type="dxa"/>
            <w:vAlign w:val="center"/>
          </w:tcPr>
          <w:p w14:paraId="6F909DAB" w14:textId="511EC871" w:rsidR="00CB116D" w:rsidRPr="00CB116D" w:rsidRDefault="00CB116D" w:rsidP="00CB116D">
            <w:pPr>
              <w:pStyle w:val="BodyText"/>
              <w:tabs>
                <w:tab w:val="left" w:pos="288"/>
              </w:tabs>
              <w:ind w:firstLine="0"/>
              <w:rPr>
                <w:sz w:val="16"/>
                <w:szCs w:val="16"/>
                <w:lang w:val="en-US"/>
              </w:rPr>
            </w:pPr>
            <w:r w:rsidRPr="00CB116D">
              <w:rPr>
                <w:sz w:val="16"/>
                <w:szCs w:val="16"/>
              </w:rPr>
              <w:t>20–80</w:t>
            </w:r>
          </w:p>
        </w:tc>
        <w:tc>
          <w:tcPr>
            <w:tcW w:w="848" w:type="dxa"/>
            <w:vAlign w:val="center"/>
          </w:tcPr>
          <w:p w14:paraId="19FD99BE" w14:textId="24FC68F3" w:rsidR="00CB116D" w:rsidRPr="00CB116D" w:rsidRDefault="00CB116D" w:rsidP="00CB116D">
            <w:pPr>
              <w:pStyle w:val="BodyText"/>
              <w:tabs>
                <w:tab w:val="left" w:pos="288"/>
              </w:tabs>
              <w:ind w:firstLine="0"/>
              <w:rPr>
                <w:sz w:val="16"/>
                <w:szCs w:val="16"/>
                <w:lang w:val="en-US"/>
              </w:rPr>
            </w:pPr>
            <w:r w:rsidRPr="00CB116D">
              <w:rPr>
                <w:sz w:val="16"/>
                <w:szCs w:val="16"/>
              </w:rPr>
              <w:t>12–40</w:t>
            </w:r>
          </w:p>
        </w:tc>
        <w:tc>
          <w:tcPr>
            <w:tcW w:w="849" w:type="dxa"/>
            <w:vAlign w:val="center"/>
          </w:tcPr>
          <w:p w14:paraId="30FFC1CD" w14:textId="0252FA36" w:rsidR="00CB116D" w:rsidRPr="00CB116D" w:rsidRDefault="00CB116D" w:rsidP="00CB116D">
            <w:pPr>
              <w:pStyle w:val="BodyText"/>
              <w:tabs>
                <w:tab w:val="left" w:pos="288"/>
              </w:tabs>
              <w:ind w:firstLine="0"/>
              <w:rPr>
                <w:sz w:val="16"/>
                <w:szCs w:val="16"/>
                <w:lang w:val="en-US"/>
              </w:rPr>
            </w:pPr>
            <w:r w:rsidRPr="00CB116D">
              <w:rPr>
                <w:sz w:val="16"/>
                <w:szCs w:val="16"/>
              </w:rPr>
              <w:t>3–8</w:t>
            </w:r>
          </w:p>
        </w:tc>
        <w:tc>
          <w:tcPr>
            <w:tcW w:w="849" w:type="dxa"/>
            <w:vAlign w:val="center"/>
          </w:tcPr>
          <w:p w14:paraId="5EBA9CA7" w14:textId="4455AB7B" w:rsidR="00CB116D" w:rsidRPr="00CB116D" w:rsidRDefault="00CB116D" w:rsidP="00CB116D">
            <w:pPr>
              <w:pStyle w:val="BodyText"/>
              <w:tabs>
                <w:tab w:val="left" w:pos="288"/>
              </w:tabs>
              <w:ind w:firstLine="0"/>
              <w:rPr>
                <w:sz w:val="16"/>
                <w:szCs w:val="16"/>
                <w:lang w:val="en-US"/>
              </w:rPr>
            </w:pPr>
            <w:r w:rsidRPr="00CB116D">
              <w:rPr>
                <w:sz w:val="16"/>
                <w:szCs w:val="16"/>
              </w:rPr>
              <w:t>100–300</w:t>
            </w:r>
          </w:p>
        </w:tc>
        <w:tc>
          <w:tcPr>
            <w:tcW w:w="849" w:type="dxa"/>
            <w:vAlign w:val="center"/>
          </w:tcPr>
          <w:p w14:paraId="3818A1F0" w14:textId="25A05A90" w:rsidR="00CB116D" w:rsidRPr="00CB116D" w:rsidRDefault="00CB116D" w:rsidP="00CB116D">
            <w:pPr>
              <w:pStyle w:val="BodyText"/>
              <w:tabs>
                <w:tab w:val="left" w:pos="288"/>
              </w:tabs>
              <w:ind w:firstLine="0"/>
              <w:rPr>
                <w:sz w:val="16"/>
                <w:szCs w:val="16"/>
                <w:lang w:val="en-US"/>
              </w:rPr>
            </w:pPr>
            <w:r w:rsidRPr="00CB116D">
              <w:rPr>
                <w:sz w:val="16"/>
                <w:szCs w:val="16"/>
              </w:rPr>
              <w:t>Load-dependent power scaling</w:t>
            </w:r>
          </w:p>
        </w:tc>
      </w:tr>
      <w:tr w:rsidR="00CB116D" w:rsidRPr="00CB116D" w14:paraId="3B038C5D" w14:textId="77777777" w:rsidTr="00710099">
        <w:tc>
          <w:tcPr>
            <w:tcW w:w="848" w:type="dxa"/>
            <w:vAlign w:val="center"/>
          </w:tcPr>
          <w:p w14:paraId="127F25AD" w14:textId="13BF1EBB" w:rsidR="00CB116D" w:rsidRPr="00CB116D" w:rsidRDefault="00CB116D" w:rsidP="00CB116D">
            <w:pPr>
              <w:pStyle w:val="BodyText"/>
              <w:tabs>
                <w:tab w:val="left" w:pos="288"/>
              </w:tabs>
              <w:ind w:firstLine="0"/>
              <w:rPr>
                <w:sz w:val="16"/>
                <w:szCs w:val="16"/>
                <w:lang w:val="en-US"/>
              </w:rPr>
            </w:pPr>
            <w:r w:rsidRPr="00CB116D">
              <w:rPr>
                <w:sz w:val="16"/>
                <w:szCs w:val="16"/>
              </w:rPr>
              <w:t>Edge server</w:t>
            </w:r>
          </w:p>
        </w:tc>
        <w:tc>
          <w:tcPr>
            <w:tcW w:w="848" w:type="dxa"/>
            <w:vAlign w:val="center"/>
          </w:tcPr>
          <w:p w14:paraId="32D52422" w14:textId="260AAC4D" w:rsidR="00CB116D" w:rsidRPr="00CB116D" w:rsidRDefault="00CB116D" w:rsidP="00CB116D">
            <w:pPr>
              <w:pStyle w:val="BodyText"/>
              <w:tabs>
                <w:tab w:val="left" w:pos="288"/>
              </w:tabs>
              <w:ind w:firstLine="0"/>
              <w:rPr>
                <w:sz w:val="16"/>
                <w:szCs w:val="16"/>
                <w:lang w:val="en-US"/>
              </w:rPr>
            </w:pPr>
            <w:r w:rsidRPr="00CB116D">
              <w:rPr>
                <w:sz w:val="16"/>
                <w:szCs w:val="16"/>
              </w:rPr>
              <w:t>150–400</w:t>
            </w:r>
          </w:p>
        </w:tc>
        <w:tc>
          <w:tcPr>
            <w:tcW w:w="848" w:type="dxa"/>
            <w:vAlign w:val="center"/>
          </w:tcPr>
          <w:p w14:paraId="35D7EE5D" w14:textId="0280BA94" w:rsidR="00CB116D" w:rsidRPr="00CB116D" w:rsidRDefault="00CB116D" w:rsidP="00CB116D">
            <w:pPr>
              <w:pStyle w:val="BodyText"/>
              <w:tabs>
                <w:tab w:val="left" w:pos="288"/>
              </w:tabs>
              <w:ind w:firstLine="0"/>
              <w:rPr>
                <w:sz w:val="16"/>
                <w:szCs w:val="16"/>
                <w:lang w:val="en-US"/>
              </w:rPr>
            </w:pPr>
            <w:r w:rsidRPr="00CB116D">
              <w:rPr>
                <w:sz w:val="16"/>
                <w:szCs w:val="16"/>
              </w:rPr>
              <w:t>80–200</w:t>
            </w:r>
          </w:p>
        </w:tc>
        <w:tc>
          <w:tcPr>
            <w:tcW w:w="849" w:type="dxa"/>
            <w:vAlign w:val="center"/>
          </w:tcPr>
          <w:p w14:paraId="37E04099" w14:textId="1F826083" w:rsidR="00CB116D" w:rsidRPr="00CB116D" w:rsidRDefault="00CB116D" w:rsidP="00CB116D">
            <w:pPr>
              <w:pStyle w:val="BodyText"/>
              <w:tabs>
                <w:tab w:val="left" w:pos="288"/>
              </w:tabs>
              <w:ind w:firstLine="0"/>
              <w:rPr>
                <w:sz w:val="16"/>
                <w:szCs w:val="16"/>
                <w:lang w:val="en-US"/>
              </w:rPr>
            </w:pPr>
            <w:r w:rsidRPr="00CB116D">
              <w:rPr>
                <w:sz w:val="16"/>
                <w:szCs w:val="16"/>
              </w:rPr>
              <w:t>20–50</w:t>
            </w:r>
          </w:p>
        </w:tc>
        <w:tc>
          <w:tcPr>
            <w:tcW w:w="849" w:type="dxa"/>
            <w:vAlign w:val="center"/>
          </w:tcPr>
          <w:p w14:paraId="311B0D1E" w14:textId="67BD4387" w:rsidR="00CB116D" w:rsidRPr="00CB116D" w:rsidRDefault="00CB116D" w:rsidP="00CB116D">
            <w:pPr>
              <w:pStyle w:val="BodyText"/>
              <w:tabs>
                <w:tab w:val="left" w:pos="288"/>
              </w:tabs>
              <w:ind w:firstLine="0"/>
              <w:rPr>
                <w:sz w:val="16"/>
                <w:szCs w:val="16"/>
                <w:lang w:val="en-US"/>
              </w:rPr>
            </w:pPr>
            <w:r w:rsidRPr="00CB116D">
              <w:rPr>
                <w:sz w:val="16"/>
                <w:szCs w:val="16"/>
              </w:rPr>
              <w:t>500–1,000</w:t>
            </w:r>
          </w:p>
        </w:tc>
        <w:tc>
          <w:tcPr>
            <w:tcW w:w="849" w:type="dxa"/>
            <w:vAlign w:val="center"/>
          </w:tcPr>
          <w:p w14:paraId="75D30213" w14:textId="62D47CE4" w:rsidR="00CB116D" w:rsidRPr="00CB116D" w:rsidRDefault="00CB116D" w:rsidP="00CB116D">
            <w:pPr>
              <w:pStyle w:val="BodyText"/>
              <w:tabs>
                <w:tab w:val="left" w:pos="288"/>
              </w:tabs>
              <w:ind w:firstLine="0"/>
              <w:rPr>
                <w:sz w:val="16"/>
                <w:szCs w:val="16"/>
                <w:lang w:val="en-US"/>
              </w:rPr>
            </w:pPr>
            <w:r w:rsidRPr="00CB116D">
              <w:rPr>
                <w:sz w:val="16"/>
                <w:szCs w:val="16"/>
              </w:rPr>
              <w:t>DVFS-enabled processing</w:t>
            </w:r>
          </w:p>
        </w:tc>
      </w:tr>
      <w:tr w:rsidR="00CB116D" w:rsidRPr="00CB116D" w14:paraId="43B288B2" w14:textId="77777777" w:rsidTr="00710099">
        <w:tc>
          <w:tcPr>
            <w:tcW w:w="848" w:type="dxa"/>
            <w:vAlign w:val="center"/>
          </w:tcPr>
          <w:p w14:paraId="122C9033" w14:textId="0CC8116B" w:rsidR="00CB116D" w:rsidRPr="00CB116D" w:rsidRDefault="00CB116D" w:rsidP="00CB116D">
            <w:pPr>
              <w:pStyle w:val="BodyText"/>
              <w:tabs>
                <w:tab w:val="left" w:pos="288"/>
              </w:tabs>
              <w:ind w:firstLine="0"/>
              <w:rPr>
                <w:sz w:val="16"/>
                <w:szCs w:val="16"/>
                <w:lang w:val="en-US"/>
              </w:rPr>
            </w:pPr>
            <w:r w:rsidRPr="00CB116D">
              <w:rPr>
                <w:sz w:val="16"/>
                <w:szCs w:val="16"/>
              </w:rPr>
              <w:t>Core / Backbone link</w:t>
            </w:r>
          </w:p>
        </w:tc>
        <w:tc>
          <w:tcPr>
            <w:tcW w:w="848" w:type="dxa"/>
            <w:vAlign w:val="center"/>
          </w:tcPr>
          <w:p w14:paraId="52A4A1C9" w14:textId="7251007F" w:rsidR="00CB116D" w:rsidRPr="00CB116D" w:rsidRDefault="00CB116D" w:rsidP="00CB116D">
            <w:pPr>
              <w:pStyle w:val="BodyText"/>
              <w:tabs>
                <w:tab w:val="left" w:pos="288"/>
              </w:tabs>
              <w:ind w:firstLine="0"/>
              <w:rPr>
                <w:sz w:val="16"/>
                <w:szCs w:val="16"/>
                <w:lang w:val="en-US"/>
              </w:rPr>
            </w:pPr>
            <w:r w:rsidRPr="00CB116D">
              <w:rPr>
                <w:sz w:val="16"/>
                <w:szCs w:val="16"/>
              </w:rPr>
              <w:t>300–1,000</w:t>
            </w:r>
          </w:p>
        </w:tc>
        <w:tc>
          <w:tcPr>
            <w:tcW w:w="848" w:type="dxa"/>
            <w:vAlign w:val="center"/>
          </w:tcPr>
          <w:p w14:paraId="10DF6AC6" w14:textId="288D050B" w:rsidR="00CB116D" w:rsidRPr="00CB116D" w:rsidRDefault="00CB116D" w:rsidP="00CB116D">
            <w:pPr>
              <w:pStyle w:val="BodyText"/>
              <w:tabs>
                <w:tab w:val="left" w:pos="288"/>
              </w:tabs>
              <w:ind w:firstLine="0"/>
              <w:rPr>
                <w:sz w:val="16"/>
                <w:szCs w:val="16"/>
                <w:lang w:val="en-US"/>
              </w:rPr>
            </w:pPr>
            <w:r w:rsidRPr="00CB116D">
              <w:rPr>
                <w:sz w:val="16"/>
                <w:szCs w:val="16"/>
              </w:rPr>
              <w:t>200–600</w:t>
            </w:r>
          </w:p>
        </w:tc>
        <w:tc>
          <w:tcPr>
            <w:tcW w:w="849" w:type="dxa"/>
            <w:vAlign w:val="center"/>
          </w:tcPr>
          <w:p w14:paraId="660FDDBB" w14:textId="4507490B" w:rsidR="00CB116D" w:rsidRPr="00CB116D" w:rsidRDefault="00CB116D" w:rsidP="00CB116D">
            <w:pPr>
              <w:pStyle w:val="BodyText"/>
              <w:tabs>
                <w:tab w:val="left" w:pos="288"/>
              </w:tabs>
              <w:ind w:firstLine="0"/>
              <w:rPr>
                <w:sz w:val="16"/>
                <w:szCs w:val="16"/>
                <w:lang w:val="en-US"/>
              </w:rPr>
            </w:pPr>
            <w:r w:rsidRPr="00CB116D">
              <w:rPr>
                <w:sz w:val="16"/>
                <w:szCs w:val="16"/>
              </w:rPr>
              <w:t>50–150</w:t>
            </w:r>
          </w:p>
        </w:tc>
        <w:tc>
          <w:tcPr>
            <w:tcW w:w="849" w:type="dxa"/>
            <w:vAlign w:val="center"/>
          </w:tcPr>
          <w:p w14:paraId="09BA4ACB" w14:textId="438A00DD" w:rsidR="00CB116D" w:rsidRPr="00CB116D" w:rsidRDefault="00CB116D" w:rsidP="00CB116D">
            <w:pPr>
              <w:pStyle w:val="BodyText"/>
              <w:tabs>
                <w:tab w:val="left" w:pos="288"/>
              </w:tabs>
              <w:ind w:firstLine="0"/>
              <w:rPr>
                <w:sz w:val="16"/>
                <w:szCs w:val="16"/>
                <w:lang w:val="en-US"/>
              </w:rPr>
            </w:pPr>
            <w:r w:rsidRPr="00CB116D">
              <w:rPr>
                <w:sz w:val="16"/>
                <w:szCs w:val="16"/>
              </w:rPr>
              <w:t>1,000–2,000</w:t>
            </w:r>
          </w:p>
        </w:tc>
        <w:tc>
          <w:tcPr>
            <w:tcW w:w="849" w:type="dxa"/>
            <w:vAlign w:val="center"/>
          </w:tcPr>
          <w:p w14:paraId="4AD40AE3" w14:textId="204FFE45" w:rsidR="00CB116D" w:rsidRPr="00CB116D" w:rsidRDefault="00CB116D" w:rsidP="00CB116D">
            <w:pPr>
              <w:pStyle w:val="BodyText"/>
              <w:tabs>
                <w:tab w:val="left" w:pos="288"/>
              </w:tabs>
              <w:ind w:firstLine="0"/>
              <w:rPr>
                <w:sz w:val="16"/>
                <w:szCs w:val="16"/>
                <w:lang w:val="en-US"/>
              </w:rPr>
            </w:pPr>
            <w:r w:rsidRPr="00CB116D">
              <w:rPr>
                <w:sz w:val="16"/>
                <w:szCs w:val="16"/>
              </w:rPr>
              <w:t>Traffic-aware link activation</w:t>
            </w:r>
          </w:p>
        </w:tc>
      </w:tr>
    </w:tbl>
    <w:p w14:paraId="7F3875FF" w14:textId="7C81375B" w:rsidR="00FD5D37" w:rsidRDefault="00FD5D37" w:rsidP="00FD5D37">
      <w:pPr>
        <w:pStyle w:val="BodyText"/>
        <w:tabs>
          <w:tab w:val="left" w:pos="288"/>
        </w:tabs>
        <w:ind w:firstLine="0"/>
        <w:rPr>
          <w:sz w:val="20"/>
          <w:szCs w:val="20"/>
          <w:lang w:val="en-US"/>
        </w:rPr>
      </w:pPr>
      <w:r>
        <w:rPr>
          <w:noProof/>
        </w:rPr>
        <w:drawing>
          <wp:inline distT="0" distB="0" distL="0" distR="0" wp14:anchorId="3E545C61" wp14:editId="3E0C56C6">
            <wp:extent cx="3095625" cy="2597150"/>
            <wp:effectExtent l="0" t="0" r="9525" b="0"/>
            <wp:docPr id="1027136983" name="Picture 1" descr="Different dimensions of the architecture of green 6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ferent dimensions of the architecture of green 6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2597150"/>
                    </a:xfrm>
                    <a:prstGeom prst="rect">
                      <a:avLst/>
                    </a:prstGeom>
                    <a:noFill/>
                    <a:ln>
                      <a:noFill/>
                    </a:ln>
                  </pic:spPr>
                </pic:pic>
              </a:graphicData>
            </a:graphic>
          </wp:inline>
        </w:drawing>
      </w:r>
    </w:p>
    <w:p w14:paraId="43F02C1D" w14:textId="2A89A230" w:rsidR="00FD5D37" w:rsidRDefault="00FD5D37" w:rsidP="00FD5D37">
      <w:pPr>
        <w:pStyle w:val="BodyText"/>
        <w:tabs>
          <w:tab w:val="left" w:pos="288"/>
        </w:tabs>
        <w:ind w:firstLine="0"/>
        <w:jc w:val="center"/>
        <w:rPr>
          <w:sz w:val="18"/>
          <w:szCs w:val="18"/>
          <w:lang w:val="en-AU"/>
        </w:rPr>
      </w:pPr>
      <w:r w:rsidRPr="00FD5D37">
        <w:rPr>
          <w:sz w:val="18"/>
          <w:szCs w:val="18"/>
          <w:lang w:val="en-AU"/>
        </w:rPr>
        <w:t>Fig.1. Green Information Network (GIN) Multi-Layer Architecture</w:t>
      </w:r>
    </w:p>
    <w:p w14:paraId="7F3BFF97" w14:textId="653DFFFF" w:rsidR="00055B35" w:rsidRPr="00055B35" w:rsidRDefault="00055B35" w:rsidP="00055B35">
      <w:pPr>
        <w:pStyle w:val="BodyText"/>
        <w:tabs>
          <w:tab w:val="left" w:pos="288"/>
        </w:tabs>
        <w:rPr>
          <w:sz w:val="20"/>
          <w:szCs w:val="20"/>
          <w:lang w:val="en-US"/>
        </w:rPr>
      </w:pPr>
      <w:r w:rsidRPr="00055B35">
        <w:rPr>
          <w:sz w:val="20"/>
          <w:szCs w:val="20"/>
          <w:lang w:val="en-US"/>
        </w:rPr>
        <w:t>To operationalize green networking principles, the study designs and implements energy-aware routing and medium access protocols</w:t>
      </w:r>
      <w:r w:rsidR="001C205F">
        <w:rPr>
          <w:rFonts w:hint="eastAsia"/>
          <w:sz w:val="20"/>
          <w:szCs w:val="20"/>
          <w:lang w:val="en-US"/>
        </w:rPr>
        <w:t xml:space="preserve"> (Figure 2)</w:t>
      </w:r>
      <w:r w:rsidRPr="00055B35">
        <w:rPr>
          <w:sz w:val="20"/>
          <w:szCs w:val="20"/>
          <w:lang w:val="en-US"/>
        </w:rPr>
        <w:t>. Routing decisions are formulated as a multi-objective optimization problem, balancing energy consumption, end-to-end delay, packet delivery ratio, and load balancing.</w:t>
      </w:r>
    </w:p>
    <w:p w14:paraId="3BC9312D" w14:textId="77777777" w:rsidR="00055B35" w:rsidRPr="00055B35" w:rsidRDefault="00055B35" w:rsidP="00055B35">
      <w:pPr>
        <w:pStyle w:val="BodyText"/>
        <w:tabs>
          <w:tab w:val="left" w:pos="288"/>
        </w:tabs>
        <w:rPr>
          <w:sz w:val="20"/>
          <w:szCs w:val="20"/>
          <w:lang w:val="en-US"/>
        </w:rPr>
      </w:pPr>
      <w:r w:rsidRPr="00055B35">
        <w:rPr>
          <w:sz w:val="20"/>
          <w:szCs w:val="20"/>
          <w:lang w:val="en-US"/>
        </w:rPr>
        <w:t>An energy-aware routing metric (EARM) is defined, combining residual energy, transmission power, hop count, and congestion indicators. The routing protocol dynamically selects paths that minimize cumulative energy cost while meeting QoS constraints. For wireless segments, adaptive transmission power control and sleep scheduling are incorporated to reduce idle energy waste.</w:t>
      </w:r>
    </w:p>
    <w:p w14:paraId="307065CA" w14:textId="77777777" w:rsidR="00055B35" w:rsidRPr="00055B35" w:rsidRDefault="00055B35" w:rsidP="00055B35">
      <w:pPr>
        <w:pStyle w:val="BodyText"/>
        <w:tabs>
          <w:tab w:val="left" w:pos="288"/>
        </w:tabs>
        <w:rPr>
          <w:sz w:val="20"/>
          <w:szCs w:val="20"/>
          <w:lang w:val="en-US"/>
        </w:rPr>
      </w:pPr>
      <w:r w:rsidRPr="00055B35">
        <w:rPr>
          <w:sz w:val="20"/>
          <w:szCs w:val="20"/>
          <w:lang w:val="en-US"/>
        </w:rPr>
        <w:t>At the MAC and transport layers, traffic-adaptive duty cycling and rate-aware congestion control mechanisms are implemented. These mechanisms adjust transmission schedules based on traffic intensity, enabling low-power states during off-peak periods without compromising network responsiveness.</w:t>
      </w:r>
    </w:p>
    <w:p w14:paraId="39CBBEB0" w14:textId="3D59D643" w:rsidR="00055B35" w:rsidRPr="00055B35" w:rsidRDefault="00055B35" w:rsidP="00055B35">
      <w:pPr>
        <w:pStyle w:val="BodyText"/>
        <w:tabs>
          <w:tab w:val="left" w:pos="288"/>
        </w:tabs>
        <w:rPr>
          <w:sz w:val="20"/>
          <w:szCs w:val="20"/>
          <w:lang w:val="en-US"/>
        </w:rPr>
      </w:pPr>
      <w:r w:rsidRPr="00055B35">
        <w:rPr>
          <w:sz w:val="20"/>
          <w:szCs w:val="20"/>
          <w:lang w:val="en-US"/>
        </w:rPr>
        <w:t>The proposed GIN framework is evaluated using a simulation-driven methodology</w:t>
      </w:r>
      <w:r w:rsidR="001C205F">
        <w:rPr>
          <w:rFonts w:hint="eastAsia"/>
          <w:sz w:val="20"/>
          <w:szCs w:val="20"/>
          <w:lang w:val="en-US"/>
        </w:rPr>
        <w:t xml:space="preserve"> (Table 2)</w:t>
      </w:r>
      <w:r w:rsidRPr="00055B35">
        <w:rPr>
          <w:sz w:val="20"/>
          <w:szCs w:val="20"/>
          <w:lang w:val="en-US"/>
        </w:rPr>
        <w:t xml:space="preserve">. A hybrid simulation environment is constructed using network </w:t>
      </w:r>
      <w:r w:rsidRPr="00055B35">
        <w:rPr>
          <w:sz w:val="20"/>
          <w:szCs w:val="20"/>
          <w:lang w:val="en-US"/>
        </w:rPr>
        <w:t>simulators capable of modeling large-scale heterogeneous networks with fine-grained energy accounting</w:t>
      </w:r>
      <w:r w:rsidR="001C205F">
        <w:rPr>
          <w:rFonts w:hint="eastAsia"/>
          <w:sz w:val="20"/>
          <w:szCs w:val="20"/>
          <w:lang w:val="en-US"/>
        </w:rPr>
        <w:t xml:space="preserve"> (Figure 3)</w:t>
      </w:r>
      <w:r w:rsidRPr="00055B35">
        <w:rPr>
          <w:sz w:val="20"/>
          <w:szCs w:val="20"/>
          <w:lang w:val="en-US"/>
        </w:rPr>
        <w:t>.</w:t>
      </w:r>
    </w:p>
    <w:p w14:paraId="585F3729" w14:textId="43940A44" w:rsidR="00055B35" w:rsidRPr="00055B35" w:rsidRDefault="00055B35" w:rsidP="00055B35">
      <w:pPr>
        <w:pStyle w:val="BodyText"/>
        <w:tabs>
          <w:tab w:val="left" w:pos="288"/>
        </w:tabs>
        <w:rPr>
          <w:sz w:val="20"/>
          <w:szCs w:val="20"/>
          <w:lang w:val="en-US"/>
        </w:rPr>
      </w:pPr>
      <w:r w:rsidRPr="00055B35">
        <w:rPr>
          <w:sz w:val="20"/>
          <w:szCs w:val="20"/>
          <w:lang w:val="en-US"/>
        </w:rPr>
        <w:t>Network topologies include small-scale IoT-edge deployments, medium-scale enterprise networks, and large-scale backbone scenarios. Traffic patterns are generated to emulate real-world workloads, including periodic sensing traffic, bursty multimedia flows, and latency-sensitive control messages.</w:t>
      </w:r>
    </w:p>
    <w:p w14:paraId="57D3F5D6" w14:textId="77777777" w:rsidR="00055B35" w:rsidRDefault="00055B35" w:rsidP="00055B35">
      <w:pPr>
        <w:pStyle w:val="BodyText"/>
        <w:tabs>
          <w:tab w:val="left" w:pos="288"/>
        </w:tabs>
        <w:rPr>
          <w:sz w:val="20"/>
          <w:szCs w:val="20"/>
          <w:lang w:val="en-US"/>
        </w:rPr>
      </w:pPr>
      <w:r w:rsidRPr="00055B35">
        <w:rPr>
          <w:sz w:val="20"/>
          <w:szCs w:val="20"/>
          <w:lang w:val="en-US"/>
        </w:rPr>
        <w:t>Baseline protocols—representing conventional non-energy-aware routing and static network configurations—are implemented for comparative analysis. All experiments are conducted under identical traffic loads and topology configurations to ensure fair comparison.</w:t>
      </w:r>
    </w:p>
    <w:p w14:paraId="02EA0CCD" w14:textId="3CAB5C76" w:rsidR="00A114E3" w:rsidRDefault="00A114E3" w:rsidP="00A114E3">
      <w:pPr>
        <w:pStyle w:val="BodyText"/>
        <w:tabs>
          <w:tab w:val="left" w:pos="288"/>
        </w:tabs>
        <w:ind w:firstLine="0"/>
        <w:rPr>
          <w:sz w:val="20"/>
          <w:szCs w:val="20"/>
          <w:lang w:val="en-US"/>
        </w:rPr>
      </w:pPr>
      <w:r>
        <w:rPr>
          <w:noProof/>
        </w:rPr>
        <w:drawing>
          <wp:inline distT="0" distB="0" distL="0" distR="0" wp14:anchorId="75EE03A4" wp14:editId="266B93E1">
            <wp:extent cx="3095625" cy="4984750"/>
            <wp:effectExtent l="0" t="0" r="9525" b="6350"/>
            <wp:docPr id="59880274" name="Picture 2" descr="A Secure and Energy-Efficient Cross-Layer Net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ecure and Energy-Efficient Cross-Layer Network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5625" cy="4984750"/>
                    </a:xfrm>
                    <a:prstGeom prst="rect">
                      <a:avLst/>
                    </a:prstGeom>
                    <a:noFill/>
                    <a:ln>
                      <a:noFill/>
                    </a:ln>
                  </pic:spPr>
                </pic:pic>
              </a:graphicData>
            </a:graphic>
          </wp:inline>
        </w:drawing>
      </w:r>
    </w:p>
    <w:p w14:paraId="1A36A72B" w14:textId="3BBB64EE" w:rsidR="00A114E3" w:rsidRDefault="00A114E3" w:rsidP="00A114E3">
      <w:pPr>
        <w:pStyle w:val="BodyText"/>
        <w:tabs>
          <w:tab w:val="left" w:pos="288"/>
        </w:tabs>
        <w:ind w:firstLine="0"/>
        <w:jc w:val="center"/>
        <w:rPr>
          <w:sz w:val="18"/>
          <w:szCs w:val="18"/>
          <w:lang w:val="en-AU"/>
        </w:rPr>
      </w:pPr>
      <w:r w:rsidRPr="00A114E3">
        <w:rPr>
          <w:sz w:val="18"/>
          <w:szCs w:val="18"/>
          <w:lang w:val="en-AU"/>
        </w:rPr>
        <w:t>Fig.2. Energy-Aware Routing and Protocol Stack Design</w:t>
      </w:r>
    </w:p>
    <w:p w14:paraId="4A547763" w14:textId="77777777" w:rsidR="0088740E" w:rsidRPr="0045321A" w:rsidRDefault="0088740E" w:rsidP="0088740E">
      <w:pPr>
        <w:pStyle w:val="BodyText"/>
        <w:tabs>
          <w:tab w:val="left" w:pos="288"/>
        </w:tabs>
        <w:ind w:firstLine="0"/>
        <w:jc w:val="center"/>
        <w:rPr>
          <w:sz w:val="18"/>
          <w:szCs w:val="18"/>
          <w:lang w:val="en-US"/>
        </w:rPr>
      </w:pPr>
      <w:r w:rsidRPr="0045321A">
        <w:rPr>
          <w:sz w:val="18"/>
          <w:szCs w:val="18"/>
          <w:lang w:val="en-US"/>
        </w:rPr>
        <w:t xml:space="preserve">Table </w:t>
      </w:r>
      <w:r>
        <w:rPr>
          <w:rFonts w:hint="eastAsia"/>
          <w:sz w:val="18"/>
          <w:szCs w:val="18"/>
          <w:lang w:val="en-US"/>
        </w:rPr>
        <w:t>2</w:t>
      </w:r>
      <w:r w:rsidRPr="0045321A">
        <w:rPr>
          <w:sz w:val="18"/>
          <w:szCs w:val="18"/>
          <w:lang w:val="en-US"/>
        </w:rPr>
        <w:t>. Simulation Parameters and Network Scenarios</w:t>
      </w:r>
    </w:p>
    <w:tbl>
      <w:tblPr>
        <w:tblStyle w:val="TableGrid"/>
        <w:tblW w:w="0" w:type="auto"/>
        <w:tblLook w:val="04A0" w:firstRow="1" w:lastRow="0" w:firstColumn="1" w:lastColumn="0" w:noHBand="0" w:noVBand="1"/>
      </w:tblPr>
      <w:tblGrid>
        <w:gridCol w:w="1371"/>
        <w:gridCol w:w="1572"/>
        <w:gridCol w:w="2148"/>
      </w:tblGrid>
      <w:tr w:rsidR="0088740E" w14:paraId="6C903F2B" w14:textId="77777777" w:rsidTr="007E7632">
        <w:tc>
          <w:tcPr>
            <w:tcW w:w="1371" w:type="dxa"/>
            <w:vAlign w:val="center"/>
          </w:tcPr>
          <w:p w14:paraId="2574E3FD" w14:textId="77777777" w:rsidR="0088740E" w:rsidRPr="00384437" w:rsidRDefault="0088740E" w:rsidP="007E7632">
            <w:pPr>
              <w:pStyle w:val="BodyText"/>
              <w:tabs>
                <w:tab w:val="left" w:pos="288"/>
              </w:tabs>
              <w:ind w:firstLine="0"/>
              <w:rPr>
                <w:sz w:val="18"/>
                <w:szCs w:val="18"/>
                <w:lang w:val="en-US"/>
              </w:rPr>
            </w:pPr>
            <w:r w:rsidRPr="00384437">
              <w:rPr>
                <w:rStyle w:val="Strong"/>
                <w:sz w:val="18"/>
                <w:szCs w:val="18"/>
              </w:rPr>
              <w:t>Category</w:t>
            </w:r>
          </w:p>
        </w:tc>
        <w:tc>
          <w:tcPr>
            <w:tcW w:w="1572" w:type="dxa"/>
            <w:vAlign w:val="center"/>
          </w:tcPr>
          <w:p w14:paraId="105B1E48" w14:textId="77777777" w:rsidR="0088740E" w:rsidRPr="00384437" w:rsidRDefault="0088740E" w:rsidP="007E7632">
            <w:pPr>
              <w:pStyle w:val="BodyText"/>
              <w:tabs>
                <w:tab w:val="left" w:pos="288"/>
              </w:tabs>
              <w:ind w:firstLine="0"/>
              <w:rPr>
                <w:sz w:val="18"/>
                <w:szCs w:val="18"/>
                <w:lang w:val="en-US"/>
              </w:rPr>
            </w:pPr>
            <w:r w:rsidRPr="00384437">
              <w:rPr>
                <w:rStyle w:val="Strong"/>
                <w:sz w:val="18"/>
                <w:szCs w:val="18"/>
              </w:rPr>
              <w:t>Parameter</w:t>
            </w:r>
          </w:p>
        </w:tc>
        <w:tc>
          <w:tcPr>
            <w:tcW w:w="2148" w:type="dxa"/>
            <w:vAlign w:val="center"/>
          </w:tcPr>
          <w:p w14:paraId="12A55A92" w14:textId="77777777" w:rsidR="0088740E" w:rsidRPr="00384437" w:rsidRDefault="0088740E" w:rsidP="007E7632">
            <w:pPr>
              <w:pStyle w:val="BodyText"/>
              <w:tabs>
                <w:tab w:val="left" w:pos="288"/>
              </w:tabs>
              <w:ind w:firstLine="0"/>
              <w:rPr>
                <w:sz w:val="18"/>
                <w:szCs w:val="18"/>
                <w:lang w:val="en-US"/>
              </w:rPr>
            </w:pPr>
            <w:r w:rsidRPr="00384437">
              <w:rPr>
                <w:rStyle w:val="Strong"/>
                <w:sz w:val="18"/>
                <w:szCs w:val="18"/>
              </w:rPr>
              <w:t>Configuration / Value</w:t>
            </w:r>
          </w:p>
        </w:tc>
      </w:tr>
      <w:tr w:rsidR="0088740E" w14:paraId="376D6A2C" w14:textId="77777777" w:rsidTr="007E7632">
        <w:tc>
          <w:tcPr>
            <w:tcW w:w="1371" w:type="dxa"/>
            <w:vAlign w:val="center"/>
          </w:tcPr>
          <w:p w14:paraId="74D4544C" w14:textId="77777777" w:rsidR="0088740E" w:rsidRPr="00384437" w:rsidRDefault="0088740E" w:rsidP="007E7632">
            <w:pPr>
              <w:pStyle w:val="BodyText"/>
              <w:tabs>
                <w:tab w:val="left" w:pos="288"/>
              </w:tabs>
              <w:ind w:firstLine="0"/>
              <w:rPr>
                <w:sz w:val="18"/>
                <w:szCs w:val="18"/>
                <w:lang w:val="en-US"/>
              </w:rPr>
            </w:pPr>
            <w:r w:rsidRPr="00384437">
              <w:rPr>
                <w:rStyle w:val="Strong"/>
                <w:sz w:val="18"/>
                <w:szCs w:val="18"/>
              </w:rPr>
              <w:t>Simulation Platform</w:t>
            </w:r>
          </w:p>
        </w:tc>
        <w:tc>
          <w:tcPr>
            <w:tcW w:w="1572" w:type="dxa"/>
            <w:vAlign w:val="center"/>
          </w:tcPr>
          <w:p w14:paraId="10B2D53C" w14:textId="77777777" w:rsidR="0088740E" w:rsidRPr="00384437" w:rsidRDefault="0088740E" w:rsidP="007E7632">
            <w:pPr>
              <w:pStyle w:val="BodyText"/>
              <w:tabs>
                <w:tab w:val="left" w:pos="288"/>
              </w:tabs>
              <w:ind w:firstLine="0"/>
              <w:rPr>
                <w:sz w:val="18"/>
                <w:szCs w:val="18"/>
                <w:lang w:val="en-US"/>
              </w:rPr>
            </w:pPr>
            <w:r w:rsidRPr="00384437">
              <w:rPr>
                <w:sz w:val="18"/>
                <w:szCs w:val="18"/>
              </w:rPr>
              <w:t>Network simulator</w:t>
            </w:r>
          </w:p>
        </w:tc>
        <w:tc>
          <w:tcPr>
            <w:tcW w:w="2148" w:type="dxa"/>
            <w:vAlign w:val="center"/>
          </w:tcPr>
          <w:p w14:paraId="37AB0862" w14:textId="77777777" w:rsidR="0088740E" w:rsidRPr="00384437" w:rsidRDefault="0088740E" w:rsidP="007E7632">
            <w:pPr>
              <w:pStyle w:val="BodyText"/>
              <w:tabs>
                <w:tab w:val="left" w:pos="288"/>
              </w:tabs>
              <w:ind w:firstLine="0"/>
              <w:rPr>
                <w:sz w:val="18"/>
                <w:szCs w:val="18"/>
                <w:lang w:val="en-US"/>
              </w:rPr>
            </w:pPr>
            <w:r w:rsidRPr="00384437">
              <w:rPr>
                <w:sz w:val="18"/>
                <w:szCs w:val="18"/>
                <w:lang w:val="en-US"/>
              </w:rPr>
              <w:t xml:space="preserve">NS-3 / </w:t>
            </w:r>
            <w:proofErr w:type="spellStart"/>
            <w:r w:rsidRPr="00384437">
              <w:rPr>
                <w:sz w:val="18"/>
                <w:szCs w:val="18"/>
                <w:lang w:val="en-US"/>
              </w:rPr>
              <w:t>OMNeT</w:t>
            </w:r>
            <w:proofErr w:type="spellEnd"/>
            <w:r w:rsidRPr="00384437">
              <w:rPr>
                <w:sz w:val="18"/>
                <w:szCs w:val="18"/>
                <w:lang w:val="en-US"/>
              </w:rPr>
              <w:t>++ with energy framework</w:t>
            </w:r>
          </w:p>
        </w:tc>
      </w:tr>
      <w:tr w:rsidR="0088740E" w14:paraId="6500C828" w14:textId="77777777" w:rsidTr="007E7632">
        <w:tc>
          <w:tcPr>
            <w:tcW w:w="1371" w:type="dxa"/>
            <w:vAlign w:val="center"/>
          </w:tcPr>
          <w:p w14:paraId="7B8EFA44" w14:textId="77777777" w:rsidR="0088740E" w:rsidRPr="00384437" w:rsidRDefault="0088740E" w:rsidP="007E7632">
            <w:pPr>
              <w:pStyle w:val="BodyText"/>
              <w:tabs>
                <w:tab w:val="left" w:pos="288"/>
              </w:tabs>
              <w:ind w:firstLine="0"/>
              <w:rPr>
                <w:sz w:val="18"/>
                <w:szCs w:val="18"/>
                <w:lang w:val="en-US"/>
              </w:rPr>
            </w:pPr>
          </w:p>
        </w:tc>
        <w:tc>
          <w:tcPr>
            <w:tcW w:w="1572" w:type="dxa"/>
            <w:vAlign w:val="center"/>
          </w:tcPr>
          <w:p w14:paraId="3723EC34" w14:textId="77777777" w:rsidR="0088740E" w:rsidRPr="00384437" w:rsidRDefault="0088740E" w:rsidP="007E7632">
            <w:pPr>
              <w:pStyle w:val="BodyText"/>
              <w:tabs>
                <w:tab w:val="left" w:pos="288"/>
              </w:tabs>
              <w:ind w:firstLine="0"/>
              <w:rPr>
                <w:sz w:val="18"/>
                <w:szCs w:val="18"/>
                <w:lang w:val="en-US"/>
              </w:rPr>
            </w:pPr>
            <w:r w:rsidRPr="00384437">
              <w:rPr>
                <w:sz w:val="18"/>
                <w:szCs w:val="18"/>
              </w:rPr>
              <w:t>Simulation time</w:t>
            </w:r>
          </w:p>
        </w:tc>
        <w:tc>
          <w:tcPr>
            <w:tcW w:w="2148" w:type="dxa"/>
            <w:vAlign w:val="center"/>
          </w:tcPr>
          <w:p w14:paraId="78295723" w14:textId="77777777" w:rsidR="0088740E" w:rsidRPr="00384437" w:rsidRDefault="0088740E" w:rsidP="007E7632">
            <w:pPr>
              <w:pStyle w:val="BodyText"/>
              <w:tabs>
                <w:tab w:val="left" w:pos="288"/>
              </w:tabs>
              <w:ind w:firstLine="0"/>
              <w:rPr>
                <w:sz w:val="18"/>
                <w:szCs w:val="18"/>
                <w:lang w:val="en-US"/>
              </w:rPr>
            </w:pPr>
            <w:r w:rsidRPr="00384437">
              <w:rPr>
                <w:sz w:val="18"/>
                <w:szCs w:val="18"/>
              </w:rPr>
              <w:t>1,000–5,000 s</w:t>
            </w:r>
          </w:p>
        </w:tc>
      </w:tr>
      <w:tr w:rsidR="0088740E" w14:paraId="0C450283" w14:textId="77777777" w:rsidTr="007E7632">
        <w:tc>
          <w:tcPr>
            <w:tcW w:w="1371" w:type="dxa"/>
            <w:vAlign w:val="center"/>
          </w:tcPr>
          <w:p w14:paraId="6A0B9CD7" w14:textId="77777777" w:rsidR="0088740E" w:rsidRPr="00384437" w:rsidRDefault="0088740E" w:rsidP="007E7632">
            <w:pPr>
              <w:pStyle w:val="BodyText"/>
              <w:tabs>
                <w:tab w:val="left" w:pos="288"/>
              </w:tabs>
              <w:ind w:firstLine="0"/>
              <w:rPr>
                <w:sz w:val="18"/>
                <w:szCs w:val="18"/>
                <w:lang w:val="en-US"/>
              </w:rPr>
            </w:pPr>
          </w:p>
        </w:tc>
        <w:tc>
          <w:tcPr>
            <w:tcW w:w="1572" w:type="dxa"/>
            <w:vAlign w:val="center"/>
          </w:tcPr>
          <w:p w14:paraId="5A8CDD0A" w14:textId="77777777" w:rsidR="0088740E" w:rsidRPr="00384437" w:rsidRDefault="0088740E" w:rsidP="007E7632">
            <w:pPr>
              <w:pStyle w:val="BodyText"/>
              <w:tabs>
                <w:tab w:val="left" w:pos="288"/>
              </w:tabs>
              <w:ind w:firstLine="0"/>
              <w:rPr>
                <w:sz w:val="18"/>
                <w:szCs w:val="18"/>
                <w:lang w:val="en-US"/>
              </w:rPr>
            </w:pPr>
            <w:r w:rsidRPr="00384437">
              <w:rPr>
                <w:sz w:val="18"/>
                <w:szCs w:val="18"/>
              </w:rPr>
              <w:t>Repetitions</w:t>
            </w:r>
          </w:p>
        </w:tc>
        <w:tc>
          <w:tcPr>
            <w:tcW w:w="2148" w:type="dxa"/>
            <w:vAlign w:val="center"/>
          </w:tcPr>
          <w:p w14:paraId="6908A8EA" w14:textId="77777777" w:rsidR="0088740E" w:rsidRPr="00384437" w:rsidRDefault="0088740E" w:rsidP="007E7632">
            <w:pPr>
              <w:pStyle w:val="BodyText"/>
              <w:tabs>
                <w:tab w:val="left" w:pos="288"/>
              </w:tabs>
              <w:ind w:firstLine="0"/>
              <w:rPr>
                <w:sz w:val="18"/>
                <w:szCs w:val="18"/>
                <w:lang w:val="en-US"/>
              </w:rPr>
            </w:pPr>
            <w:r w:rsidRPr="00384437">
              <w:rPr>
                <w:sz w:val="18"/>
                <w:szCs w:val="18"/>
              </w:rPr>
              <w:t>20 independent runs</w:t>
            </w:r>
          </w:p>
        </w:tc>
      </w:tr>
      <w:tr w:rsidR="0088740E" w14:paraId="6B43B4FA" w14:textId="77777777" w:rsidTr="007E7632">
        <w:tc>
          <w:tcPr>
            <w:tcW w:w="1371" w:type="dxa"/>
            <w:vAlign w:val="center"/>
          </w:tcPr>
          <w:p w14:paraId="4E7E0579" w14:textId="77777777" w:rsidR="0088740E" w:rsidRPr="00384437" w:rsidRDefault="0088740E" w:rsidP="007E7632">
            <w:pPr>
              <w:pStyle w:val="BodyText"/>
              <w:tabs>
                <w:tab w:val="left" w:pos="288"/>
              </w:tabs>
              <w:ind w:firstLine="0"/>
              <w:rPr>
                <w:sz w:val="18"/>
                <w:szCs w:val="18"/>
                <w:lang w:val="en-US"/>
              </w:rPr>
            </w:pPr>
            <w:r w:rsidRPr="00384437">
              <w:rPr>
                <w:rStyle w:val="Strong"/>
                <w:sz w:val="18"/>
                <w:szCs w:val="18"/>
              </w:rPr>
              <w:t>Network Scale</w:t>
            </w:r>
          </w:p>
        </w:tc>
        <w:tc>
          <w:tcPr>
            <w:tcW w:w="1572" w:type="dxa"/>
            <w:vAlign w:val="center"/>
          </w:tcPr>
          <w:p w14:paraId="53A4E167" w14:textId="77777777" w:rsidR="0088740E" w:rsidRPr="00384437" w:rsidRDefault="0088740E" w:rsidP="007E7632">
            <w:pPr>
              <w:pStyle w:val="BodyText"/>
              <w:tabs>
                <w:tab w:val="left" w:pos="288"/>
              </w:tabs>
              <w:ind w:firstLine="0"/>
              <w:rPr>
                <w:sz w:val="18"/>
                <w:szCs w:val="18"/>
                <w:lang w:val="en-US"/>
              </w:rPr>
            </w:pPr>
            <w:r w:rsidRPr="00384437">
              <w:rPr>
                <w:sz w:val="18"/>
                <w:szCs w:val="18"/>
              </w:rPr>
              <w:t>Small-scale scenario</w:t>
            </w:r>
          </w:p>
        </w:tc>
        <w:tc>
          <w:tcPr>
            <w:tcW w:w="2148" w:type="dxa"/>
            <w:vAlign w:val="center"/>
          </w:tcPr>
          <w:p w14:paraId="7767FC37" w14:textId="77777777" w:rsidR="0088740E" w:rsidRPr="00384437" w:rsidRDefault="0088740E" w:rsidP="007E7632">
            <w:pPr>
              <w:pStyle w:val="BodyText"/>
              <w:tabs>
                <w:tab w:val="left" w:pos="288"/>
              </w:tabs>
              <w:ind w:firstLine="0"/>
              <w:rPr>
                <w:sz w:val="18"/>
                <w:szCs w:val="18"/>
                <w:lang w:val="en-US"/>
              </w:rPr>
            </w:pPr>
            <w:r w:rsidRPr="00384437">
              <w:rPr>
                <w:sz w:val="18"/>
                <w:szCs w:val="18"/>
              </w:rPr>
              <w:t>50–100 nodes (IoT–Edge)</w:t>
            </w:r>
          </w:p>
        </w:tc>
      </w:tr>
      <w:tr w:rsidR="0088740E" w14:paraId="58DD9CAF" w14:textId="77777777" w:rsidTr="007E7632">
        <w:tc>
          <w:tcPr>
            <w:tcW w:w="1371" w:type="dxa"/>
            <w:vAlign w:val="center"/>
          </w:tcPr>
          <w:p w14:paraId="1F82C359" w14:textId="77777777" w:rsidR="0088740E" w:rsidRPr="00384437" w:rsidRDefault="0088740E" w:rsidP="007E7632">
            <w:pPr>
              <w:pStyle w:val="BodyText"/>
              <w:tabs>
                <w:tab w:val="left" w:pos="288"/>
              </w:tabs>
              <w:ind w:firstLine="0"/>
              <w:rPr>
                <w:sz w:val="18"/>
                <w:szCs w:val="18"/>
                <w:lang w:val="en-US"/>
              </w:rPr>
            </w:pPr>
          </w:p>
        </w:tc>
        <w:tc>
          <w:tcPr>
            <w:tcW w:w="1572" w:type="dxa"/>
            <w:vAlign w:val="center"/>
          </w:tcPr>
          <w:p w14:paraId="768CEFCA" w14:textId="77777777" w:rsidR="0088740E" w:rsidRPr="00384437" w:rsidRDefault="0088740E" w:rsidP="007E7632">
            <w:pPr>
              <w:pStyle w:val="BodyText"/>
              <w:tabs>
                <w:tab w:val="left" w:pos="288"/>
              </w:tabs>
              <w:ind w:firstLine="0"/>
              <w:rPr>
                <w:sz w:val="18"/>
                <w:szCs w:val="18"/>
                <w:lang w:val="en-US"/>
              </w:rPr>
            </w:pPr>
            <w:r w:rsidRPr="00384437">
              <w:rPr>
                <w:sz w:val="18"/>
                <w:szCs w:val="18"/>
              </w:rPr>
              <w:t>Medium-scale scenario</w:t>
            </w:r>
          </w:p>
        </w:tc>
        <w:tc>
          <w:tcPr>
            <w:tcW w:w="2148" w:type="dxa"/>
            <w:vAlign w:val="center"/>
          </w:tcPr>
          <w:p w14:paraId="17D81D02" w14:textId="77777777" w:rsidR="0088740E" w:rsidRPr="00384437" w:rsidRDefault="0088740E" w:rsidP="007E7632">
            <w:pPr>
              <w:pStyle w:val="BodyText"/>
              <w:tabs>
                <w:tab w:val="left" w:pos="288"/>
              </w:tabs>
              <w:ind w:firstLine="0"/>
              <w:rPr>
                <w:sz w:val="18"/>
                <w:szCs w:val="18"/>
                <w:lang w:val="en-US"/>
              </w:rPr>
            </w:pPr>
            <w:r w:rsidRPr="00384437">
              <w:rPr>
                <w:sz w:val="18"/>
                <w:szCs w:val="18"/>
              </w:rPr>
              <w:t>200–500 nodes (Enterprise)</w:t>
            </w:r>
          </w:p>
        </w:tc>
      </w:tr>
      <w:tr w:rsidR="0088740E" w14:paraId="2B3FFA17" w14:textId="77777777" w:rsidTr="007E7632">
        <w:tc>
          <w:tcPr>
            <w:tcW w:w="1371" w:type="dxa"/>
            <w:vAlign w:val="center"/>
          </w:tcPr>
          <w:p w14:paraId="48D0BFF0" w14:textId="77777777" w:rsidR="0088740E" w:rsidRPr="00384437" w:rsidRDefault="0088740E" w:rsidP="007E7632">
            <w:pPr>
              <w:pStyle w:val="BodyText"/>
              <w:tabs>
                <w:tab w:val="left" w:pos="288"/>
              </w:tabs>
              <w:ind w:firstLine="0"/>
              <w:rPr>
                <w:sz w:val="18"/>
                <w:szCs w:val="18"/>
                <w:lang w:val="en-US"/>
              </w:rPr>
            </w:pPr>
          </w:p>
        </w:tc>
        <w:tc>
          <w:tcPr>
            <w:tcW w:w="1572" w:type="dxa"/>
            <w:vAlign w:val="center"/>
          </w:tcPr>
          <w:p w14:paraId="0B603647" w14:textId="77777777" w:rsidR="0088740E" w:rsidRPr="00384437" w:rsidRDefault="0088740E" w:rsidP="007E7632">
            <w:pPr>
              <w:pStyle w:val="BodyText"/>
              <w:tabs>
                <w:tab w:val="left" w:pos="288"/>
              </w:tabs>
              <w:ind w:firstLine="0"/>
              <w:rPr>
                <w:sz w:val="18"/>
                <w:szCs w:val="18"/>
                <w:lang w:val="en-US"/>
              </w:rPr>
            </w:pPr>
            <w:r w:rsidRPr="00384437">
              <w:rPr>
                <w:sz w:val="18"/>
                <w:szCs w:val="18"/>
              </w:rPr>
              <w:t>Large-scale scenario</w:t>
            </w:r>
          </w:p>
        </w:tc>
        <w:tc>
          <w:tcPr>
            <w:tcW w:w="2148" w:type="dxa"/>
            <w:vAlign w:val="center"/>
          </w:tcPr>
          <w:p w14:paraId="050EFE57" w14:textId="77777777" w:rsidR="0088740E" w:rsidRPr="00384437" w:rsidRDefault="0088740E" w:rsidP="007E7632">
            <w:pPr>
              <w:pStyle w:val="BodyText"/>
              <w:tabs>
                <w:tab w:val="left" w:pos="288"/>
              </w:tabs>
              <w:ind w:firstLine="0"/>
              <w:rPr>
                <w:sz w:val="18"/>
                <w:szCs w:val="18"/>
                <w:lang w:val="en-US"/>
              </w:rPr>
            </w:pPr>
            <w:r w:rsidRPr="00384437">
              <w:rPr>
                <w:sz w:val="18"/>
                <w:szCs w:val="18"/>
              </w:rPr>
              <w:t>1,000–2,000 nodes (Core / Backbone)</w:t>
            </w:r>
          </w:p>
        </w:tc>
      </w:tr>
      <w:tr w:rsidR="0088740E" w14:paraId="7A8F518F" w14:textId="77777777" w:rsidTr="007E7632">
        <w:tc>
          <w:tcPr>
            <w:tcW w:w="1371" w:type="dxa"/>
            <w:vAlign w:val="center"/>
          </w:tcPr>
          <w:p w14:paraId="506A1DD2" w14:textId="77777777" w:rsidR="0088740E" w:rsidRPr="00384437" w:rsidRDefault="0088740E" w:rsidP="007E7632">
            <w:pPr>
              <w:pStyle w:val="BodyText"/>
              <w:tabs>
                <w:tab w:val="left" w:pos="288"/>
              </w:tabs>
              <w:ind w:firstLine="0"/>
              <w:rPr>
                <w:sz w:val="18"/>
                <w:szCs w:val="18"/>
                <w:lang w:val="en-US"/>
              </w:rPr>
            </w:pPr>
            <w:r w:rsidRPr="00384437">
              <w:rPr>
                <w:rStyle w:val="Strong"/>
                <w:sz w:val="18"/>
                <w:szCs w:val="18"/>
              </w:rPr>
              <w:t>Topology Models</w:t>
            </w:r>
          </w:p>
        </w:tc>
        <w:tc>
          <w:tcPr>
            <w:tcW w:w="1572" w:type="dxa"/>
            <w:vAlign w:val="center"/>
          </w:tcPr>
          <w:p w14:paraId="1206D67C" w14:textId="77777777" w:rsidR="0088740E" w:rsidRPr="00384437" w:rsidRDefault="0088740E" w:rsidP="007E7632">
            <w:pPr>
              <w:pStyle w:val="BodyText"/>
              <w:tabs>
                <w:tab w:val="left" w:pos="288"/>
              </w:tabs>
              <w:ind w:firstLine="0"/>
              <w:rPr>
                <w:sz w:val="18"/>
                <w:szCs w:val="18"/>
                <w:lang w:val="en-US"/>
              </w:rPr>
            </w:pPr>
            <w:r w:rsidRPr="00384437">
              <w:rPr>
                <w:sz w:val="18"/>
                <w:szCs w:val="18"/>
              </w:rPr>
              <w:t>Deployment pattern</w:t>
            </w:r>
          </w:p>
        </w:tc>
        <w:tc>
          <w:tcPr>
            <w:tcW w:w="2148" w:type="dxa"/>
            <w:vAlign w:val="center"/>
          </w:tcPr>
          <w:p w14:paraId="2B5F1AAE" w14:textId="77777777" w:rsidR="0088740E" w:rsidRPr="00384437" w:rsidRDefault="0088740E" w:rsidP="007E7632">
            <w:pPr>
              <w:pStyle w:val="BodyText"/>
              <w:tabs>
                <w:tab w:val="left" w:pos="288"/>
              </w:tabs>
              <w:ind w:firstLine="0"/>
              <w:rPr>
                <w:sz w:val="18"/>
                <w:szCs w:val="18"/>
                <w:lang w:val="en-US"/>
              </w:rPr>
            </w:pPr>
            <w:r w:rsidRPr="00384437">
              <w:rPr>
                <w:sz w:val="18"/>
                <w:szCs w:val="18"/>
              </w:rPr>
              <w:t>Random, grid, hierarchical</w:t>
            </w:r>
          </w:p>
        </w:tc>
      </w:tr>
      <w:tr w:rsidR="0088740E" w14:paraId="323488AD" w14:textId="77777777" w:rsidTr="007E7632">
        <w:tc>
          <w:tcPr>
            <w:tcW w:w="1371" w:type="dxa"/>
            <w:vAlign w:val="center"/>
          </w:tcPr>
          <w:p w14:paraId="6738DEAC" w14:textId="77777777" w:rsidR="0088740E" w:rsidRPr="00384437" w:rsidRDefault="0088740E" w:rsidP="007E7632">
            <w:pPr>
              <w:pStyle w:val="BodyText"/>
              <w:tabs>
                <w:tab w:val="left" w:pos="288"/>
              </w:tabs>
              <w:ind w:firstLine="0"/>
              <w:rPr>
                <w:sz w:val="18"/>
                <w:szCs w:val="18"/>
                <w:lang w:val="en-US"/>
              </w:rPr>
            </w:pPr>
          </w:p>
        </w:tc>
        <w:tc>
          <w:tcPr>
            <w:tcW w:w="1572" w:type="dxa"/>
            <w:vAlign w:val="center"/>
          </w:tcPr>
          <w:p w14:paraId="0BC352EA" w14:textId="77777777" w:rsidR="0088740E" w:rsidRPr="00384437" w:rsidRDefault="0088740E" w:rsidP="007E7632">
            <w:pPr>
              <w:pStyle w:val="BodyText"/>
              <w:tabs>
                <w:tab w:val="left" w:pos="288"/>
              </w:tabs>
              <w:ind w:firstLine="0"/>
              <w:rPr>
                <w:sz w:val="18"/>
                <w:szCs w:val="18"/>
                <w:lang w:val="en-US"/>
              </w:rPr>
            </w:pPr>
            <w:r w:rsidRPr="00384437">
              <w:rPr>
                <w:sz w:val="18"/>
                <w:szCs w:val="18"/>
              </w:rPr>
              <w:t>Link technologies</w:t>
            </w:r>
          </w:p>
        </w:tc>
        <w:tc>
          <w:tcPr>
            <w:tcW w:w="2148" w:type="dxa"/>
            <w:vAlign w:val="center"/>
          </w:tcPr>
          <w:p w14:paraId="5F509A19" w14:textId="77777777" w:rsidR="0088740E" w:rsidRPr="00384437" w:rsidRDefault="0088740E" w:rsidP="007E7632">
            <w:pPr>
              <w:pStyle w:val="BodyText"/>
              <w:tabs>
                <w:tab w:val="left" w:pos="288"/>
              </w:tabs>
              <w:ind w:firstLine="0"/>
              <w:rPr>
                <w:sz w:val="18"/>
                <w:szCs w:val="18"/>
                <w:lang w:val="en-US"/>
              </w:rPr>
            </w:pPr>
            <w:r w:rsidRPr="00384437">
              <w:rPr>
                <w:sz w:val="18"/>
                <w:szCs w:val="18"/>
                <w:lang w:val="en-US"/>
              </w:rPr>
              <w:t>Wireless (IoT / Wi-Fi), Wired (Ethernet / Fiber)</w:t>
            </w:r>
          </w:p>
        </w:tc>
      </w:tr>
      <w:tr w:rsidR="0088740E" w14:paraId="6DC5704C" w14:textId="77777777" w:rsidTr="007E7632">
        <w:tc>
          <w:tcPr>
            <w:tcW w:w="1371" w:type="dxa"/>
            <w:vAlign w:val="center"/>
          </w:tcPr>
          <w:p w14:paraId="246C154A" w14:textId="77777777" w:rsidR="0088740E" w:rsidRPr="00384437" w:rsidRDefault="0088740E" w:rsidP="007E7632">
            <w:pPr>
              <w:pStyle w:val="BodyText"/>
              <w:tabs>
                <w:tab w:val="left" w:pos="288"/>
              </w:tabs>
              <w:ind w:firstLine="0"/>
              <w:rPr>
                <w:sz w:val="18"/>
                <w:szCs w:val="18"/>
                <w:lang w:val="en-US"/>
              </w:rPr>
            </w:pPr>
            <w:r w:rsidRPr="00384437">
              <w:rPr>
                <w:rStyle w:val="Strong"/>
                <w:sz w:val="18"/>
                <w:szCs w:val="18"/>
              </w:rPr>
              <w:t>Traffic Characteristics</w:t>
            </w:r>
          </w:p>
        </w:tc>
        <w:tc>
          <w:tcPr>
            <w:tcW w:w="1572" w:type="dxa"/>
            <w:vAlign w:val="center"/>
          </w:tcPr>
          <w:p w14:paraId="61797373" w14:textId="77777777" w:rsidR="0088740E" w:rsidRPr="00384437" w:rsidRDefault="0088740E" w:rsidP="007E7632">
            <w:pPr>
              <w:pStyle w:val="BodyText"/>
              <w:tabs>
                <w:tab w:val="left" w:pos="288"/>
              </w:tabs>
              <w:ind w:firstLine="0"/>
              <w:rPr>
                <w:sz w:val="18"/>
                <w:szCs w:val="18"/>
                <w:lang w:val="en-US"/>
              </w:rPr>
            </w:pPr>
            <w:r w:rsidRPr="00384437">
              <w:rPr>
                <w:sz w:val="18"/>
                <w:szCs w:val="18"/>
              </w:rPr>
              <w:t>Periodic traffic</w:t>
            </w:r>
          </w:p>
        </w:tc>
        <w:tc>
          <w:tcPr>
            <w:tcW w:w="2148" w:type="dxa"/>
            <w:vAlign w:val="center"/>
          </w:tcPr>
          <w:p w14:paraId="0B4EEC21" w14:textId="77777777" w:rsidR="0088740E" w:rsidRPr="00384437" w:rsidRDefault="0088740E" w:rsidP="007E7632">
            <w:pPr>
              <w:pStyle w:val="BodyText"/>
              <w:tabs>
                <w:tab w:val="left" w:pos="288"/>
              </w:tabs>
              <w:ind w:firstLine="0"/>
              <w:rPr>
                <w:sz w:val="18"/>
                <w:szCs w:val="18"/>
                <w:lang w:val="en-US"/>
              </w:rPr>
            </w:pPr>
            <w:r w:rsidRPr="00384437">
              <w:rPr>
                <w:sz w:val="18"/>
                <w:szCs w:val="18"/>
              </w:rPr>
              <w:t>Constant Bit Rate (CBR)</w:t>
            </w:r>
          </w:p>
        </w:tc>
      </w:tr>
      <w:tr w:rsidR="0088740E" w14:paraId="5B7654E9" w14:textId="77777777" w:rsidTr="007E7632">
        <w:tc>
          <w:tcPr>
            <w:tcW w:w="1371" w:type="dxa"/>
            <w:vAlign w:val="center"/>
          </w:tcPr>
          <w:p w14:paraId="4A720A4C" w14:textId="77777777" w:rsidR="0088740E" w:rsidRPr="00384437" w:rsidRDefault="0088740E" w:rsidP="007E7632">
            <w:pPr>
              <w:pStyle w:val="BodyText"/>
              <w:tabs>
                <w:tab w:val="left" w:pos="288"/>
              </w:tabs>
              <w:ind w:firstLine="0"/>
              <w:rPr>
                <w:sz w:val="18"/>
                <w:szCs w:val="18"/>
                <w:lang w:val="en-US"/>
              </w:rPr>
            </w:pPr>
          </w:p>
        </w:tc>
        <w:tc>
          <w:tcPr>
            <w:tcW w:w="1572" w:type="dxa"/>
            <w:vAlign w:val="center"/>
          </w:tcPr>
          <w:p w14:paraId="1401D4A9" w14:textId="77777777" w:rsidR="0088740E" w:rsidRPr="00384437" w:rsidRDefault="0088740E" w:rsidP="007E7632">
            <w:pPr>
              <w:pStyle w:val="BodyText"/>
              <w:tabs>
                <w:tab w:val="left" w:pos="288"/>
              </w:tabs>
              <w:ind w:firstLine="0"/>
              <w:rPr>
                <w:sz w:val="18"/>
                <w:szCs w:val="18"/>
                <w:lang w:val="en-US"/>
              </w:rPr>
            </w:pPr>
            <w:r w:rsidRPr="00384437">
              <w:rPr>
                <w:sz w:val="18"/>
                <w:szCs w:val="18"/>
              </w:rPr>
              <w:t>Bursty traffic</w:t>
            </w:r>
          </w:p>
        </w:tc>
        <w:tc>
          <w:tcPr>
            <w:tcW w:w="2148" w:type="dxa"/>
            <w:vAlign w:val="center"/>
          </w:tcPr>
          <w:p w14:paraId="25482313" w14:textId="77777777" w:rsidR="0088740E" w:rsidRPr="00384437" w:rsidRDefault="0088740E" w:rsidP="007E7632">
            <w:pPr>
              <w:pStyle w:val="BodyText"/>
              <w:tabs>
                <w:tab w:val="left" w:pos="288"/>
              </w:tabs>
              <w:ind w:firstLine="0"/>
              <w:rPr>
                <w:sz w:val="18"/>
                <w:szCs w:val="18"/>
                <w:lang w:val="en-US"/>
              </w:rPr>
            </w:pPr>
            <w:r w:rsidRPr="00384437">
              <w:rPr>
                <w:sz w:val="18"/>
                <w:szCs w:val="18"/>
              </w:rPr>
              <w:t>ON–OFF / Poisson model</w:t>
            </w:r>
          </w:p>
        </w:tc>
      </w:tr>
      <w:tr w:rsidR="0088740E" w14:paraId="24A23463" w14:textId="77777777" w:rsidTr="007E7632">
        <w:tc>
          <w:tcPr>
            <w:tcW w:w="1371" w:type="dxa"/>
            <w:vAlign w:val="center"/>
          </w:tcPr>
          <w:p w14:paraId="65A453A5" w14:textId="77777777" w:rsidR="0088740E" w:rsidRPr="00384437" w:rsidRDefault="0088740E" w:rsidP="007E7632">
            <w:pPr>
              <w:pStyle w:val="BodyText"/>
              <w:tabs>
                <w:tab w:val="left" w:pos="288"/>
              </w:tabs>
              <w:ind w:firstLine="0"/>
              <w:rPr>
                <w:sz w:val="18"/>
                <w:szCs w:val="18"/>
                <w:lang w:val="en-US"/>
              </w:rPr>
            </w:pPr>
          </w:p>
        </w:tc>
        <w:tc>
          <w:tcPr>
            <w:tcW w:w="1572" w:type="dxa"/>
            <w:vAlign w:val="center"/>
          </w:tcPr>
          <w:p w14:paraId="6C29DB72" w14:textId="77777777" w:rsidR="0088740E" w:rsidRPr="00384437" w:rsidRDefault="0088740E" w:rsidP="007E7632">
            <w:pPr>
              <w:pStyle w:val="BodyText"/>
              <w:tabs>
                <w:tab w:val="left" w:pos="288"/>
              </w:tabs>
              <w:ind w:firstLine="0"/>
              <w:rPr>
                <w:sz w:val="18"/>
                <w:szCs w:val="18"/>
                <w:lang w:val="en-US"/>
              </w:rPr>
            </w:pPr>
            <w:r w:rsidRPr="00384437">
              <w:rPr>
                <w:sz w:val="18"/>
                <w:szCs w:val="18"/>
              </w:rPr>
              <w:t>Latency-sensitive traffic</w:t>
            </w:r>
          </w:p>
        </w:tc>
        <w:tc>
          <w:tcPr>
            <w:tcW w:w="2148" w:type="dxa"/>
            <w:vAlign w:val="center"/>
          </w:tcPr>
          <w:p w14:paraId="1CD4A3F2" w14:textId="77777777" w:rsidR="0088740E" w:rsidRPr="00384437" w:rsidRDefault="0088740E" w:rsidP="007E7632">
            <w:pPr>
              <w:pStyle w:val="BodyText"/>
              <w:tabs>
                <w:tab w:val="left" w:pos="288"/>
              </w:tabs>
              <w:ind w:firstLine="0"/>
              <w:rPr>
                <w:sz w:val="18"/>
                <w:szCs w:val="18"/>
                <w:lang w:val="en-US"/>
              </w:rPr>
            </w:pPr>
            <w:r w:rsidRPr="00384437">
              <w:rPr>
                <w:sz w:val="18"/>
                <w:szCs w:val="18"/>
              </w:rPr>
              <w:t>UDP real-time streams</w:t>
            </w:r>
          </w:p>
        </w:tc>
      </w:tr>
      <w:tr w:rsidR="0088740E" w14:paraId="3A2C97BB" w14:textId="77777777" w:rsidTr="007E7632">
        <w:tc>
          <w:tcPr>
            <w:tcW w:w="1371" w:type="dxa"/>
            <w:vAlign w:val="center"/>
          </w:tcPr>
          <w:p w14:paraId="7DC079A7" w14:textId="77777777" w:rsidR="0088740E" w:rsidRPr="00384437" w:rsidRDefault="0088740E" w:rsidP="007E7632">
            <w:pPr>
              <w:pStyle w:val="BodyText"/>
              <w:tabs>
                <w:tab w:val="left" w:pos="288"/>
              </w:tabs>
              <w:ind w:firstLine="0"/>
              <w:rPr>
                <w:sz w:val="18"/>
                <w:szCs w:val="18"/>
                <w:lang w:val="en-US"/>
              </w:rPr>
            </w:pPr>
          </w:p>
        </w:tc>
        <w:tc>
          <w:tcPr>
            <w:tcW w:w="1572" w:type="dxa"/>
            <w:vAlign w:val="center"/>
          </w:tcPr>
          <w:p w14:paraId="5C07E4A4" w14:textId="77777777" w:rsidR="0088740E" w:rsidRPr="00384437" w:rsidRDefault="0088740E" w:rsidP="007E7632">
            <w:pPr>
              <w:pStyle w:val="BodyText"/>
              <w:tabs>
                <w:tab w:val="left" w:pos="288"/>
              </w:tabs>
              <w:ind w:firstLine="0"/>
              <w:rPr>
                <w:sz w:val="18"/>
                <w:szCs w:val="18"/>
                <w:lang w:val="en-US"/>
              </w:rPr>
            </w:pPr>
            <w:r w:rsidRPr="00384437">
              <w:rPr>
                <w:sz w:val="18"/>
                <w:szCs w:val="18"/>
              </w:rPr>
              <w:t>Best-effort traffic</w:t>
            </w:r>
          </w:p>
        </w:tc>
        <w:tc>
          <w:tcPr>
            <w:tcW w:w="2148" w:type="dxa"/>
            <w:vAlign w:val="center"/>
          </w:tcPr>
          <w:p w14:paraId="35DB53DA" w14:textId="77777777" w:rsidR="0088740E" w:rsidRPr="00384437" w:rsidRDefault="0088740E" w:rsidP="007E7632">
            <w:pPr>
              <w:pStyle w:val="BodyText"/>
              <w:tabs>
                <w:tab w:val="left" w:pos="288"/>
              </w:tabs>
              <w:ind w:firstLine="0"/>
              <w:rPr>
                <w:sz w:val="18"/>
                <w:szCs w:val="18"/>
                <w:lang w:val="en-US"/>
              </w:rPr>
            </w:pPr>
            <w:r w:rsidRPr="00384437">
              <w:rPr>
                <w:sz w:val="18"/>
                <w:szCs w:val="18"/>
              </w:rPr>
              <w:t>TCP background flows</w:t>
            </w:r>
          </w:p>
        </w:tc>
      </w:tr>
      <w:tr w:rsidR="0088740E" w14:paraId="7160640C" w14:textId="77777777" w:rsidTr="007E7632">
        <w:tc>
          <w:tcPr>
            <w:tcW w:w="1371" w:type="dxa"/>
            <w:vAlign w:val="center"/>
          </w:tcPr>
          <w:p w14:paraId="5BC5A9FD" w14:textId="77777777" w:rsidR="0088740E" w:rsidRPr="00384437" w:rsidRDefault="0088740E" w:rsidP="007E7632">
            <w:pPr>
              <w:pStyle w:val="BodyText"/>
              <w:tabs>
                <w:tab w:val="left" w:pos="288"/>
              </w:tabs>
              <w:ind w:firstLine="0"/>
              <w:rPr>
                <w:sz w:val="18"/>
                <w:szCs w:val="18"/>
                <w:lang w:val="en-US"/>
              </w:rPr>
            </w:pPr>
            <w:r w:rsidRPr="00384437">
              <w:rPr>
                <w:rStyle w:val="Strong"/>
                <w:sz w:val="18"/>
                <w:szCs w:val="18"/>
              </w:rPr>
              <w:t>Energy Configuration</w:t>
            </w:r>
          </w:p>
        </w:tc>
        <w:tc>
          <w:tcPr>
            <w:tcW w:w="1572" w:type="dxa"/>
            <w:vAlign w:val="center"/>
          </w:tcPr>
          <w:p w14:paraId="49172C92" w14:textId="77777777" w:rsidR="0088740E" w:rsidRPr="00384437" w:rsidRDefault="0088740E" w:rsidP="007E7632">
            <w:pPr>
              <w:pStyle w:val="BodyText"/>
              <w:tabs>
                <w:tab w:val="left" w:pos="288"/>
              </w:tabs>
              <w:ind w:firstLine="0"/>
              <w:rPr>
                <w:sz w:val="18"/>
                <w:szCs w:val="18"/>
                <w:lang w:val="en-US"/>
              </w:rPr>
            </w:pPr>
            <w:r w:rsidRPr="00384437">
              <w:rPr>
                <w:sz w:val="18"/>
                <w:szCs w:val="18"/>
              </w:rPr>
              <w:t>Power states</w:t>
            </w:r>
          </w:p>
        </w:tc>
        <w:tc>
          <w:tcPr>
            <w:tcW w:w="2148" w:type="dxa"/>
            <w:vAlign w:val="center"/>
          </w:tcPr>
          <w:p w14:paraId="1915B8D4" w14:textId="77777777" w:rsidR="0088740E" w:rsidRPr="00384437" w:rsidRDefault="0088740E" w:rsidP="007E7632">
            <w:pPr>
              <w:pStyle w:val="BodyText"/>
              <w:tabs>
                <w:tab w:val="left" w:pos="288"/>
              </w:tabs>
              <w:ind w:firstLine="0"/>
              <w:rPr>
                <w:sz w:val="18"/>
                <w:szCs w:val="18"/>
                <w:lang w:val="en-US"/>
              </w:rPr>
            </w:pPr>
            <w:r w:rsidRPr="00384437">
              <w:rPr>
                <w:sz w:val="18"/>
                <w:szCs w:val="18"/>
              </w:rPr>
              <w:t>Active, Idle, Sleep</w:t>
            </w:r>
          </w:p>
        </w:tc>
      </w:tr>
      <w:tr w:rsidR="0088740E" w14:paraId="3F5AB4C4" w14:textId="77777777" w:rsidTr="007E7632">
        <w:tc>
          <w:tcPr>
            <w:tcW w:w="1371" w:type="dxa"/>
            <w:vAlign w:val="center"/>
          </w:tcPr>
          <w:p w14:paraId="19EB01B2" w14:textId="77777777" w:rsidR="0088740E" w:rsidRPr="00384437" w:rsidRDefault="0088740E" w:rsidP="007E7632">
            <w:pPr>
              <w:pStyle w:val="BodyText"/>
              <w:tabs>
                <w:tab w:val="left" w:pos="288"/>
              </w:tabs>
              <w:ind w:firstLine="0"/>
              <w:rPr>
                <w:sz w:val="18"/>
                <w:szCs w:val="18"/>
                <w:lang w:val="en-US"/>
              </w:rPr>
            </w:pPr>
          </w:p>
        </w:tc>
        <w:tc>
          <w:tcPr>
            <w:tcW w:w="1572" w:type="dxa"/>
            <w:vAlign w:val="center"/>
          </w:tcPr>
          <w:p w14:paraId="67ACBB57" w14:textId="77777777" w:rsidR="0088740E" w:rsidRPr="00384437" w:rsidRDefault="0088740E" w:rsidP="007E7632">
            <w:pPr>
              <w:pStyle w:val="BodyText"/>
              <w:tabs>
                <w:tab w:val="left" w:pos="288"/>
              </w:tabs>
              <w:ind w:firstLine="0"/>
              <w:rPr>
                <w:sz w:val="18"/>
                <w:szCs w:val="18"/>
                <w:lang w:val="en-US"/>
              </w:rPr>
            </w:pPr>
            <w:r w:rsidRPr="00384437">
              <w:rPr>
                <w:sz w:val="18"/>
                <w:szCs w:val="18"/>
              </w:rPr>
              <w:t>Transmission power</w:t>
            </w:r>
          </w:p>
        </w:tc>
        <w:tc>
          <w:tcPr>
            <w:tcW w:w="2148" w:type="dxa"/>
            <w:vAlign w:val="center"/>
          </w:tcPr>
          <w:p w14:paraId="689BE2DA" w14:textId="77777777" w:rsidR="0088740E" w:rsidRPr="00384437" w:rsidRDefault="0088740E" w:rsidP="007E7632">
            <w:pPr>
              <w:pStyle w:val="BodyText"/>
              <w:tabs>
                <w:tab w:val="left" w:pos="288"/>
              </w:tabs>
              <w:ind w:firstLine="0"/>
              <w:rPr>
                <w:sz w:val="18"/>
                <w:szCs w:val="18"/>
                <w:lang w:val="en-US"/>
              </w:rPr>
            </w:pPr>
            <w:r w:rsidRPr="00384437">
              <w:rPr>
                <w:sz w:val="18"/>
                <w:szCs w:val="18"/>
              </w:rPr>
              <w:t>0.1–2.0 W (adaptive)</w:t>
            </w:r>
          </w:p>
        </w:tc>
      </w:tr>
      <w:tr w:rsidR="0088740E" w14:paraId="0F20BD0F" w14:textId="77777777" w:rsidTr="007E7632">
        <w:tc>
          <w:tcPr>
            <w:tcW w:w="1371" w:type="dxa"/>
            <w:vAlign w:val="center"/>
          </w:tcPr>
          <w:p w14:paraId="15D58871" w14:textId="77777777" w:rsidR="0088740E" w:rsidRPr="00384437" w:rsidRDefault="0088740E" w:rsidP="007E7632">
            <w:pPr>
              <w:pStyle w:val="BodyText"/>
              <w:tabs>
                <w:tab w:val="left" w:pos="288"/>
              </w:tabs>
              <w:ind w:firstLine="0"/>
              <w:rPr>
                <w:sz w:val="18"/>
                <w:szCs w:val="18"/>
                <w:lang w:val="en-US"/>
              </w:rPr>
            </w:pPr>
          </w:p>
        </w:tc>
        <w:tc>
          <w:tcPr>
            <w:tcW w:w="1572" w:type="dxa"/>
            <w:vAlign w:val="center"/>
          </w:tcPr>
          <w:p w14:paraId="3BE0043C" w14:textId="77777777" w:rsidR="0088740E" w:rsidRPr="00384437" w:rsidRDefault="0088740E" w:rsidP="007E7632">
            <w:pPr>
              <w:pStyle w:val="BodyText"/>
              <w:tabs>
                <w:tab w:val="left" w:pos="288"/>
              </w:tabs>
              <w:ind w:firstLine="0"/>
              <w:rPr>
                <w:sz w:val="18"/>
                <w:szCs w:val="18"/>
                <w:lang w:val="en-US"/>
              </w:rPr>
            </w:pPr>
            <w:r w:rsidRPr="00384437">
              <w:rPr>
                <w:sz w:val="18"/>
                <w:szCs w:val="18"/>
              </w:rPr>
              <w:t>Idle power ratio</w:t>
            </w:r>
          </w:p>
        </w:tc>
        <w:tc>
          <w:tcPr>
            <w:tcW w:w="2148" w:type="dxa"/>
            <w:vAlign w:val="center"/>
          </w:tcPr>
          <w:p w14:paraId="1C0F3995" w14:textId="77777777" w:rsidR="0088740E" w:rsidRPr="00384437" w:rsidRDefault="0088740E" w:rsidP="007E7632">
            <w:pPr>
              <w:pStyle w:val="BodyText"/>
              <w:tabs>
                <w:tab w:val="left" w:pos="288"/>
              </w:tabs>
              <w:ind w:firstLine="0"/>
              <w:rPr>
                <w:sz w:val="18"/>
                <w:szCs w:val="18"/>
                <w:lang w:val="en-US"/>
              </w:rPr>
            </w:pPr>
            <w:r w:rsidRPr="00384437">
              <w:rPr>
                <w:sz w:val="18"/>
                <w:szCs w:val="18"/>
              </w:rPr>
              <w:t>30–50% of active power</w:t>
            </w:r>
          </w:p>
        </w:tc>
      </w:tr>
    </w:tbl>
    <w:p w14:paraId="06B66D1D" w14:textId="6A41DBF1" w:rsidR="00055B35" w:rsidRDefault="00055B35" w:rsidP="00055B35">
      <w:pPr>
        <w:pStyle w:val="BodyText"/>
        <w:tabs>
          <w:tab w:val="left" w:pos="288"/>
        </w:tabs>
        <w:rPr>
          <w:sz w:val="20"/>
          <w:szCs w:val="20"/>
          <w:lang w:val="en-US"/>
        </w:rPr>
      </w:pPr>
      <w:r w:rsidRPr="00055B35">
        <w:rPr>
          <w:sz w:val="20"/>
          <w:szCs w:val="20"/>
          <w:lang w:val="en-US"/>
        </w:rPr>
        <w:t>The evaluation employs a comprehensive set of energy, performance, and sustainability metrics, including</w:t>
      </w:r>
      <w:r>
        <w:rPr>
          <w:rFonts w:hint="eastAsia"/>
          <w:sz w:val="20"/>
          <w:szCs w:val="20"/>
          <w:lang w:val="en-US"/>
        </w:rPr>
        <w:t xml:space="preserve"> t</w:t>
      </w:r>
      <w:r w:rsidRPr="00055B35">
        <w:rPr>
          <w:sz w:val="20"/>
          <w:szCs w:val="20"/>
          <w:lang w:val="en-US"/>
        </w:rPr>
        <w:t>otal network energy consumption</w:t>
      </w:r>
      <w:r>
        <w:rPr>
          <w:rFonts w:hint="eastAsia"/>
          <w:sz w:val="20"/>
          <w:szCs w:val="20"/>
          <w:lang w:val="en-US"/>
        </w:rPr>
        <w:t>, e</w:t>
      </w:r>
      <w:r w:rsidRPr="00055B35">
        <w:rPr>
          <w:sz w:val="20"/>
          <w:szCs w:val="20"/>
          <w:lang w:val="en-US"/>
        </w:rPr>
        <w:t>nergy consumption per delivered bit</w:t>
      </w:r>
      <w:r>
        <w:rPr>
          <w:rFonts w:hint="eastAsia"/>
          <w:sz w:val="20"/>
          <w:szCs w:val="20"/>
          <w:lang w:val="en-US"/>
        </w:rPr>
        <w:t>, e</w:t>
      </w:r>
      <w:r w:rsidRPr="00055B35">
        <w:rPr>
          <w:sz w:val="20"/>
          <w:szCs w:val="20"/>
          <w:lang w:val="en-US"/>
        </w:rPr>
        <w:t>nd-to-end latency</w:t>
      </w:r>
      <w:r>
        <w:rPr>
          <w:rFonts w:hint="eastAsia"/>
          <w:sz w:val="20"/>
          <w:szCs w:val="20"/>
          <w:lang w:val="en-US"/>
        </w:rPr>
        <w:t>, p</w:t>
      </w:r>
      <w:r w:rsidRPr="00055B35">
        <w:rPr>
          <w:sz w:val="20"/>
          <w:szCs w:val="20"/>
          <w:lang w:val="en-US"/>
        </w:rPr>
        <w:t>acket delivery ratio (PDR)</w:t>
      </w:r>
      <w:r>
        <w:rPr>
          <w:rFonts w:hint="eastAsia"/>
          <w:sz w:val="20"/>
          <w:szCs w:val="20"/>
          <w:lang w:val="en-US"/>
        </w:rPr>
        <w:t>, t</w:t>
      </w:r>
      <w:r w:rsidRPr="00055B35">
        <w:rPr>
          <w:sz w:val="20"/>
          <w:szCs w:val="20"/>
          <w:lang w:val="en-US"/>
        </w:rPr>
        <w:t>hroughput and network utilization</w:t>
      </w:r>
      <w:r>
        <w:rPr>
          <w:rFonts w:hint="eastAsia"/>
          <w:sz w:val="20"/>
          <w:szCs w:val="20"/>
          <w:lang w:val="en-US"/>
        </w:rPr>
        <w:t>, c</w:t>
      </w:r>
      <w:r w:rsidRPr="00055B35">
        <w:rPr>
          <w:sz w:val="20"/>
          <w:szCs w:val="20"/>
          <w:lang w:val="en-US"/>
        </w:rPr>
        <w:t>arbon emission proxy (derived from energy usage)</w:t>
      </w:r>
      <w:r>
        <w:rPr>
          <w:rFonts w:hint="eastAsia"/>
          <w:sz w:val="20"/>
          <w:szCs w:val="20"/>
          <w:lang w:val="en-US"/>
        </w:rPr>
        <w:t xml:space="preserve">. </w:t>
      </w:r>
      <w:r w:rsidRPr="00055B35">
        <w:rPr>
          <w:sz w:val="20"/>
          <w:szCs w:val="20"/>
          <w:lang w:val="en-US"/>
        </w:rPr>
        <w:t>Statistical significance is ensured through repeated simulation runs and confidence interval analysis. Sensitivity analysis is also conducted to assess robustness under varying traffic loads, node densities, and energy models.</w:t>
      </w:r>
    </w:p>
    <w:p w14:paraId="1DF7071D" w14:textId="1562A130" w:rsidR="00E53658" w:rsidRDefault="00EC661C" w:rsidP="00E53658">
      <w:pPr>
        <w:pStyle w:val="BodyText"/>
        <w:tabs>
          <w:tab w:val="left" w:pos="288"/>
        </w:tabs>
        <w:ind w:firstLine="0"/>
        <w:rPr>
          <w:sz w:val="20"/>
          <w:szCs w:val="20"/>
          <w:lang w:val="en-US"/>
        </w:rPr>
      </w:pPr>
      <w:r>
        <w:rPr>
          <w:noProof/>
          <w:sz w:val="20"/>
          <w:szCs w:val="20"/>
          <w:lang w:val="en-US"/>
        </w:rPr>
        <w:drawing>
          <wp:inline distT="0" distB="0" distL="0" distR="0" wp14:anchorId="3B3B4C0B" wp14:editId="00468C84">
            <wp:extent cx="2908300" cy="2203450"/>
            <wp:effectExtent l="0" t="0" r="6350" b="6350"/>
            <wp:docPr id="364949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2203450"/>
                    </a:xfrm>
                    <a:prstGeom prst="rect">
                      <a:avLst/>
                    </a:prstGeom>
                    <a:noFill/>
                    <a:ln>
                      <a:noFill/>
                    </a:ln>
                  </pic:spPr>
                </pic:pic>
              </a:graphicData>
            </a:graphic>
          </wp:inline>
        </w:drawing>
      </w:r>
    </w:p>
    <w:p w14:paraId="3749F466" w14:textId="05CAFC5F" w:rsidR="00E53658" w:rsidRPr="00055B35" w:rsidRDefault="00E53658" w:rsidP="00E53658">
      <w:pPr>
        <w:pStyle w:val="BodyText"/>
        <w:tabs>
          <w:tab w:val="left" w:pos="288"/>
        </w:tabs>
        <w:ind w:firstLine="0"/>
        <w:jc w:val="center"/>
        <w:rPr>
          <w:sz w:val="18"/>
          <w:szCs w:val="18"/>
          <w:lang w:val="en-US"/>
        </w:rPr>
      </w:pPr>
      <w:r w:rsidRPr="00E53658">
        <w:rPr>
          <w:sz w:val="18"/>
          <w:szCs w:val="18"/>
          <w:lang w:val="en-AU"/>
        </w:rPr>
        <w:t>Fig.3. Simulation and Experimental Evaluation Workflow</w:t>
      </w:r>
    </w:p>
    <w:p w14:paraId="363E2CD8" w14:textId="77777777" w:rsidR="00B45CEA" w:rsidRDefault="00000000">
      <w:pPr>
        <w:pStyle w:val="IETHeading1"/>
        <w:numPr>
          <w:ilvl w:val="0"/>
          <w:numId w:val="6"/>
        </w:numPr>
        <w:tabs>
          <w:tab w:val="clear" w:pos="425"/>
        </w:tabs>
        <w:jc w:val="center"/>
        <w:rPr>
          <w:rFonts w:ascii="Times New Roman" w:hAnsi="Times New Roman" w:cs="Times New Roman"/>
          <w:b w:val="0"/>
          <w:bCs w:val="0"/>
          <w:smallCaps/>
          <w:sz w:val="20"/>
          <w:szCs w:val="20"/>
          <w:lang w:val="en-US" w:eastAsia="en-US"/>
        </w:rPr>
      </w:pPr>
      <w:r>
        <w:rPr>
          <w:rFonts w:ascii="Times New Roman" w:hAnsi="Times New Roman" w:cs="Times New Roman"/>
          <w:b w:val="0"/>
          <w:bCs w:val="0"/>
          <w:smallCaps/>
          <w:sz w:val="20"/>
          <w:szCs w:val="20"/>
          <w:lang w:val="en-US" w:eastAsia="en-US"/>
        </w:rPr>
        <w:t>Results</w:t>
      </w:r>
    </w:p>
    <w:p w14:paraId="67046844" w14:textId="77777777" w:rsidR="00055E27" w:rsidRPr="00055E27" w:rsidRDefault="00055E27" w:rsidP="00055E27">
      <w:pPr>
        <w:pStyle w:val="BodyText"/>
        <w:tabs>
          <w:tab w:val="left" w:pos="288"/>
        </w:tabs>
        <w:rPr>
          <w:sz w:val="20"/>
          <w:szCs w:val="20"/>
          <w:lang w:val="en-US"/>
        </w:rPr>
      </w:pPr>
      <w:r w:rsidRPr="00055E27">
        <w:rPr>
          <w:sz w:val="20"/>
          <w:szCs w:val="20"/>
          <w:lang w:val="en-US"/>
        </w:rPr>
        <w:t>This section presents a comprehensive evaluation of the proposed Green Information Network architecture and energy-aware protocols, comparing their performance against conventional network designs across multiple deployment scenarios.</w:t>
      </w:r>
    </w:p>
    <w:p w14:paraId="1E0838D2" w14:textId="61A3AC1A" w:rsidR="00055E27" w:rsidRPr="00055E27" w:rsidRDefault="00055E27" w:rsidP="00055E27">
      <w:pPr>
        <w:pStyle w:val="BodyText"/>
        <w:tabs>
          <w:tab w:val="left" w:pos="288"/>
        </w:tabs>
        <w:rPr>
          <w:sz w:val="20"/>
          <w:szCs w:val="20"/>
          <w:lang w:val="en-US"/>
        </w:rPr>
      </w:pPr>
      <w:r w:rsidRPr="00055E27">
        <w:rPr>
          <w:sz w:val="20"/>
          <w:szCs w:val="20"/>
          <w:lang w:val="en-US"/>
        </w:rPr>
        <w:t>Results demonstrate that the proposed GIN architecture achieves substantial energy savings across all evaluated network scales. Compared to baseline protocols, total network energy consumption is reduced by 25–40%, depending on traffic intensity and topology density</w:t>
      </w:r>
      <w:r w:rsidR="009E386B">
        <w:rPr>
          <w:rFonts w:hint="eastAsia"/>
          <w:sz w:val="20"/>
          <w:szCs w:val="20"/>
          <w:lang w:val="en-US"/>
        </w:rPr>
        <w:t xml:space="preserve"> (Figure 4)</w:t>
      </w:r>
      <w:r w:rsidRPr="00055E27">
        <w:rPr>
          <w:sz w:val="20"/>
          <w:szCs w:val="20"/>
          <w:lang w:val="en-US"/>
        </w:rPr>
        <w:t>.</w:t>
      </w:r>
    </w:p>
    <w:p w14:paraId="76750719" w14:textId="006E18E3" w:rsidR="00055E27" w:rsidRDefault="00055E27" w:rsidP="00055E27">
      <w:pPr>
        <w:pStyle w:val="BodyText"/>
        <w:tabs>
          <w:tab w:val="left" w:pos="288"/>
        </w:tabs>
        <w:rPr>
          <w:sz w:val="20"/>
          <w:szCs w:val="20"/>
          <w:lang w:val="en-US"/>
        </w:rPr>
      </w:pPr>
      <w:r w:rsidRPr="00055E27">
        <w:rPr>
          <w:sz w:val="20"/>
          <w:szCs w:val="20"/>
          <w:lang w:val="en-US"/>
        </w:rPr>
        <w:t xml:space="preserve">The most significant reductions are observed during low and moderate traffic periods, where adaptive duty cycling </w:t>
      </w:r>
      <w:r w:rsidRPr="00055E27">
        <w:rPr>
          <w:sz w:val="20"/>
          <w:szCs w:val="20"/>
          <w:lang w:val="en-US"/>
        </w:rPr>
        <w:t>and sleep-aware routing effectively minimize idle energy consumption. Backbone and edge nodes benefit from SDN-enabled traffic consolidation, allowing underutilized links and devices to enter low-power states without service disruption.</w:t>
      </w:r>
      <w:r w:rsidR="009E386B">
        <w:rPr>
          <w:rFonts w:hint="eastAsia"/>
          <w:sz w:val="20"/>
          <w:szCs w:val="20"/>
          <w:lang w:val="en-US"/>
        </w:rPr>
        <w:t xml:space="preserve"> </w:t>
      </w:r>
      <w:r w:rsidRPr="00055E27">
        <w:rPr>
          <w:sz w:val="20"/>
          <w:szCs w:val="20"/>
          <w:lang w:val="en-US"/>
        </w:rPr>
        <w:t>Energy consumption per delivered bit is consistently lower in the proposed approach, indicating improved energy efficiency rather than mere traffic suppression</w:t>
      </w:r>
      <w:r w:rsidR="007752E7">
        <w:rPr>
          <w:rFonts w:hint="eastAsia"/>
          <w:sz w:val="20"/>
          <w:szCs w:val="20"/>
          <w:lang w:val="en-US"/>
        </w:rPr>
        <w:t xml:space="preserve"> (Figure 5)</w:t>
      </w:r>
      <w:r w:rsidRPr="00055E27">
        <w:rPr>
          <w:sz w:val="20"/>
          <w:szCs w:val="20"/>
          <w:lang w:val="en-US"/>
        </w:rPr>
        <w:t>.</w:t>
      </w:r>
    </w:p>
    <w:p w14:paraId="4849BA0F" w14:textId="2298BF6B" w:rsidR="009E386B" w:rsidRDefault="007752E7" w:rsidP="009E386B">
      <w:pPr>
        <w:pStyle w:val="BodyText"/>
        <w:tabs>
          <w:tab w:val="left" w:pos="288"/>
        </w:tabs>
        <w:ind w:firstLine="0"/>
        <w:jc w:val="center"/>
        <w:rPr>
          <w:sz w:val="20"/>
          <w:szCs w:val="20"/>
          <w:lang w:val="en-US"/>
        </w:rPr>
      </w:pPr>
      <w:r>
        <w:rPr>
          <w:noProof/>
          <w:sz w:val="20"/>
          <w:szCs w:val="20"/>
          <w:lang w:val="en-US"/>
        </w:rPr>
        <w:drawing>
          <wp:inline distT="0" distB="0" distL="0" distR="0" wp14:anchorId="7D844B33" wp14:editId="036A5DAF">
            <wp:extent cx="3086100" cy="2451100"/>
            <wp:effectExtent l="0" t="0" r="0" b="6350"/>
            <wp:docPr id="9852839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2451100"/>
                    </a:xfrm>
                    <a:prstGeom prst="rect">
                      <a:avLst/>
                    </a:prstGeom>
                    <a:noFill/>
                    <a:ln>
                      <a:noFill/>
                    </a:ln>
                  </pic:spPr>
                </pic:pic>
              </a:graphicData>
            </a:graphic>
          </wp:inline>
        </w:drawing>
      </w:r>
    </w:p>
    <w:p w14:paraId="1AEE09FB" w14:textId="08D2D91C" w:rsidR="009E386B" w:rsidRDefault="009E386B" w:rsidP="009E386B">
      <w:pPr>
        <w:pStyle w:val="BodyText"/>
        <w:tabs>
          <w:tab w:val="left" w:pos="288"/>
        </w:tabs>
        <w:jc w:val="center"/>
        <w:rPr>
          <w:sz w:val="18"/>
          <w:szCs w:val="18"/>
          <w:lang w:val="en-AU"/>
        </w:rPr>
      </w:pPr>
      <w:r w:rsidRPr="009E386B">
        <w:rPr>
          <w:sz w:val="18"/>
          <w:szCs w:val="18"/>
          <w:lang w:val="en-AU"/>
        </w:rPr>
        <w:t>Fig</w:t>
      </w:r>
      <w:r w:rsidRPr="009E386B">
        <w:rPr>
          <w:rFonts w:hint="eastAsia"/>
          <w:sz w:val="18"/>
          <w:szCs w:val="18"/>
          <w:lang w:val="en-AU"/>
        </w:rPr>
        <w:t>.</w:t>
      </w:r>
      <w:r w:rsidRPr="009E386B">
        <w:rPr>
          <w:sz w:val="18"/>
          <w:szCs w:val="18"/>
          <w:lang w:val="en-AU"/>
        </w:rPr>
        <w:t xml:space="preserve"> 4. Total Network Energy Consumption Comparison</w:t>
      </w:r>
    </w:p>
    <w:p w14:paraId="28F92852" w14:textId="6DA14CD3" w:rsidR="007752E7" w:rsidRDefault="007752E7" w:rsidP="007752E7">
      <w:pPr>
        <w:pStyle w:val="BodyText"/>
        <w:tabs>
          <w:tab w:val="left" w:pos="288"/>
        </w:tabs>
        <w:ind w:firstLine="0"/>
        <w:rPr>
          <w:sz w:val="18"/>
          <w:szCs w:val="18"/>
          <w:lang w:val="en-AU"/>
        </w:rPr>
      </w:pPr>
      <w:r>
        <w:rPr>
          <w:noProof/>
        </w:rPr>
        <w:drawing>
          <wp:inline distT="0" distB="0" distL="0" distR="0" wp14:anchorId="23B0DFF8" wp14:editId="5835E3AE">
            <wp:extent cx="3228907" cy="2584450"/>
            <wp:effectExtent l="0" t="0" r="0" b="6350"/>
            <wp:docPr id="918730059" name="Picture 7" descr="Energy-efficient 5G for a greener future | Nature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ergy-efficient 5G for a greener future | Nature Electronic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2029" cy="2586949"/>
                    </a:xfrm>
                    <a:prstGeom prst="rect">
                      <a:avLst/>
                    </a:prstGeom>
                    <a:noFill/>
                    <a:ln>
                      <a:noFill/>
                    </a:ln>
                  </pic:spPr>
                </pic:pic>
              </a:graphicData>
            </a:graphic>
          </wp:inline>
        </w:drawing>
      </w:r>
    </w:p>
    <w:p w14:paraId="3FF21FDF" w14:textId="17E1FC98" w:rsidR="007752E7" w:rsidRPr="009E386B" w:rsidRDefault="007752E7" w:rsidP="009E386B">
      <w:pPr>
        <w:pStyle w:val="BodyText"/>
        <w:tabs>
          <w:tab w:val="left" w:pos="288"/>
        </w:tabs>
        <w:jc w:val="center"/>
        <w:rPr>
          <w:sz w:val="18"/>
          <w:szCs w:val="18"/>
          <w:lang w:val="en-AU"/>
        </w:rPr>
      </w:pPr>
      <w:r w:rsidRPr="007752E7">
        <w:rPr>
          <w:sz w:val="18"/>
          <w:szCs w:val="18"/>
          <w:lang w:val="en-AU"/>
        </w:rPr>
        <w:t>Fig</w:t>
      </w:r>
      <w:r>
        <w:rPr>
          <w:rFonts w:hint="eastAsia"/>
          <w:sz w:val="18"/>
          <w:szCs w:val="18"/>
          <w:lang w:val="en-AU"/>
        </w:rPr>
        <w:t>.</w:t>
      </w:r>
      <w:r w:rsidRPr="007752E7">
        <w:rPr>
          <w:sz w:val="18"/>
          <w:szCs w:val="18"/>
          <w:lang w:val="en-AU"/>
        </w:rPr>
        <w:t xml:space="preserve"> </w:t>
      </w:r>
      <w:r>
        <w:rPr>
          <w:rFonts w:hint="eastAsia"/>
          <w:sz w:val="18"/>
          <w:szCs w:val="18"/>
          <w:lang w:val="en-AU"/>
        </w:rPr>
        <w:t>5</w:t>
      </w:r>
      <w:r w:rsidRPr="007752E7">
        <w:rPr>
          <w:sz w:val="18"/>
          <w:szCs w:val="18"/>
          <w:lang w:val="en-AU"/>
        </w:rPr>
        <w:t>. Energy Consumption per Delivered Bit under Varying Traffic Loads</w:t>
      </w:r>
    </w:p>
    <w:p w14:paraId="09CECFB9" w14:textId="36128CEB" w:rsidR="00055E27" w:rsidRPr="00055E27" w:rsidRDefault="0088740E" w:rsidP="00055E27">
      <w:pPr>
        <w:pStyle w:val="BodyText"/>
        <w:tabs>
          <w:tab w:val="left" w:pos="288"/>
        </w:tabs>
        <w:rPr>
          <w:sz w:val="20"/>
          <w:szCs w:val="20"/>
          <w:lang w:val="en-US"/>
        </w:rPr>
      </w:pPr>
      <w:r>
        <w:rPr>
          <w:rFonts w:hint="eastAsia"/>
          <w:sz w:val="20"/>
          <w:szCs w:val="20"/>
          <w:lang w:val="en-US"/>
        </w:rPr>
        <w:t>D</w:t>
      </w:r>
      <w:r w:rsidR="00055E27" w:rsidRPr="00055E27">
        <w:rPr>
          <w:sz w:val="20"/>
          <w:szCs w:val="20"/>
          <w:lang w:val="en-US"/>
        </w:rPr>
        <w:t>espite aggressive energy optimization, QoS degradation remains minimal. End-to-end latency increases by less than 5% on average compared to baseline systems, remaining well within acceptable thresholds for real-time and near-real-time applications.</w:t>
      </w:r>
    </w:p>
    <w:p w14:paraId="5E03A9CD" w14:textId="35921476" w:rsidR="00055E27" w:rsidRPr="00055E27" w:rsidRDefault="00055E27" w:rsidP="00055E27">
      <w:pPr>
        <w:pStyle w:val="BodyText"/>
        <w:tabs>
          <w:tab w:val="left" w:pos="288"/>
        </w:tabs>
        <w:rPr>
          <w:sz w:val="20"/>
          <w:szCs w:val="20"/>
          <w:lang w:val="en-US"/>
        </w:rPr>
      </w:pPr>
      <w:r w:rsidRPr="00055E27">
        <w:rPr>
          <w:sz w:val="20"/>
          <w:szCs w:val="20"/>
          <w:lang w:val="en-US"/>
        </w:rPr>
        <w:t>Packet delivery ratio remains above 98% across most scenarios, demonstrating that energy-aware routing decisions do not compromise reliability. In high-load scenarios, the intelligent control layer dynamically relaxes energy constraints to prevent congestion-induced packet loss, highlighting the adaptability of the proposed framework</w:t>
      </w:r>
      <w:r w:rsidR="0088740E">
        <w:rPr>
          <w:rFonts w:hint="eastAsia"/>
          <w:sz w:val="20"/>
          <w:szCs w:val="20"/>
          <w:lang w:val="en-US"/>
        </w:rPr>
        <w:t xml:space="preserve"> (Figure 6)</w:t>
      </w:r>
      <w:r w:rsidRPr="00055E27">
        <w:rPr>
          <w:sz w:val="20"/>
          <w:szCs w:val="20"/>
          <w:lang w:val="en-US"/>
        </w:rPr>
        <w:t>.</w:t>
      </w:r>
    </w:p>
    <w:p w14:paraId="4D95F3C8" w14:textId="30579555" w:rsidR="00055E27" w:rsidRDefault="00055E27" w:rsidP="00055E27">
      <w:pPr>
        <w:pStyle w:val="BodyText"/>
        <w:tabs>
          <w:tab w:val="left" w:pos="288"/>
        </w:tabs>
        <w:rPr>
          <w:sz w:val="20"/>
          <w:szCs w:val="20"/>
          <w:lang w:val="en-US"/>
        </w:rPr>
      </w:pPr>
      <w:r w:rsidRPr="00055E27">
        <w:rPr>
          <w:sz w:val="20"/>
          <w:szCs w:val="20"/>
          <w:lang w:val="en-US"/>
        </w:rPr>
        <w:t>Throughput measurements show comparable or slightly improved performance relative to conventional protocols due to better load balancing and congestion avoidance</w:t>
      </w:r>
      <w:r w:rsidR="0088740E">
        <w:rPr>
          <w:rFonts w:hint="eastAsia"/>
          <w:sz w:val="20"/>
          <w:szCs w:val="20"/>
          <w:lang w:val="en-US"/>
        </w:rPr>
        <w:t xml:space="preserve"> (Table 3)</w:t>
      </w:r>
      <w:r w:rsidRPr="00055E27">
        <w:rPr>
          <w:sz w:val="20"/>
          <w:szCs w:val="20"/>
          <w:lang w:val="en-US"/>
        </w:rPr>
        <w:t>.</w:t>
      </w:r>
    </w:p>
    <w:p w14:paraId="37D2DE1A" w14:textId="0A84572B" w:rsidR="00560906" w:rsidRDefault="00560906" w:rsidP="00560906">
      <w:pPr>
        <w:pStyle w:val="BodyText"/>
        <w:tabs>
          <w:tab w:val="left" w:pos="288"/>
        </w:tabs>
        <w:ind w:firstLine="0"/>
        <w:rPr>
          <w:sz w:val="20"/>
          <w:szCs w:val="20"/>
          <w:lang w:val="en-US"/>
        </w:rPr>
      </w:pPr>
      <w:r>
        <w:rPr>
          <w:noProof/>
        </w:rPr>
        <w:lastRenderedPageBreak/>
        <w:drawing>
          <wp:inline distT="0" distB="0" distL="0" distR="0" wp14:anchorId="1132FBD3" wp14:editId="7E39BCD7">
            <wp:extent cx="3095625" cy="4342130"/>
            <wp:effectExtent l="0" t="0" r="9525" b="1270"/>
            <wp:docPr id="1937113158" name="Picture 10" descr="QoS Implementation with Triple-Metric-Based Active Que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oS Implementation with Triple-Metric-Based Active Queu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5625" cy="4342130"/>
                    </a:xfrm>
                    <a:prstGeom prst="rect">
                      <a:avLst/>
                    </a:prstGeom>
                    <a:noFill/>
                    <a:ln>
                      <a:noFill/>
                    </a:ln>
                  </pic:spPr>
                </pic:pic>
              </a:graphicData>
            </a:graphic>
          </wp:inline>
        </w:drawing>
      </w:r>
    </w:p>
    <w:p w14:paraId="1FE70F11" w14:textId="77777777" w:rsidR="00560906" w:rsidRDefault="00560906" w:rsidP="00560906">
      <w:pPr>
        <w:pStyle w:val="BodyText"/>
        <w:tabs>
          <w:tab w:val="left" w:pos="288"/>
        </w:tabs>
        <w:ind w:firstLine="0"/>
        <w:rPr>
          <w:sz w:val="18"/>
          <w:szCs w:val="18"/>
          <w:lang w:val="en-US"/>
        </w:rPr>
      </w:pPr>
      <w:r w:rsidRPr="00560906">
        <w:rPr>
          <w:sz w:val="18"/>
          <w:szCs w:val="18"/>
          <w:lang w:val="en-US"/>
        </w:rPr>
        <w:t>Fig</w:t>
      </w:r>
      <w:r w:rsidRPr="00560906">
        <w:rPr>
          <w:rFonts w:hint="eastAsia"/>
          <w:sz w:val="18"/>
          <w:szCs w:val="18"/>
          <w:lang w:val="en-US"/>
        </w:rPr>
        <w:t>.</w:t>
      </w:r>
      <w:r w:rsidRPr="00560906">
        <w:rPr>
          <w:sz w:val="18"/>
          <w:szCs w:val="18"/>
          <w:lang w:val="en-US"/>
        </w:rPr>
        <w:t xml:space="preserve"> </w:t>
      </w:r>
      <w:r w:rsidRPr="00560906">
        <w:rPr>
          <w:rFonts w:hint="eastAsia"/>
          <w:sz w:val="18"/>
          <w:szCs w:val="18"/>
          <w:lang w:val="en-US"/>
        </w:rPr>
        <w:t>6</w:t>
      </w:r>
      <w:r w:rsidRPr="00560906">
        <w:rPr>
          <w:sz w:val="18"/>
          <w:szCs w:val="18"/>
          <w:lang w:val="en-US"/>
        </w:rPr>
        <w:t>. End-to-End Latency and Packet Delivery Ratio Comparison</w:t>
      </w:r>
    </w:p>
    <w:p w14:paraId="107A3374" w14:textId="6E03B942" w:rsidR="00560906" w:rsidRPr="00560906" w:rsidRDefault="00560906" w:rsidP="00560906">
      <w:pPr>
        <w:pStyle w:val="BodyText"/>
        <w:tabs>
          <w:tab w:val="left" w:pos="288"/>
        </w:tabs>
        <w:ind w:firstLine="0"/>
        <w:jc w:val="center"/>
        <w:rPr>
          <w:sz w:val="18"/>
          <w:szCs w:val="18"/>
          <w:lang w:val="en-US"/>
        </w:rPr>
      </w:pPr>
      <w:r w:rsidRPr="00560906">
        <w:rPr>
          <w:sz w:val="18"/>
          <w:szCs w:val="18"/>
          <w:lang w:val="en-US"/>
        </w:rPr>
        <w:t xml:space="preserve">Table </w:t>
      </w:r>
      <w:r>
        <w:rPr>
          <w:rFonts w:hint="eastAsia"/>
          <w:sz w:val="18"/>
          <w:szCs w:val="18"/>
          <w:lang w:val="en-US"/>
        </w:rPr>
        <w:t>3</w:t>
      </w:r>
      <w:r w:rsidRPr="00560906">
        <w:rPr>
          <w:sz w:val="18"/>
          <w:szCs w:val="18"/>
          <w:lang w:val="en-US"/>
        </w:rPr>
        <w:t>. Comparative Performance Metrics: Baseline vs. Proposed GIN</w:t>
      </w:r>
    </w:p>
    <w:tbl>
      <w:tblPr>
        <w:tblStyle w:val="TableGrid"/>
        <w:tblW w:w="0" w:type="auto"/>
        <w:tblLook w:val="04A0" w:firstRow="1" w:lastRow="0" w:firstColumn="1" w:lastColumn="0" w:noHBand="0" w:noVBand="1"/>
      </w:tblPr>
      <w:tblGrid>
        <w:gridCol w:w="1505"/>
        <w:gridCol w:w="995"/>
        <w:gridCol w:w="1086"/>
        <w:gridCol w:w="1505"/>
      </w:tblGrid>
      <w:tr w:rsidR="00560906" w14:paraId="493CD154" w14:textId="77777777" w:rsidTr="00560906">
        <w:tc>
          <w:tcPr>
            <w:tcW w:w="1526" w:type="dxa"/>
            <w:vAlign w:val="center"/>
          </w:tcPr>
          <w:p w14:paraId="4E913BFB" w14:textId="372B0D82" w:rsidR="00560906" w:rsidRPr="00560906" w:rsidRDefault="00560906" w:rsidP="00560906">
            <w:pPr>
              <w:pStyle w:val="BodyText"/>
              <w:tabs>
                <w:tab w:val="left" w:pos="288"/>
              </w:tabs>
              <w:ind w:firstLine="0"/>
              <w:rPr>
                <w:sz w:val="18"/>
                <w:szCs w:val="18"/>
                <w:lang w:val="en-US"/>
              </w:rPr>
            </w:pPr>
            <w:r w:rsidRPr="00560906">
              <w:rPr>
                <w:rStyle w:val="Strong"/>
                <w:sz w:val="18"/>
                <w:szCs w:val="18"/>
              </w:rPr>
              <w:t>Performance Metric</w:t>
            </w:r>
          </w:p>
        </w:tc>
        <w:tc>
          <w:tcPr>
            <w:tcW w:w="957" w:type="dxa"/>
            <w:vAlign w:val="center"/>
          </w:tcPr>
          <w:p w14:paraId="34B6EFE0" w14:textId="09B2187C" w:rsidR="00560906" w:rsidRPr="00560906" w:rsidRDefault="00560906" w:rsidP="00560906">
            <w:pPr>
              <w:pStyle w:val="BodyText"/>
              <w:tabs>
                <w:tab w:val="left" w:pos="288"/>
              </w:tabs>
              <w:ind w:firstLine="0"/>
              <w:rPr>
                <w:sz w:val="18"/>
                <w:szCs w:val="18"/>
                <w:lang w:val="en-US"/>
              </w:rPr>
            </w:pPr>
            <w:r w:rsidRPr="00560906">
              <w:rPr>
                <w:rStyle w:val="Strong"/>
                <w:sz w:val="18"/>
                <w:szCs w:val="18"/>
              </w:rPr>
              <w:t>Baseline Network</w:t>
            </w:r>
          </w:p>
        </w:tc>
        <w:tc>
          <w:tcPr>
            <w:tcW w:w="1086" w:type="dxa"/>
            <w:vAlign w:val="center"/>
          </w:tcPr>
          <w:p w14:paraId="691D44E1" w14:textId="106201E0" w:rsidR="00560906" w:rsidRPr="00560906" w:rsidRDefault="00560906" w:rsidP="00560906">
            <w:pPr>
              <w:pStyle w:val="BodyText"/>
              <w:tabs>
                <w:tab w:val="left" w:pos="288"/>
              </w:tabs>
              <w:ind w:firstLine="0"/>
              <w:rPr>
                <w:sz w:val="18"/>
                <w:szCs w:val="18"/>
                <w:lang w:val="en-US"/>
              </w:rPr>
            </w:pPr>
            <w:r w:rsidRPr="00560906">
              <w:rPr>
                <w:rStyle w:val="Strong"/>
                <w:sz w:val="18"/>
                <w:szCs w:val="18"/>
              </w:rPr>
              <w:t>Proposed GIN</w:t>
            </w:r>
          </w:p>
        </w:tc>
        <w:tc>
          <w:tcPr>
            <w:tcW w:w="1522" w:type="dxa"/>
            <w:vAlign w:val="center"/>
          </w:tcPr>
          <w:p w14:paraId="22E86A25" w14:textId="1AEEA407" w:rsidR="00560906" w:rsidRPr="00560906" w:rsidRDefault="00560906" w:rsidP="00560906">
            <w:pPr>
              <w:pStyle w:val="BodyText"/>
              <w:tabs>
                <w:tab w:val="left" w:pos="288"/>
              </w:tabs>
              <w:ind w:firstLine="0"/>
              <w:rPr>
                <w:sz w:val="18"/>
                <w:szCs w:val="18"/>
                <w:lang w:val="en-US"/>
              </w:rPr>
            </w:pPr>
            <w:r w:rsidRPr="00560906">
              <w:rPr>
                <w:rStyle w:val="Strong"/>
                <w:sz w:val="18"/>
                <w:szCs w:val="18"/>
              </w:rPr>
              <w:t>Improvement / Observation</w:t>
            </w:r>
          </w:p>
        </w:tc>
      </w:tr>
      <w:tr w:rsidR="00560906" w14:paraId="027C5F14" w14:textId="77777777" w:rsidTr="00560906">
        <w:tc>
          <w:tcPr>
            <w:tcW w:w="1526" w:type="dxa"/>
            <w:vAlign w:val="center"/>
          </w:tcPr>
          <w:p w14:paraId="3D374CB9" w14:textId="5017561E" w:rsidR="00560906" w:rsidRPr="00560906" w:rsidRDefault="00560906" w:rsidP="00560906">
            <w:pPr>
              <w:pStyle w:val="BodyText"/>
              <w:tabs>
                <w:tab w:val="left" w:pos="288"/>
              </w:tabs>
              <w:ind w:firstLine="0"/>
              <w:rPr>
                <w:sz w:val="18"/>
                <w:szCs w:val="18"/>
                <w:lang w:val="en-US"/>
              </w:rPr>
            </w:pPr>
            <w:r w:rsidRPr="00560906">
              <w:rPr>
                <w:sz w:val="18"/>
                <w:szCs w:val="18"/>
                <w:lang w:val="en-US"/>
              </w:rPr>
              <w:t>Total network energy consumption (kWh)</w:t>
            </w:r>
          </w:p>
        </w:tc>
        <w:tc>
          <w:tcPr>
            <w:tcW w:w="957" w:type="dxa"/>
            <w:vAlign w:val="center"/>
          </w:tcPr>
          <w:p w14:paraId="0D871A72" w14:textId="2A4F91DE" w:rsidR="00560906" w:rsidRPr="00560906" w:rsidRDefault="00560906" w:rsidP="00560906">
            <w:pPr>
              <w:pStyle w:val="BodyText"/>
              <w:tabs>
                <w:tab w:val="left" w:pos="288"/>
              </w:tabs>
              <w:ind w:firstLine="0"/>
              <w:rPr>
                <w:sz w:val="18"/>
                <w:szCs w:val="18"/>
                <w:lang w:val="en-US"/>
              </w:rPr>
            </w:pPr>
            <w:r w:rsidRPr="00560906">
              <w:rPr>
                <w:sz w:val="18"/>
                <w:szCs w:val="18"/>
              </w:rPr>
              <w:t>100% (reference)</w:t>
            </w:r>
          </w:p>
        </w:tc>
        <w:tc>
          <w:tcPr>
            <w:tcW w:w="1086" w:type="dxa"/>
            <w:vAlign w:val="center"/>
          </w:tcPr>
          <w:p w14:paraId="130E3499" w14:textId="499BCABD" w:rsidR="00560906" w:rsidRPr="00560906" w:rsidRDefault="00560906" w:rsidP="00560906">
            <w:pPr>
              <w:pStyle w:val="BodyText"/>
              <w:tabs>
                <w:tab w:val="left" w:pos="288"/>
              </w:tabs>
              <w:ind w:firstLine="0"/>
              <w:rPr>
                <w:sz w:val="18"/>
                <w:szCs w:val="18"/>
                <w:lang w:val="en-US"/>
              </w:rPr>
            </w:pPr>
            <w:r w:rsidRPr="00560906">
              <w:rPr>
                <w:sz w:val="18"/>
                <w:szCs w:val="18"/>
              </w:rPr>
              <w:t>60–75%</w:t>
            </w:r>
          </w:p>
        </w:tc>
        <w:tc>
          <w:tcPr>
            <w:tcW w:w="1522" w:type="dxa"/>
            <w:vAlign w:val="center"/>
          </w:tcPr>
          <w:p w14:paraId="2304995E" w14:textId="78BD8D5F" w:rsidR="00560906" w:rsidRPr="00560906" w:rsidRDefault="00560906" w:rsidP="00560906">
            <w:pPr>
              <w:pStyle w:val="BodyText"/>
              <w:tabs>
                <w:tab w:val="left" w:pos="288"/>
              </w:tabs>
              <w:ind w:firstLine="0"/>
              <w:rPr>
                <w:sz w:val="18"/>
                <w:szCs w:val="18"/>
                <w:lang w:val="en-US"/>
              </w:rPr>
            </w:pPr>
            <w:r w:rsidRPr="00560906">
              <w:rPr>
                <w:sz w:val="18"/>
                <w:szCs w:val="18"/>
                <w:lang w:val="en-US"/>
              </w:rPr>
              <w:t>25–40% reduction due to energy-aware routing and sleep scheduling</w:t>
            </w:r>
          </w:p>
        </w:tc>
      </w:tr>
      <w:tr w:rsidR="00560906" w14:paraId="61939D00" w14:textId="77777777" w:rsidTr="00560906">
        <w:tc>
          <w:tcPr>
            <w:tcW w:w="1526" w:type="dxa"/>
            <w:vAlign w:val="center"/>
          </w:tcPr>
          <w:p w14:paraId="78583105" w14:textId="1AE5781D" w:rsidR="00560906" w:rsidRPr="00560906" w:rsidRDefault="00560906" w:rsidP="00560906">
            <w:pPr>
              <w:pStyle w:val="BodyText"/>
              <w:tabs>
                <w:tab w:val="left" w:pos="288"/>
              </w:tabs>
              <w:ind w:firstLine="0"/>
              <w:rPr>
                <w:sz w:val="18"/>
                <w:szCs w:val="18"/>
                <w:lang w:val="en-US"/>
              </w:rPr>
            </w:pPr>
            <w:r w:rsidRPr="00560906">
              <w:rPr>
                <w:sz w:val="18"/>
                <w:szCs w:val="18"/>
                <w:lang w:val="en-US"/>
              </w:rPr>
              <w:t>Energy consumption per delivered bit (µJ/bit)</w:t>
            </w:r>
          </w:p>
        </w:tc>
        <w:tc>
          <w:tcPr>
            <w:tcW w:w="957" w:type="dxa"/>
            <w:vAlign w:val="center"/>
          </w:tcPr>
          <w:p w14:paraId="6A5D73D8" w14:textId="703DBB16" w:rsidR="00560906" w:rsidRPr="00560906" w:rsidRDefault="00560906" w:rsidP="00560906">
            <w:pPr>
              <w:pStyle w:val="BodyText"/>
              <w:tabs>
                <w:tab w:val="left" w:pos="288"/>
              </w:tabs>
              <w:ind w:firstLine="0"/>
              <w:rPr>
                <w:sz w:val="18"/>
                <w:szCs w:val="18"/>
                <w:lang w:val="en-US"/>
              </w:rPr>
            </w:pPr>
            <w:r w:rsidRPr="00560906">
              <w:rPr>
                <w:sz w:val="18"/>
                <w:szCs w:val="18"/>
              </w:rPr>
              <w:t>High</w:t>
            </w:r>
          </w:p>
        </w:tc>
        <w:tc>
          <w:tcPr>
            <w:tcW w:w="1086" w:type="dxa"/>
            <w:vAlign w:val="center"/>
          </w:tcPr>
          <w:p w14:paraId="1E320CF2" w14:textId="0B3F30EF" w:rsidR="00560906" w:rsidRPr="00560906" w:rsidRDefault="00560906" w:rsidP="00560906">
            <w:pPr>
              <w:pStyle w:val="BodyText"/>
              <w:tabs>
                <w:tab w:val="left" w:pos="288"/>
              </w:tabs>
              <w:ind w:firstLine="0"/>
              <w:rPr>
                <w:sz w:val="18"/>
                <w:szCs w:val="18"/>
                <w:lang w:val="en-US"/>
              </w:rPr>
            </w:pPr>
            <w:r w:rsidRPr="00560906">
              <w:rPr>
                <w:sz w:val="18"/>
                <w:szCs w:val="18"/>
              </w:rPr>
              <w:t>Low</w:t>
            </w:r>
          </w:p>
        </w:tc>
        <w:tc>
          <w:tcPr>
            <w:tcW w:w="1522" w:type="dxa"/>
            <w:vAlign w:val="center"/>
          </w:tcPr>
          <w:p w14:paraId="012773D7" w14:textId="1244F0B5" w:rsidR="00560906" w:rsidRPr="00560906" w:rsidRDefault="00560906" w:rsidP="00560906">
            <w:pPr>
              <w:pStyle w:val="BodyText"/>
              <w:tabs>
                <w:tab w:val="left" w:pos="288"/>
              </w:tabs>
              <w:ind w:firstLine="0"/>
              <w:rPr>
                <w:sz w:val="18"/>
                <w:szCs w:val="18"/>
                <w:lang w:val="en-US"/>
              </w:rPr>
            </w:pPr>
            <w:r w:rsidRPr="00560906">
              <w:rPr>
                <w:sz w:val="18"/>
                <w:szCs w:val="18"/>
              </w:rPr>
              <w:t>Improved intrinsic energy efficiency</w:t>
            </w:r>
          </w:p>
        </w:tc>
      </w:tr>
      <w:tr w:rsidR="00560906" w14:paraId="42A132B2" w14:textId="77777777" w:rsidTr="00560906">
        <w:tc>
          <w:tcPr>
            <w:tcW w:w="1526" w:type="dxa"/>
            <w:vAlign w:val="center"/>
          </w:tcPr>
          <w:p w14:paraId="76FAF50B" w14:textId="79D305D9" w:rsidR="00560906" w:rsidRPr="00560906" w:rsidRDefault="00560906" w:rsidP="00560906">
            <w:pPr>
              <w:pStyle w:val="BodyText"/>
              <w:tabs>
                <w:tab w:val="left" w:pos="288"/>
              </w:tabs>
              <w:ind w:firstLine="0"/>
              <w:rPr>
                <w:sz w:val="18"/>
                <w:szCs w:val="18"/>
                <w:lang w:val="en-US"/>
              </w:rPr>
            </w:pPr>
            <w:r w:rsidRPr="00560906">
              <w:rPr>
                <w:sz w:val="18"/>
                <w:szCs w:val="18"/>
                <w:lang w:val="en-US"/>
              </w:rPr>
              <w:t>Average end-to-end latency (</w:t>
            </w:r>
            <w:proofErr w:type="spellStart"/>
            <w:r w:rsidRPr="00560906">
              <w:rPr>
                <w:sz w:val="18"/>
                <w:szCs w:val="18"/>
                <w:lang w:val="en-US"/>
              </w:rPr>
              <w:t>ms</w:t>
            </w:r>
            <w:proofErr w:type="spellEnd"/>
            <w:r w:rsidRPr="00560906">
              <w:rPr>
                <w:sz w:val="18"/>
                <w:szCs w:val="18"/>
                <w:lang w:val="en-US"/>
              </w:rPr>
              <w:t>)</w:t>
            </w:r>
          </w:p>
        </w:tc>
        <w:tc>
          <w:tcPr>
            <w:tcW w:w="957" w:type="dxa"/>
            <w:vAlign w:val="center"/>
          </w:tcPr>
          <w:p w14:paraId="1497AFD1" w14:textId="2F945B95" w:rsidR="00560906" w:rsidRPr="00560906" w:rsidRDefault="00560906" w:rsidP="00560906">
            <w:pPr>
              <w:pStyle w:val="BodyText"/>
              <w:tabs>
                <w:tab w:val="left" w:pos="288"/>
              </w:tabs>
              <w:ind w:firstLine="0"/>
              <w:rPr>
                <w:sz w:val="18"/>
                <w:szCs w:val="18"/>
                <w:lang w:val="en-US"/>
              </w:rPr>
            </w:pPr>
            <w:r w:rsidRPr="00560906">
              <w:rPr>
                <w:sz w:val="18"/>
                <w:szCs w:val="18"/>
              </w:rPr>
              <w:t>30–55</w:t>
            </w:r>
          </w:p>
        </w:tc>
        <w:tc>
          <w:tcPr>
            <w:tcW w:w="1086" w:type="dxa"/>
            <w:vAlign w:val="center"/>
          </w:tcPr>
          <w:p w14:paraId="1A40B27B" w14:textId="698A1F72" w:rsidR="00560906" w:rsidRPr="00560906" w:rsidRDefault="00560906" w:rsidP="00560906">
            <w:pPr>
              <w:pStyle w:val="BodyText"/>
              <w:tabs>
                <w:tab w:val="left" w:pos="288"/>
              </w:tabs>
              <w:ind w:firstLine="0"/>
              <w:rPr>
                <w:sz w:val="18"/>
                <w:szCs w:val="18"/>
                <w:lang w:val="en-US"/>
              </w:rPr>
            </w:pPr>
            <w:r w:rsidRPr="00560906">
              <w:rPr>
                <w:sz w:val="18"/>
                <w:szCs w:val="18"/>
              </w:rPr>
              <w:t>32–58</w:t>
            </w:r>
          </w:p>
        </w:tc>
        <w:tc>
          <w:tcPr>
            <w:tcW w:w="1522" w:type="dxa"/>
            <w:vAlign w:val="center"/>
          </w:tcPr>
          <w:p w14:paraId="3F0BCC16" w14:textId="72E53AB8" w:rsidR="00560906" w:rsidRPr="00560906" w:rsidRDefault="00560906" w:rsidP="00560906">
            <w:pPr>
              <w:pStyle w:val="BodyText"/>
              <w:tabs>
                <w:tab w:val="left" w:pos="288"/>
              </w:tabs>
              <w:ind w:firstLine="0"/>
              <w:rPr>
                <w:sz w:val="18"/>
                <w:szCs w:val="18"/>
                <w:lang w:val="en-US"/>
              </w:rPr>
            </w:pPr>
            <w:r w:rsidRPr="00560906">
              <w:rPr>
                <w:sz w:val="18"/>
                <w:szCs w:val="18"/>
              </w:rPr>
              <w:t>&lt;5% increase, within QoS limits</w:t>
            </w:r>
          </w:p>
        </w:tc>
      </w:tr>
      <w:tr w:rsidR="00560906" w14:paraId="2C1947D7" w14:textId="77777777" w:rsidTr="00560906">
        <w:tc>
          <w:tcPr>
            <w:tcW w:w="1526" w:type="dxa"/>
            <w:vAlign w:val="center"/>
          </w:tcPr>
          <w:p w14:paraId="3D22B42D" w14:textId="5F0A8AAB" w:rsidR="00560906" w:rsidRPr="00560906" w:rsidRDefault="00560906" w:rsidP="00560906">
            <w:pPr>
              <w:pStyle w:val="BodyText"/>
              <w:tabs>
                <w:tab w:val="left" w:pos="288"/>
              </w:tabs>
              <w:ind w:firstLine="0"/>
              <w:rPr>
                <w:sz w:val="18"/>
                <w:szCs w:val="18"/>
                <w:lang w:val="en-US"/>
              </w:rPr>
            </w:pPr>
            <w:r w:rsidRPr="00560906">
              <w:rPr>
                <w:sz w:val="18"/>
                <w:szCs w:val="18"/>
              </w:rPr>
              <w:t>Packet delivery ratio (PDR, %)</w:t>
            </w:r>
          </w:p>
        </w:tc>
        <w:tc>
          <w:tcPr>
            <w:tcW w:w="957" w:type="dxa"/>
            <w:vAlign w:val="center"/>
          </w:tcPr>
          <w:p w14:paraId="7766F032" w14:textId="3276BCA1" w:rsidR="00560906" w:rsidRPr="00560906" w:rsidRDefault="00560906" w:rsidP="00560906">
            <w:pPr>
              <w:pStyle w:val="BodyText"/>
              <w:tabs>
                <w:tab w:val="left" w:pos="288"/>
              </w:tabs>
              <w:ind w:firstLine="0"/>
              <w:rPr>
                <w:sz w:val="18"/>
                <w:szCs w:val="18"/>
                <w:lang w:val="en-US"/>
              </w:rPr>
            </w:pPr>
            <w:r w:rsidRPr="00560906">
              <w:rPr>
                <w:sz w:val="18"/>
                <w:szCs w:val="18"/>
              </w:rPr>
              <w:t>97.5–99.0</w:t>
            </w:r>
          </w:p>
        </w:tc>
        <w:tc>
          <w:tcPr>
            <w:tcW w:w="1086" w:type="dxa"/>
            <w:vAlign w:val="center"/>
          </w:tcPr>
          <w:p w14:paraId="4319A3CD" w14:textId="102F45A8" w:rsidR="00560906" w:rsidRPr="00560906" w:rsidRDefault="00560906" w:rsidP="00560906">
            <w:pPr>
              <w:pStyle w:val="BodyText"/>
              <w:tabs>
                <w:tab w:val="left" w:pos="288"/>
              </w:tabs>
              <w:ind w:firstLine="0"/>
              <w:rPr>
                <w:sz w:val="18"/>
                <w:szCs w:val="18"/>
                <w:lang w:val="en-US"/>
              </w:rPr>
            </w:pPr>
            <w:r w:rsidRPr="00560906">
              <w:rPr>
                <w:sz w:val="18"/>
                <w:szCs w:val="18"/>
              </w:rPr>
              <w:t>98.0–99.2</w:t>
            </w:r>
          </w:p>
        </w:tc>
        <w:tc>
          <w:tcPr>
            <w:tcW w:w="1522" w:type="dxa"/>
            <w:vAlign w:val="center"/>
          </w:tcPr>
          <w:p w14:paraId="49ADD034" w14:textId="008FF75B" w:rsidR="00560906" w:rsidRPr="00560906" w:rsidRDefault="00560906" w:rsidP="00560906">
            <w:pPr>
              <w:pStyle w:val="BodyText"/>
              <w:tabs>
                <w:tab w:val="left" w:pos="288"/>
              </w:tabs>
              <w:ind w:firstLine="0"/>
              <w:rPr>
                <w:sz w:val="18"/>
                <w:szCs w:val="18"/>
                <w:lang w:val="en-US"/>
              </w:rPr>
            </w:pPr>
            <w:r w:rsidRPr="00560906">
              <w:rPr>
                <w:sz w:val="18"/>
                <w:szCs w:val="18"/>
                <w:lang w:val="en-US"/>
              </w:rPr>
              <w:t>Reliability preserved or slightly improved</w:t>
            </w:r>
          </w:p>
        </w:tc>
      </w:tr>
      <w:tr w:rsidR="00560906" w14:paraId="2361BF45" w14:textId="77777777" w:rsidTr="00560906">
        <w:tc>
          <w:tcPr>
            <w:tcW w:w="1526" w:type="dxa"/>
            <w:vAlign w:val="center"/>
          </w:tcPr>
          <w:p w14:paraId="60E5BAA0" w14:textId="2E110FD0" w:rsidR="00560906" w:rsidRPr="00560906" w:rsidRDefault="00560906" w:rsidP="00560906">
            <w:pPr>
              <w:pStyle w:val="BodyText"/>
              <w:tabs>
                <w:tab w:val="left" w:pos="288"/>
              </w:tabs>
              <w:ind w:firstLine="0"/>
              <w:rPr>
                <w:sz w:val="18"/>
                <w:szCs w:val="18"/>
                <w:lang w:val="en-US"/>
              </w:rPr>
            </w:pPr>
            <w:r w:rsidRPr="00560906">
              <w:rPr>
                <w:sz w:val="18"/>
                <w:szCs w:val="18"/>
              </w:rPr>
              <w:t>Throughput (Mbps)</w:t>
            </w:r>
          </w:p>
        </w:tc>
        <w:tc>
          <w:tcPr>
            <w:tcW w:w="957" w:type="dxa"/>
            <w:vAlign w:val="center"/>
          </w:tcPr>
          <w:p w14:paraId="68357CD1" w14:textId="5F98696A" w:rsidR="00560906" w:rsidRPr="00560906" w:rsidRDefault="00560906" w:rsidP="00560906">
            <w:pPr>
              <w:pStyle w:val="BodyText"/>
              <w:tabs>
                <w:tab w:val="left" w:pos="288"/>
              </w:tabs>
              <w:ind w:firstLine="0"/>
              <w:rPr>
                <w:sz w:val="18"/>
                <w:szCs w:val="18"/>
                <w:lang w:val="en-US"/>
              </w:rPr>
            </w:pPr>
            <w:r w:rsidRPr="00560906">
              <w:rPr>
                <w:sz w:val="18"/>
                <w:szCs w:val="18"/>
              </w:rPr>
              <w:t>Baseline level</w:t>
            </w:r>
          </w:p>
        </w:tc>
        <w:tc>
          <w:tcPr>
            <w:tcW w:w="1086" w:type="dxa"/>
            <w:vAlign w:val="center"/>
          </w:tcPr>
          <w:p w14:paraId="67023EF5" w14:textId="7510FE74" w:rsidR="00560906" w:rsidRPr="00560906" w:rsidRDefault="00560906" w:rsidP="00560906">
            <w:pPr>
              <w:pStyle w:val="BodyText"/>
              <w:tabs>
                <w:tab w:val="left" w:pos="288"/>
              </w:tabs>
              <w:ind w:firstLine="0"/>
              <w:rPr>
                <w:sz w:val="18"/>
                <w:szCs w:val="18"/>
                <w:lang w:val="en-US"/>
              </w:rPr>
            </w:pPr>
            <w:r w:rsidRPr="00560906">
              <w:rPr>
                <w:sz w:val="18"/>
                <w:szCs w:val="18"/>
              </w:rPr>
              <w:t>Comparable or +2–5%</w:t>
            </w:r>
          </w:p>
        </w:tc>
        <w:tc>
          <w:tcPr>
            <w:tcW w:w="1522" w:type="dxa"/>
            <w:vAlign w:val="center"/>
          </w:tcPr>
          <w:p w14:paraId="5C361F75" w14:textId="27FEA2BA" w:rsidR="00560906" w:rsidRPr="00560906" w:rsidRDefault="00560906" w:rsidP="00560906">
            <w:pPr>
              <w:pStyle w:val="BodyText"/>
              <w:tabs>
                <w:tab w:val="left" w:pos="288"/>
              </w:tabs>
              <w:ind w:firstLine="0"/>
              <w:rPr>
                <w:sz w:val="18"/>
                <w:szCs w:val="18"/>
                <w:lang w:val="en-US"/>
              </w:rPr>
            </w:pPr>
            <w:r w:rsidRPr="00560906">
              <w:rPr>
                <w:sz w:val="18"/>
                <w:szCs w:val="18"/>
                <w:lang w:val="en-US"/>
              </w:rPr>
              <w:t>Better load balancing and congestion control</w:t>
            </w:r>
          </w:p>
        </w:tc>
      </w:tr>
      <w:tr w:rsidR="00560906" w14:paraId="7F52780B" w14:textId="77777777" w:rsidTr="00560906">
        <w:tc>
          <w:tcPr>
            <w:tcW w:w="1526" w:type="dxa"/>
            <w:vAlign w:val="center"/>
          </w:tcPr>
          <w:p w14:paraId="51D20213" w14:textId="6EB57356" w:rsidR="00560906" w:rsidRPr="00560906" w:rsidRDefault="00560906" w:rsidP="00560906">
            <w:pPr>
              <w:pStyle w:val="BodyText"/>
              <w:tabs>
                <w:tab w:val="left" w:pos="288"/>
              </w:tabs>
              <w:ind w:firstLine="0"/>
              <w:rPr>
                <w:sz w:val="18"/>
                <w:szCs w:val="18"/>
                <w:lang w:val="en-US"/>
              </w:rPr>
            </w:pPr>
            <w:r w:rsidRPr="00560906">
              <w:rPr>
                <w:sz w:val="18"/>
                <w:szCs w:val="18"/>
              </w:rPr>
              <w:t>Network utilization (%)</w:t>
            </w:r>
          </w:p>
        </w:tc>
        <w:tc>
          <w:tcPr>
            <w:tcW w:w="957" w:type="dxa"/>
            <w:vAlign w:val="center"/>
          </w:tcPr>
          <w:p w14:paraId="00A6731D" w14:textId="4216AC2B" w:rsidR="00560906" w:rsidRPr="00560906" w:rsidRDefault="00560906" w:rsidP="00560906">
            <w:pPr>
              <w:pStyle w:val="BodyText"/>
              <w:tabs>
                <w:tab w:val="left" w:pos="288"/>
              </w:tabs>
              <w:ind w:firstLine="0"/>
              <w:rPr>
                <w:sz w:val="18"/>
                <w:szCs w:val="18"/>
                <w:lang w:val="en-US"/>
              </w:rPr>
            </w:pPr>
            <w:r w:rsidRPr="00560906">
              <w:rPr>
                <w:sz w:val="18"/>
                <w:szCs w:val="18"/>
              </w:rPr>
              <w:t>Moderate</w:t>
            </w:r>
          </w:p>
        </w:tc>
        <w:tc>
          <w:tcPr>
            <w:tcW w:w="1086" w:type="dxa"/>
            <w:vAlign w:val="center"/>
          </w:tcPr>
          <w:p w14:paraId="0C9ADBB5" w14:textId="7AD7C642" w:rsidR="00560906" w:rsidRPr="00560906" w:rsidRDefault="00560906" w:rsidP="00560906">
            <w:pPr>
              <w:pStyle w:val="BodyText"/>
              <w:tabs>
                <w:tab w:val="left" w:pos="288"/>
              </w:tabs>
              <w:ind w:firstLine="0"/>
              <w:rPr>
                <w:sz w:val="18"/>
                <w:szCs w:val="18"/>
                <w:lang w:val="en-US"/>
              </w:rPr>
            </w:pPr>
            <w:r w:rsidRPr="00560906">
              <w:rPr>
                <w:sz w:val="18"/>
                <w:szCs w:val="18"/>
              </w:rPr>
              <w:t>High (efficient)</w:t>
            </w:r>
          </w:p>
        </w:tc>
        <w:tc>
          <w:tcPr>
            <w:tcW w:w="1522" w:type="dxa"/>
            <w:vAlign w:val="center"/>
          </w:tcPr>
          <w:p w14:paraId="2BEB5CC3" w14:textId="42DDCD9C" w:rsidR="00560906" w:rsidRPr="00560906" w:rsidRDefault="00560906" w:rsidP="00560906">
            <w:pPr>
              <w:pStyle w:val="BodyText"/>
              <w:tabs>
                <w:tab w:val="left" w:pos="288"/>
              </w:tabs>
              <w:ind w:firstLine="0"/>
              <w:rPr>
                <w:sz w:val="18"/>
                <w:szCs w:val="18"/>
                <w:lang w:val="en-US"/>
              </w:rPr>
            </w:pPr>
            <w:r w:rsidRPr="00560906">
              <w:rPr>
                <w:sz w:val="18"/>
                <w:szCs w:val="18"/>
              </w:rPr>
              <w:t>Reduced idle resource wastage</w:t>
            </w:r>
          </w:p>
        </w:tc>
      </w:tr>
      <w:tr w:rsidR="00560906" w14:paraId="54530B0C" w14:textId="77777777" w:rsidTr="00560906">
        <w:tc>
          <w:tcPr>
            <w:tcW w:w="1526" w:type="dxa"/>
            <w:vAlign w:val="center"/>
          </w:tcPr>
          <w:p w14:paraId="19D44655" w14:textId="5225A86C" w:rsidR="00560906" w:rsidRPr="00560906" w:rsidRDefault="00560906" w:rsidP="00560906">
            <w:pPr>
              <w:pStyle w:val="BodyText"/>
              <w:tabs>
                <w:tab w:val="left" w:pos="288"/>
              </w:tabs>
              <w:ind w:firstLine="0"/>
              <w:rPr>
                <w:sz w:val="18"/>
                <w:szCs w:val="18"/>
                <w:lang w:val="en-US"/>
              </w:rPr>
            </w:pPr>
            <w:r w:rsidRPr="00560906">
              <w:rPr>
                <w:sz w:val="18"/>
                <w:szCs w:val="18"/>
              </w:rPr>
              <w:t>Control overhead (%)</w:t>
            </w:r>
          </w:p>
        </w:tc>
        <w:tc>
          <w:tcPr>
            <w:tcW w:w="957" w:type="dxa"/>
            <w:vAlign w:val="center"/>
          </w:tcPr>
          <w:p w14:paraId="7F9ADE34" w14:textId="09BB0D68" w:rsidR="00560906" w:rsidRPr="00560906" w:rsidRDefault="00560906" w:rsidP="00560906">
            <w:pPr>
              <w:pStyle w:val="BodyText"/>
              <w:tabs>
                <w:tab w:val="left" w:pos="288"/>
              </w:tabs>
              <w:ind w:firstLine="0"/>
              <w:rPr>
                <w:sz w:val="18"/>
                <w:szCs w:val="18"/>
                <w:lang w:val="en-US"/>
              </w:rPr>
            </w:pPr>
            <w:r w:rsidRPr="00560906">
              <w:rPr>
                <w:sz w:val="18"/>
                <w:szCs w:val="18"/>
              </w:rPr>
              <w:t>Low</w:t>
            </w:r>
          </w:p>
        </w:tc>
        <w:tc>
          <w:tcPr>
            <w:tcW w:w="1086" w:type="dxa"/>
            <w:vAlign w:val="center"/>
          </w:tcPr>
          <w:p w14:paraId="734B5AFC" w14:textId="67FDFDE9" w:rsidR="00560906" w:rsidRPr="00560906" w:rsidRDefault="00560906" w:rsidP="00560906">
            <w:pPr>
              <w:pStyle w:val="BodyText"/>
              <w:tabs>
                <w:tab w:val="left" w:pos="288"/>
              </w:tabs>
              <w:ind w:firstLine="0"/>
              <w:rPr>
                <w:sz w:val="18"/>
                <w:szCs w:val="18"/>
                <w:lang w:val="en-US"/>
              </w:rPr>
            </w:pPr>
            <w:r w:rsidRPr="00560906">
              <w:rPr>
                <w:sz w:val="18"/>
                <w:szCs w:val="18"/>
              </w:rPr>
              <w:t>Slightly higher</w:t>
            </w:r>
          </w:p>
        </w:tc>
        <w:tc>
          <w:tcPr>
            <w:tcW w:w="1522" w:type="dxa"/>
            <w:vAlign w:val="center"/>
          </w:tcPr>
          <w:p w14:paraId="2CEE7D8B" w14:textId="1602B727" w:rsidR="00560906" w:rsidRPr="00560906" w:rsidRDefault="00560906" w:rsidP="00560906">
            <w:pPr>
              <w:pStyle w:val="BodyText"/>
              <w:tabs>
                <w:tab w:val="left" w:pos="288"/>
              </w:tabs>
              <w:ind w:firstLine="0"/>
              <w:rPr>
                <w:sz w:val="18"/>
                <w:szCs w:val="18"/>
                <w:lang w:val="en-US"/>
              </w:rPr>
            </w:pPr>
            <w:r w:rsidRPr="00560906">
              <w:rPr>
                <w:sz w:val="18"/>
                <w:szCs w:val="18"/>
                <w:lang w:val="en-US"/>
              </w:rPr>
              <w:t>Due to SDN and energy feedback signaling</w:t>
            </w:r>
          </w:p>
        </w:tc>
      </w:tr>
      <w:tr w:rsidR="00560906" w14:paraId="445CDAF7" w14:textId="77777777" w:rsidTr="00560906">
        <w:tc>
          <w:tcPr>
            <w:tcW w:w="1526" w:type="dxa"/>
            <w:vAlign w:val="center"/>
          </w:tcPr>
          <w:p w14:paraId="10DBA520" w14:textId="01390F0A" w:rsidR="00560906" w:rsidRPr="00560906" w:rsidRDefault="00560906" w:rsidP="00560906">
            <w:pPr>
              <w:pStyle w:val="BodyText"/>
              <w:tabs>
                <w:tab w:val="left" w:pos="288"/>
              </w:tabs>
              <w:ind w:firstLine="0"/>
              <w:rPr>
                <w:sz w:val="18"/>
                <w:szCs w:val="18"/>
                <w:lang w:val="en-US"/>
              </w:rPr>
            </w:pPr>
            <w:r w:rsidRPr="00560906">
              <w:rPr>
                <w:sz w:val="18"/>
                <w:szCs w:val="18"/>
              </w:rPr>
              <w:t>Scalability performance</w:t>
            </w:r>
          </w:p>
        </w:tc>
        <w:tc>
          <w:tcPr>
            <w:tcW w:w="957" w:type="dxa"/>
            <w:vAlign w:val="center"/>
          </w:tcPr>
          <w:p w14:paraId="555A8754" w14:textId="0502AB22" w:rsidR="00560906" w:rsidRPr="00560906" w:rsidRDefault="00560906" w:rsidP="00560906">
            <w:pPr>
              <w:pStyle w:val="BodyText"/>
              <w:tabs>
                <w:tab w:val="left" w:pos="288"/>
              </w:tabs>
              <w:ind w:firstLine="0"/>
              <w:rPr>
                <w:sz w:val="18"/>
                <w:szCs w:val="18"/>
                <w:lang w:val="en-US"/>
              </w:rPr>
            </w:pPr>
            <w:r w:rsidRPr="00560906">
              <w:rPr>
                <w:sz w:val="18"/>
                <w:szCs w:val="18"/>
              </w:rPr>
              <w:t>Degrades at scale</w:t>
            </w:r>
          </w:p>
        </w:tc>
        <w:tc>
          <w:tcPr>
            <w:tcW w:w="1086" w:type="dxa"/>
            <w:vAlign w:val="center"/>
          </w:tcPr>
          <w:p w14:paraId="0D067F08" w14:textId="526BE92E" w:rsidR="00560906" w:rsidRPr="00560906" w:rsidRDefault="00560906" w:rsidP="00560906">
            <w:pPr>
              <w:pStyle w:val="BodyText"/>
              <w:tabs>
                <w:tab w:val="left" w:pos="288"/>
              </w:tabs>
              <w:ind w:firstLine="0"/>
              <w:rPr>
                <w:sz w:val="18"/>
                <w:szCs w:val="18"/>
                <w:lang w:val="en-US"/>
              </w:rPr>
            </w:pPr>
            <w:r w:rsidRPr="00560906">
              <w:rPr>
                <w:sz w:val="18"/>
                <w:szCs w:val="18"/>
              </w:rPr>
              <w:t>Stable</w:t>
            </w:r>
          </w:p>
        </w:tc>
        <w:tc>
          <w:tcPr>
            <w:tcW w:w="1522" w:type="dxa"/>
            <w:vAlign w:val="center"/>
          </w:tcPr>
          <w:p w14:paraId="4D43FD65" w14:textId="10DD6708" w:rsidR="00560906" w:rsidRPr="00560906" w:rsidRDefault="00560906" w:rsidP="00560906">
            <w:pPr>
              <w:pStyle w:val="BodyText"/>
              <w:tabs>
                <w:tab w:val="left" w:pos="288"/>
              </w:tabs>
              <w:ind w:firstLine="0"/>
              <w:rPr>
                <w:sz w:val="18"/>
                <w:szCs w:val="18"/>
                <w:lang w:val="en-US"/>
              </w:rPr>
            </w:pPr>
            <w:r w:rsidRPr="00560906">
              <w:rPr>
                <w:sz w:val="18"/>
                <w:szCs w:val="18"/>
                <w:lang w:val="en-US"/>
              </w:rPr>
              <w:t>Maintains efficiency in large networks</w:t>
            </w:r>
          </w:p>
        </w:tc>
      </w:tr>
      <w:tr w:rsidR="00560906" w14:paraId="0A097A42" w14:textId="77777777" w:rsidTr="00560906">
        <w:tc>
          <w:tcPr>
            <w:tcW w:w="1526" w:type="dxa"/>
            <w:vAlign w:val="center"/>
          </w:tcPr>
          <w:p w14:paraId="39491650" w14:textId="18C665EA" w:rsidR="00560906" w:rsidRPr="00560906" w:rsidRDefault="00560906" w:rsidP="00560906">
            <w:pPr>
              <w:pStyle w:val="BodyText"/>
              <w:tabs>
                <w:tab w:val="left" w:pos="288"/>
              </w:tabs>
              <w:ind w:firstLine="0"/>
              <w:rPr>
                <w:sz w:val="18"/>
                <w:szCs w:val="18"/>
                <w:lang w:val="en-US"/>
              </w:rPr>
            </w:pPr>
            <w:r w:rsidRPr="00560906">
              <w:rPr>
                <w:sz w:val="18"/>
                <w:szCs w:val="18"/>
                <w:lang w:val="en-US"/>
              </w:rPr>
              <w:t>Carbon emission proxy (CO₂ equiv.)</w:t>
            </w:r>
          </w:p>
        </w:tc>
        <w:tc>
          <w:tcPr>
            <w:tcW w:w="957" w:type="dxa"/>
            <w:vAlign w:val="center"/>
          </w:tcPr>
          <w:p w14:paraId="43E9DA12" w14:textId="0E408AD7" w:rsidR="00560906" w:rsidRPr="00560906" w:rsidRDefault="00560906" w:rsidP="00560906">
            <w:pPr>
              <w:pStyle w:val="BodyText"/>
              <w:tabs>
                <w:tab w:val="left" w:pos="288"/>
              </w:tabs>
              <w:ind w:firstLine="0"/>
              <w:rPr>
                <w:sz w:val="18"/>
                <w:szCs w:val="18"/>
                <w:lang w:val="en-US"/>
              </w:rPr>
            </w:pPr>
            <w:r w:rsidRPr="00560906">
              <w:rPr>
                <w:sz w:val="18"/>
                <w:szCs w:val="18"/>
              </w:rPr>
              <w:t>High</w:t>
            </w:r>
          </w:p>
        </w:tc>
        <w:tc>
          <w:tcPr>
            <w:tcW w:w="1086" w:type="dxa"/>
            <w:vAlign w:val="center"/>
          </w:tcPr>
          <w:p w14:paraId="7D5FCAAA" w14:textId="5D1B22DC" w:rsidR="00560906" w:rsidRPr="00560906" w:rsidRDefault="00560906" w:rsidP="00560906">
            <w:pPr>
              <w:pStyle w:val="BodyText"/>
              <w:tabs>
                <w:tab w:val="left" w:pos="288"/>
              </w:tabs>
              <w:ind w:firstLine="0"/>
              <w:rPr>
                <w:sz w:val="18"/>
                <w:szCs w:val="18"/>
                <w:lang w:val="en-US"/>
              </w:rPr>
            </w:pPr>
            <w:r w:rsidRPr="00560906">
              <w:rPr>
                <w:sz w:val="18"/>
                <w:szCs w:val="18"/>
              </w:rPr>
              <w:t>Reduced</w:t>
            </w:r>
          </w:p>
        </w:tc>
        <w:tc>
          <w:tcPr>
            <w:tcW w:w="1522" w:type="dxa"/>
            <w:vAlign w:val="center"/>
          </w:tcPr>
          <w:p w14:paraId="5EEECBB3" w14:textId="75153A12" w:rsidR="00560906" w:rsidRPr="00560906" w:rsidRDefault="00560906" w:rsidP="00560906">
            <w:pPr>
              <w:pStyle w:val="BodyText"/>
              <w:tabs>
                <w:tab w:val="left" w:pos="288"/>
              </w:tabs>
              <w:ind w:firstLine="0"/>
              <w:rPr>
                <w:sz w:val="18"/>
                <w:szCs w:val="18"/>
                <w:lang w:val="en-US"/>
              </w:rPr>
            </w:pPr>
            <w:r w:rsidRPr="00560906">
              <w:rPr>
                <w:sz w:val="18"/>
                <w:szCs w:val="18"/>
                <w:lang w:val="en-US"/>
              </w:rPr>
              <w:t>Directly proportional to energy savings</w:t>
            </w:r>
          </w:p>
        </w:tc>
      </w:tr>
    </w:tbl>
    <w:p w14:paraId="6CB30DD1" w14:textId="77777777" w:rsidR="00560906" w:rsidRPr="00055E27" w:rsidRDefault="00560906" w:rsidP="00560906">
      <w:pPr>
        <w:pStyle w:val="BodyText"/>
        <w:tabs>
          <w:tab w:val="left" w:pos="288"/>
        </w:tabs>
        <w:ind w:firstLine="0"/>
        <w:rPr>
          <w:sz w:val="20"/>
          <w:szCs w:val="20"/>
          <w:lang w:val="en-US"/>
        </w:rPr>
      </w:pPr>
    </w:p>
    <w:p w14:paraId="402278A3" w14:textId="77777777" w:rsidR="00055E27" w:rsidRPr="00055E27" w:rsidRDefault="00055E27" w:rsidP="00055E27">
      <w:pPr>
        <w:pStyle w:val="BodyText"/>
        <w:tabs>
          <w:tab w:val="left" w:pos="288"/>
        </w:tabs>
        <w:rPr>
          <w:sz w:val="20"/>
          <w:szCs w:val="20"/>
          <w:lang w:val="en-US"/>
        </w:rPr>
      </w:pPr>
      <w:r w:rsidRPr="00055E27">
        <w:rPr>
          <w:sz w:val="20"/>
          <w:szCs w:val="20"/>
          <w:lang w:val="en-US"/>
        </w:rPr>
        <w:t>The inclusion of the intelligence and control layer significantly enhances system performance. Machine learning–assisted traffic prediction enables proactive energy optimization, allowing the network to preemptively adjust routing and resource allocation before congestion or overload occurs.</w:t>
      </w:r>
    </w:p>
    <w:p w14:paraId="057AE4E7" w14:textId="6F97505E" w:rsidR="00055E27" w:rsidRDefault="00055E27" w:rsidP="00055E27">
      <w:pPr>
        <w:pStyle w:val="BodyText"/>
        <w:tabs>
          <w:tab w:val="left" w:pos="288"/>
        </w:tabs>
        <w:rPr>
          <w:sz w:val="20"/>
          <w:szCs w:val="20"/>
          <w:lang w:val="en-US"/>
        </w:rPr>
      </w:pPr>
      <w:r w:rsidRPr="00055E27">
        <w:rPr>
          <w:sz w:val="20"/>
          <w:szCs w:val="20"/>
          <w:lang w:val="en-US"/>
        </w:rPr>
        <w:t>Compared to static energy-aware schemes, the adaptive approach achieves an additional 10–15% energy reduction, particularly in highly dynamic traffic environments. This confirms the effectiveness of integrating AI-driven decision-making into green networking architectures</w:t>
      </w:r>
      <w:r w:rsidR="0088740E">
        <w:rPr>
          <w:rFonts w:hint="eastAsia"/>
          <w:sz w:val="20"/>
          <w:szCs w:val="20"/>
          <w:lang w:val="en-US"/>
        </w:rPr>
        <w:t xml:space="preserve"> (Table 4)</w:t>
      </w:r>
      <w:r w:rsidRPr="00055E27">
        <w:rPr>
          <w:sz w:val="20"/>
          <w:szCs w:val="20"/>
          <w:lang w:val="en-US"/>
        </w:rPr>
        <w:t>.</w:t>
      </w:r>
    </w:p>
    <w:p w14:paraId="10E61AD0" w14:textId="69EE8859" w:rsidR="00FD433B" w:rsidRPr="00FD433B" w:rsidRDefault="00FD433B" w:rsidP="00FD433B">
      <w:pPr>
        <w:pStyle w:val="BodyText"/>
        <w:tabs>
          <w:tab w:val="left" w:pos="288"/>
        </w:tabs>
        <w:ind w:firstLine="0"/>
        <w:jc w:val="center"/>
        <w:rPr>
          <w:sz w:val="18"/>
          <w:szCs w:val="18"/>
          <w:lang w:val="en-US"/>
        </w:rPr>
      </w:pPr>
      <w:r w:rsidRPr="00FD433B">
        <w:rPr>
          <w:sz w:val="18"/>
          <w:szCs w:val="18"/>
          <w:lang w:val="en-US"/>
        </w:rPr>
        <w:t xml:space="preserve">Table </w:t>
      </w:r>
      <w:r w:rsidRPr="00FD433B">
        <w:rPr>
          <w:rFonts w:hint="eastAsia"/>
          <w:sz w:val="18"/>
          <w:szCs w:val="18"/>
          <w:lang w:val="en-US"/>
        </w:rPr>
        <w:t>4</w:t>
      </w:r>
      <w:r w:rsidRPr="00FD433B">
        <w:rPr>
          <w:sz w:val="18"/>
          <w:szCs w:val="18"/>
          <w:lang w:val="en-US"/>
        </w:rPr>
        <w:t>. Energy Savings Breakdown by Network Layer</w:t>
      </w:r>
    </w:p>
    <w:tbl>
      <w:tblPr>
        <w:tblStyle w:val="TableGrid"/>
        <w:tblW w:w="0" w:type="auto"/>
        <w:tblLayout w:type="fixed"/>
        <w:tblLook w:val="04A0" w:firstRow="1" w:lastRow="0" w:firstColumn="1" w:lastColumn="0" w:noHBand="0" w:noVBand="1"/>
      </w:tblPr>
      <w:tblGrid>
        <w:gridCol w:w="1101"/>
        <w:gridCol w:w="1134"/>
        <w:gridCol w:w="1535"/>
        <w:gridCol w:w="1321"/>
      </w:tblGrid>
      <w:tr w:rsidR="00FD433B" w:rsidRPr="00FD433B" w14:paraId="6E994275" w14:textId="77777777" w:rsidTr="00FD433B">
        <w:tc>
          <w:tcPr>
            <w:tcW w:w="1101" w:type="dxa"/>
            <w:vAlign w:val="center"/>
          </w:tcPr>
          <w:p w14:paraId="04C6E6A6" w14:textId="7932D4F3" w:rsidR="00FD433B" w:rsidRPr="00FD433B" w:rsidRDefault="00FD433B" w:rsidP="00FD433B">
            <w:pPr>
              <w:pStyle w:val="BodyText"/>
              <w:tabs>
                <w:tab w:val="left" w:pos="288"/>
              </w:tabs>
              <w:ind w:firstLine="0"/>
              <w:rPr>
                <w:sz w:val="16"/>
                <w:szCs w:val="16"/>
                <w:lang w:val="en-US"/>
              </w:rPr>
            </w:pPr>
            <w:r w:rsidRPr="00FD433B">
              <w:rPr>
                <w:rStyle w:val="Strong"/>
                <w:sz w:val="16"/>
                <w:szCs w:val="16"/>
              </w:rPr>
              <w:t>Network Layer</w:t>
            </w:r>
          </w:p>
        </w:tc>
        <w:tc>
          <w:tcPr>
            <w:tcW w:w="1134" w:type="dxa"/>
            <w:vAlign w:val="center"/>
          </w:tcPr>
          <w:p w14:paraId="5D8B1B1C" w14:textId="2E205621" w:rsidR="00FD433B" w:rsidRPr="00FD433B" w:rsidRDefault="00FD433B" w:rsidP="00FD433B">
            <w:pPr>
              <w:pStyle w:val="BodyText"/>
              <w:tabs>
                <w:tab w:val="left" w:pos="288"/>
              </w:tabs>
              <w:ind w:firstLine="0"/>
              <w:rPr>
                <w:sz w:val="16"/>
                <w:szCs w:val="16"/>
                <w:lang w:val="en-US"/>
              </w:rPr>
            </w:pPr>
            <w:r w:rsidRPr="00FD433B">
              <w:rPr>
                <w:rStyle w:val="Strong"/>
                <w:sz w:val="16"/>
                <w:szCs w:val="16"/>
              </w:rPr>
              <w:t>Energy Saving Contribution (%)</w:t>
            </w:r>
          </w:p>
        </w:tc>
        <w:tc>
          <w:tcPr>
            <w:tcW w:w="1535" w:type="dxa"/>
            <w:vAlign w:val="center"/>
          </w:tcPr>
          <w:p w14:paraId="3C9BF2D7" w14:textId="2995008A" w:rsidR="00FD433B" w:rsidRPr="00FD433B" w:rsidRDefault="00FD433B" w:rsidP="00FD433B">
            <w:pPr>
              <w:pStyle w:val="BodyText"/>
              <w:tabs>
                <w:tab w:val="left" w:pos="288"/>
              </w:tabs>
              <w:ind w:firstLine="0"/>
              <w:rPr>
                <w:sz w:val="16"/>
                <w:szCs w:val="16"/>
                <w:lang w:val="en-US"/>
              </w:rPr>
            </w:pPr>
            <w:r w:rsidRPr="00FD433B">
              <w:rPr>
                <w:rStyle w:val="Strong"/>
                <w:sz w:val="16"/>
                <w:szCs w:val="16"/>
              </w:rPr>
              <w:t>Primary Energy-Saving Mechanisms</w:t>
            </w:r>
          </w:p>
        </w:tc>
        <w:tc>
          <w:tcPr>
            <w:tcW w:w="1321" w:type="dxa"/>
            <w:vAlign w:val="center"/>
          </w:tcPr>
          <w:p w14:paraId="45BFEAA3" w14:textId="54426BB9" w:rsidR="00FD433B" w:rsidRPr="00FD433B" w:rsidRDefault="00FD433B" w:rsidP="00FD433B">
            <w:pPr>
              <w:pStyle w:val="BodyText"/>
              <w:tabs>
                <w:tab w:val="left" w:pos="288"/>
              </w:tabs>
              <w:ind w:firstLine="0"/>
              <w:rPr>
                <w:sz w:val="16"/>
                <w:szCs w:val="16"/>
                <w:lang w:val="en-US"/>
              </w:rPr>
            </w:pPr>
            <w:r w:rsidRPr="00FD433B">
              <w:rPr>
                <w:rStyle w:val="Strong"/>
                <w:sz w:val="16"/>
                <w:szCs w:val="16"/>
              </w:rPr>
              <w:t>Key Observations</w:t>
            </w:r>
          </w:p>
        </w:tc>
      </w:tr>
      <w:tr w:rsidR="00FD433B" w:rsidRPr="00FD433B" w14:paraId="2BE07FAE" w14:textId="77777777" w:rsidTr="00FD433B">
        <w:tc>
          <w:tcPr>
            <w:tcW w:w="1101" w:type="dxa"/>
            <w:vAlign w:val="center"/>
          </w:tcPr>
          <w:p w14:paraId="08977B24" w14:textId="132B7DE3" w:rsidR="00FD433B" w:rsidRPr="00FD433B" w:rsidRDefault="00FD433B" w:rsidP="00FD433B">
            <w:pPr>
              <w:pStyle w:val="BodyText"/>
              <w:tabs>
                <w:tab w:val="left" w:pos="288"/>
              </w:tabs>
              <w:ind w:firstLine="0"/>
              <w:rPr>
                <w:sz w:val="16"/>
                <w:szCs w:val="16"/>
                <w:lang w:val="en-US"/>
              </w:rPr>
            </w:pPr>
            <w:r w:rsidRPr="00FD433B">
              <w:rPr>
                <w:sz w:val="16"/>
                <w:szCs w:val="16"/>
              </w:rPr>
              <w:t>Infrastructure Layer</w:t>
            </w:r>
          </w:p>
        </w:tc>
        <w:tc>
          <w:tcPr>
            <w:tcW w:w="1134" w:type="dxa"/>
            <w:vAlign w:val="center"/>
          </w:tcPr>
          <w:p w14:paraId="365BD8A3" w14:textId="0689339A" w:rsidR="00FD433B" w:rsidRPr="00FD433B" w:rsidRDefault="00FD433B" w:rsidP="00FD433B">
            <w:pPr>
              <w:pStyle w:val="BodyText"/>
              <w:tabs>
                <w:tab w:val="left" w:pos="288"/>
              </w:tabs>
              <w:ind w:firstLine="0"/>
              <w:rPr>
                <w:sz w:val="16"/>
                <w:szCs w:val="16"/>
                <w:lang w:val="en-US"/>
              </w:rPr>
            </w:pPr>
            <w:r w:rsidRPr="00FD433B">
              <w:rPr>
                <w:sz w:val="16"/>
                <w:szCs w:val="16"/>
              </w:rPr>
              <w:t>35–45%</w:t>
            </w:r>
          </w:p>
        </w:tc>
        <w:tc>
          <w:tcPr>
            <w:tcW w:w="1535" w:type="dxa"/>
            <w:vAlign w:val="center"/>
          </w:tcPr>
          <w:p w14:paraId="7C92C6C5" w14:textId="588D4F05" w:rsidR="00FD433B" w:rsidRPr="00FD433B" w:rsidRDefault="00FD433B" w:rsidP="00FD433B">
            <w:pPr>
              <w:pStyle w:val="BodyText"/>
              <w:tabs>
                <w:tab w:val="left" w:pos="288"/>
              </w:tabs>
              <w:ind w:firstLine="0"/>
              <w:rPr>
                <w:sz w:val="16"/>
                <w:szCs w:val="16"/>
                <w:lang w:val="en-US"/>
              </w:rPr>
            </w:pPr>
            <w:r w:rsidRPr="00FD433B">
              <w:rPr>
                <w:sz w:val="16"/>
                <w:szCs w:val="16"/>
                <w:lang w:val="en-US"/>
              </w:rPr>
              <w:t>Sleep-mode activation, power-state switching, link consolidation</w:t>
            </w:r>
          </w:p>
        </w:tc>
        <w:tc>
          <w:tcPr>
            <w:tcW w:w="1321" w:type="dxa"/>
            <w:vAlign w:val="center"/>
          </w:tcPr>
          <w:p w14:paraId="25E06070" w14:textId="401D55DF" w:rsidR="00FD433B" w:rsidRPr="00FD433B" w:rsidRDefault="00FD433B" w:rsidP="00FD433B">
            <w:pPr>
              <w:pStyle w:val="BodyText"/>
              <w:tabs>
                <w:tab w:val="left" w:pos="288"/>
              </w:tabs>
              <w:ind w:firstLine="0"/>
              <w:rPr>
                <w:sz w:val="16"/>
                <w:szCs w:val="16"/>
                <w:lang w:val="en-US"/>
              </w:rPr>
            </w:pPr>
            <w:r w:rsidRPr="00FD433B">
              <w:rPr>
                <w:sz w:val="16"/>
                <w:szCs w:val="16"/>
                <w:lang w:val="en-US"/>
              </w:rPr>
              <w:t>Major savings from reducing idle power in access, edge, and backbone components</w:t>
            </w:r>
          </w:p>
        </w:tc>
      </w:tr>
      <w:tr w:rsidR="00FD433B" w:rsidRPr="00FD433B" w14:paraId="1BA4018B" w14:textId="77777777" w:rsidTr="00FD433B">
        <w:tc>
          <w:tcPr>
            <w:tcW w:w="1101" w:type="dxa"/>
            <w:vAlign w:val="center"/>
          </w:tcPr>
          <w:p w14:paraId="5E8F0BA1" w14:textId="40742ACC" w:rsidR="00FD433B" w:rsidRPr="00FD433B" w:rsidRDefault="00FD433B" w:rsidP="00FD433B">
            <w:pPr>
              <w:pStyle w:val="BodyText"/>
              <w:tabs>
                <w:tab w:val="left" w:pos="288"/>
              </w:tabs>
              <w:ind w:firstLine="0"/>
              <w:rPr>
                <w:sz w:val="16"/>
                <w:szCs w:val="16"/>
                <w:lang w:val="en-US"/>
              </w:rPr>
            </w:pPr>
            <w:r w:rsidRPr="00FD433B">
              <w:rPr>
                <w:sz w:val="16"/>
                <w:szCs w:val="16"/>
              </w:rPr>
              <w:t>Network &amp; Protocol Layer</w:t>
            </w:r>
          </w:p>
        </w:tc>
        <w:tc>
          <w:tcPr>
            <w:tcW w:w="1134" w:type="dxa"/>
            <w:vAlign w:val="center"/>
          </w:tcPr>
          <w:p w14:paraId="30BDFC07" w14:textId="439AA555" w:rsidR="00FD433B" w:rsidRPr="00FD433B" w:rsidRDefault="00FD433B" w:rsidP="00FD433B">
            <w:pPr>
              <w:pStyle w:val="BodyText"/>
              <w:tabs>
                <w:tab w:val="left" w:pos="288"/>
              </w:tabs>
              <w:ind w:firstLine="0"/>
              <w:rPr>
                <w:sz w:val="16"/>
                <w:szCs w:val="16"/>
                <w:lang w:val="en-US"/>
              </w:rPr>
            </w:pPr>
            <w:r w:rsidRPr="00FD433B">
              <w:rPr>
                <w:sz w:val="16"/>
                <w:szCs w:val="16"/>
              </w:rPr>
              <w:t>30–40%</w:t>
            </w:r>
          </w:p>
        </w:tc>
        <w:tc>
          <w:tcPr>
            <w:tcW w:w="1535" w:type="dxa"/>
            <w:vAlign w:val="center"/>
          </w:tcPr>
          <w:p w14:paraId="037A5889" w14:textId="1EC583D3" w:rsidR="00FD433B" w:rsidRPr="00FD433B" w:rsidRDefault="00FD433B" w:rsidP="00FD433B">
            <w:pPr>
              <w:pStyle w:val="BodyText"/>
              <w:tabs>
                <w:tab w:val="left" w:pos="288"/>
              </w:tabs>
              <w:ind w:firstLine="0"/>
              <w:rPr>
                <w:sz w:val="16"/>
                <w:szCs w:val="16"/>
                <w:lang w:val="en-US"/>
              </w:rPr>
            </w:pPr>
            <w:r w:rsidRPr="00FD433B">
              <w:rPr>
                <w:sz w:val="16"/>
                <w:szCs w:val="16"/>
                <w:lang w:val="en-US"/>
              </w:rPr>
              <w:t>Energy-aware routing, adaptive MAC duty cycling, congestion-aware forwarding</w:t>
            </w:r>
          </w:p>
        </w:tc>
        <w:tc>
          <w:tcPr>
            <w:tcW w:w="1321" w:type="dxa"/>
            <w:vAlign w:val="center"/>
          </w:tcPr>
          <w:p w14:paraId="07A337E5" w14:textId="1A5EF63E" w:rsidR="00FD433B" w:rsidRPr="00FD433B" w:rsidRDefault="00FD433B" w:rsidP="00FD433B">
            <w:pPr>
              <w:pStyle w:val="BodyText"/>
              <w:tabs>
                <w:tab w:val="left" w:pos="288"/>
              </w:tabs>
              <w:ind w:firstLine="0"/>
              <w:rPr>
                <w:sz w:val="16"/>
                <w:szCs w:val="16"/>
                <w:lang w:val="en-US"/>
              </w:rPr>
            </w:pPr>
            <w:r w:rsidRPr="00FD433B">
              <w:rPr>
                <w:sz w:val="16"/>
                <w:szCs w:val="16"/>
                <w:lang w:val="en-US"/>
              </w:rPr>
              <w:t>Efficient traffic steering reduces retransmissions and unnecessary hops</w:t>
            </w:r>
          </w:p>
        </w:tc>
      </w:tr>
      <w:tr w:rsidR="00FD433B" w:rsidRPr="00FD433B" w14:paraId="03B776A1" w14:textId="77777777" w:rsidTr="00FD433B">
        <w:tc>
          <w:tcPr>
            <w:tcW w:w="1101" w:type="dxa"/>
            <w:vAlign w:val="center"/>
          </w:tcPr>
          <w:p w14:paraId="7DDBF18E" w14:textId="48197207" w:rsidR="00FD433B" w:rsidRPr="00FD433B" w:rsidRDefault="00FD433B" w:rsidP="00FD433B">
            <w:pPr>
              <w:pStyle w:val="BodyText"/>
              <w:tabs>
                <w:tab w:val="left" w:pos="288"/>
              </w:tabs>
              <w:ind w:firstLine="0"/>
              <w:rPr>
                <w:sz w:val="16"/>
                <w:szCs w:val="16"/>
                <w:lang w:val="en-US"/>
              </w:rPr>
            </w:pPr>
            <w:r w:rsidRPr="00FD433B">
              <w:rPr>
                <w:sz w:val="16"/>
                <w:szCs w:val="16"/>
              </w:rPr>
              <w:t>Intelligence &amp; Control Layer</w:t>
            </w:r>
          </w:p>
        </w:tc>
        <w:tc>
          <w:tcPr>
            <w:tcW w:w="1134" w:type="dxa"/>
            <w:vAlign w:val="center"/>
          </w:tcPr>
          <w:p w14:paraId="79CEE066" w14:textId="133857A7" w:rsidR="00FD433B" w:rsidRPr="00FD433B" w:rsidRDefault="00FD433B" w:rsidP="00FD433B">
            <w:pPr>
              <w:pStyle w:val="BodyText"/>
              <w:tabs>
                <w:tab w:val="left" w:pos="288"/>
              </w:tabs>
              <w:ind w:firstLine="0"/>
              <w:rPr>
                <w:sz w:val="16"/>
                <w:szCs w:val="16"/>
                <w:lang w:val="en-US"/>
              </w:rPr>
            </w:pPr>
            <w:r w:rsidRPr="00FD433B">
              <w:rPr>
                <w:sz w:val="16"/>
                <w:szCs w:val="16"/>
              </w:rPr>
              <w:t>10–15%</w:t>
            </w:r>
          </w:p>
        </w:tc>
        <w:tc>
          <w:tcPr>
            <w:tcW w:w="1535" w:type="dxa"/>
            <w:vAlign w:val="center"/>
          </w:tcPr>
          <w:p w14:paraId="1083A72A" w14:textId="738764BA" w:rsidR="00FD433B" w:rsidRPr="00FD433B" w:rsidRDefault="00FD433B" w:rsidP="00FD433B">
            <w:pPr>
              <w:pStyle w:val="BodyText"/>
              <w:tabs>
                <w:tab w:val="left" w:pos="288"/>
              </w:tabs>
              <w:ind w:firstLine="0"/>
              <w:rPr>
                <w:sz w:val="16"/>
                <w:szCs w:val="16"/>
                <w:lang w:val="en-US"/>
              </w:rPr>
            </w:pPr>
            <w:r w:rsidRPr="00FD433B">
              <w:rPr>
                <w:sz w:val="16"/>
                <w:szCs w:val="16"/>
                <w:lang w:val="en-US"/>
              </w:rPr>
              <w:t>SDN-based global optimization, AI-driven traffic prediction</w:t>
            </w:r>
          </w:p>
        </w:tc>
        <w:tc>
          <w:tcPr>
            <w:tcW w:w="1321" w:type="dxa"/>
            <w:vAlign w:val="center"/>
          </w:tcPr>
          <w:p w14:paraId="25B09E59" w14:textId="2C302337" w:rsidR="00FD433B" w:rsidRPr="00FD433B" w:rsidRDefault="00FD433B" w:rsidP="00FD433B">
            <w:pPr>
              <w:pStyle w:val="BodyText"/>
              <w:tabs>
                <w:tab w:val="left" w:pos="288"/>
              </w:tabs>
              <w:ind w:firstLine="0"/>
              <w:rPr>
                <w:sz w:val="16"/>
                <w:szCs w:val="16"/>
                <w:lang w:val="en-US"/>
              </w:rPr>
            </w:pPr>
            <w:r w:rsidRPr="00FD433B">
              <w:rPr>
                <w:sz w:val="16"/>
                <w:szCs w:val="16"/>
                <w:lang w:val="en-US"/>
              </w:rPr>
              <w:t>Enhances coordination and amplifies savings from lower layers</w:t>
            </w:r>
          </w:p>
        </w:tc>
      </w:tr>
      <w:tr w:rsidR="00FD433B" w:rsidRPr="00FD433B" w14:paraId="4E564420" w14:textId="77777777" w:rsidTr="00FD433B">
        <w:tc>
          <w:tcPr>
            <w:tcW w:w="1101" w:type="dxa"/>
            <w:vAlign w:val="center"/>
          </w:tcPr>
          <w:p w14:paraId="304EBE1B" w14:textId="4DC3C155" w:rsidR="00FD433B" w:rsidRPr="00FD433B" w:rsidRDefault="00FD433B" w:rsidP="00FD433B">
            <w:pPr>
              <w:pStyle w:val="BodyText"/>
              <w:tabs>
                <w:tab w:val="left" w:pos="288"/>
              </w:tabs>
              <w:ind w:firstLine="0"/>
              <w:rPr>
                <w:sz w:val="16"/>
                <w:szCs w:val="16"/>
                <w:lang w:val="en-US"/>
              </w:rPr>
            </w:pPr>
            <w:r w:rsidRPr="00FD433B">
              <w:rPr>
                <w:sz w:val="16"/>
                <w:szCs w:val="16"/>
              </w:rPr>
              <w:t>Cross-Layer Interaction</w:t>
            </w:r>
          </w:p>
        </w:tc>
        <w:tc>
          <w:tcPr>
            <w:tcW w:w="1134" w:type="dxa"/>
            <w:vAlign w:val="center"/>
          </w:tcPr>
          <w:p w14:paraId="57DFCD73" w14:textId="69DCB73D" w:rsidR="00FD433B" w:rsidRPr="00FD433B" w:rsidRDefault="00FD433B" w:rsidP="00FD433B">
            <w:pPr>
              <w:pStyle w:val="BodyText"/>
              <w:tabs>
                <w:tab w:val="left" w:pos="288"/>
              </w:tabs>
              <w:ind w:firstLine="0"/>
              <w:rPr>
                <w:sz w:val="16"/>
                <w:szCs w:val="16"/>
                <w:lang w:val="en-US"/>
              </w:rPr>
            </w:pPr>
            <w:r w:rsidRPr="00FD433B">
              <w:rPr>
                <w:sz w:val="16"/>
                <w:szCs w:val="16"/>
              </w:rPr>
              <w:t>5–10%</w:t>
            </w:r>
          </w:p>
        </w:tc>
        <w:tc>
          <w:tcPr>
            <w:tcW w:w="1535" w:type="dxa"/>
            <w:vAlign w:val="center"/>
          </w:tcPr>
          <w:p w14:paraId="3FD9A518" w14:textId="536E8570" w:rsidR="00FD433B" w:rsidRPr="00FD433B" w:rsidRDefault="00FD433B" w:rsidP="00FD433B">
            <w:pPr>
              <w:pStyle w:val="BodyText"/>
              <w:tabs>
                <w:tab w:val="left" w:pos="288"/>
              </w:tabs>
              <w:ind w:firstLine="0"/>
              <w:rPr>
                <w:sz w:val="16"/>
                <w:szCs w:val="16"/>
                <w:lang w:val="en-US"/>
              </w:rPr>
            </w:pPr>
            <w:r w:rsidRPr="00FD433B">
              <w:rPr>
                <w:sz w:val="16"/>
                <w:szCs w:val="16"/>
                <w:lang w:val="en-US"/>
              </w:rPr>
              <w:t>Feedback loops between layers, dynamic policy adjustment</w:t>
            </w:r>
          </w:p>
        </w:tc>
        <w:tc>
          <w:tcPr>
            <w:tcW w:w="1321" w:type="dxa"/>
            <w:vAlign w:val="center"/>
          </w:tcPr>
          <w:p w14:paraId="1B9F6E46" w14:textId="5201F134" w:rsidR="00FD433B" w:rsidRPr="00FD433B" w:rsidRDefault="00FD433B" w:rsidP="00FD433B">
            <w:pPr>
              <w:pStyle w:val="BodyText"/>
              <w:tabs>
                <w:tab w:val="left" w:pos="288"/>
              </w:tabs>
              <w:ind w:firstLine="0"/>
              <w:rPr>
                <w:sz w:val="16"/>
                <w:szCs w:val="16"/>
                <w:lang w:val="en-US"/>
              </w:rPr>
            </w:pPr>
            <w:r w:rsidRPr="00FD433B">
              <w:rPr>
                <w:sz w:val="16"/>
                <w:szCs w:val="16"/>
                <w:lang w:val="en-US"/>
              </w:rPr>
              <w:t>Enables adaptive responses to traffic and workload variations</w:t>
            </w:r>
          </w:p>
        </w:tc>
      </w:tr>
    </w:tbl>
    <w:p w14:paraId="24E14857" w14:textId="77777777" w:rsidR="00055E27" w:rsidRPr="00055E27" w:rsidRDefault="00055E27" w:rsidP="00055E27">
      <w:pPr>
        <w:pStyle w:val="BodyText"/>
        <w:tabs>
          <w:tab w:val="left" w:pos="288"/>
        </w:tabs>
        <w:rPr>
          <w:sz w:val="20"/>
          <w:szCs w:val="20"/>
          <w:lang w:val="en-US"/>
        </w:rPr>
      </w:pPr>
      <w:r w:rsidRPr="00055E27">
        <w:rPr>
          <w:sz w:val="20"/>
          <w:szCs w:val="20"/>
          <w:lang w:val="en-US"/>
        </w:rPr>
        <w:t>Scalability experiments reveal that the proposed architecture maintains energy efficiency gains as network size increases. While absolute energy consumption grows with network scale, the relative efficiency advantage over baseline systems remains stable.</w:t>
      </w:r>
    </w:p>
    <w:p w14:paraId="71A0F6B0" w14:textId="77777777" w:rsidR="00055E27" w:rsidRPr="00055E27" w:rsidRDefault="00055E27" w:rsidP="00055E27">
      <w:pPr>
        <w:pStyle w:val="BodyText"/>
        <w:tabs>
          <w:tab w:val="left" w:pos="288"/>
        </w:tabs>
        <w:rPr>
          <w:sz w:val="20"/>
          <w:szCs w:val="20"/>
          <w:lang w:val="en-US"/>
        </w:rPr>
      </w:pPr>
      <w:r w:rsidRPr="00055E27">
        <w:rPr>
          <w:sz w:val="20"/>
          <w:szCs w:val="20"/>
          <w:lang w:val="en-US"/>
        </w:rPr>
        <w:t>Sensitivity analysis indicates that the framework is robust to variations in traffic patterns, node failures, and energy model uncertainties. Even under worst-case conditions, the system consistently outperforms non-energy-aware designs in both energy efficiency and reliability.</w:t>
      </w:r>
    </w:p>
    <w:p w14:paraId="64971FBE" w14:textId="55FCB110" w:rsidR="00055E27" w:rsidRDefault="00055E27" w:rsidP="00055E27">
      <w:pPr>
        <w:pStyle w:val="BodyText"/>
        <w:tabs>
          <w:tab w:val="left" w:pos="288"/>
        </w:tabs>
        <w:rPr>
          <w:sz w:val="20"/>
          <w:szCs w:val="20"/>
          <w:lang w:val="en-US"/>
        </w:rPr>
      </w:pPr>
      <w:r w:rsidRPr="00055E27">
        <w:rPr>
          <w:sz w:val="20"/>
          <w:szCs w:val="20"/>
          <w:lang w:val="en-US"/>
        </w:rPr>
        <w:t>By translating energy savings into carbon emission proxies, the results suggest a meaningful reduction in network-related environmental impact, particularly for large-scale information networks and data-intensive infrastructures. These findings highlight the potential of Green Information Networks as a foundational technology for sustainable digital transformation</w:t>
      </w:r>
      <w:r w:rsidR="0088740E">
        <w:rPr>
          <w:rFonts w:hint="eastAsia"/>
          <w:sz w:val="20"/>
          <w:szCs w:val="20"/>
          <w:lang w:val="en-US"/>
        </w:rPr>
        <w:t xml:space="preserve"> (Table 5)</w:t>
      </w:r>
      <w:r w:rsidRPr="00055E27">
        <w:rPr>
          <w:sz w:val="20"/>
          <w:szCs w:val="20"/>
          <w:lang w:val="en-US"/>
        </w:rPr>
        <w:t>.</w:t>
      </w:r>
    </w:p>
    <w:p w14:paraId="0174DA1D" w14:textId="793D0B48" w:rsidR="005F31F4" w:rsidRPr="005F31F4" w:rsidRDefault="005F31F4" w:rsidP="005F31F4">
      <w:pPr>
        <w:pStyle w:val="BodyText"/>
        <w:tabs>
          <w:tab w:val="left" w:pos="288"/>
        </w:tabs>
        <w:ind w:firstLine="0"/>
        <w:jc w:val="center"/>
        <w:rPr>
          <w:sz w:val="18"/>
          <w:szCs w:val="18"/>
          <w:lang w:val="en-US"/>
        </w:rPr>
      </w:pPr>
      <w:r w:rsidRPr="005F31F4">
        <w:rPr>
          <w:sz w:val="18"/>
          <w:szCs w:val="18"/>
          <w:lang w:val="en-US"/>
        </w:rPr>
        <w:t xml:space="preserve">Table </w:t>
      </w:r>
      <w:r w:rsidRPr="005F31F4">
        <w:rPr>
          <w:rFonts w:hint="eastAsia"/>
          <w:sz w:val="18"/>
          <w:szCs w:val="18"/>
          <w:lang w:val="en-US"/>
        </w:rPr>
        <w:t>5</w:t>
      </w:r>
      <w:r w:rsidRPr="005F31F4">
        <w:rPr>
          <w:sz w:val="18"/>
          <w:szCs w:val="18"/>
          <w:lang w:val="en-US"/>
        </w:rPr>
        <w:t>. Estimated Carbon Emission Reduction Proxy</w:t>
      </w:r>
    </w:p>
    <w:tbl>
      <w:tblPr>
        <w:tblStyle w:val="TableGrid"/>
        <w:tblW w:w="0" w:type="auto"/>
        <w:tblLook w:val="04A0" w:firstRow="1" w:lastRow="0" w:firstColumn="1" w:lastColumn="0" w:noHBand="0" w:noVBand="1"/>
      </w:tblPr>
      <w:tblGrid>
        <w:gridCol w:w="977"/>
        <w:gridCol w:w="1130"/>
        <w:gridCol w:w="1130"/>
        <w:gridCol w:w="927"/>
        <w:gridCol w:w="927"/>
      </w:tblGrid>
      <w:tr w:rsidR="00FE5175" w14:paraId="54C2B48A" w14:textId="77777777" w:rsidTr="005F31F4">
        <w:tc>
          <w:tcPr>
            <w:tcW w:w="977" w:type="dxa"/>
            <w:vAlign w:val="center"/>
          </w:tcPr>
          <w:p w14:paraId="541DF028" w14:textId="244B8A38" w:rsidR="00FE5175" w:rsidRPr="00FE5175" w:rsidRDefault="00FE5175" w:rsidP="00FE5175">
            <w:pPr>
              <w:pStyle w:val="BodyText"/>
              <w:tabs>
                <w:tab w:val="left" w:pos="288"/>
              </w:tabs>
              <w:ind w:firstLine="0"/>
              <w:rPr>
                <w:sz w:val="16"/>
                <w:szCs w:val="16"/>
                <w:lang w:val="en-US"/>
              </w:rPr>
            </w:pPr>
            <w:r w:rsidRPr="00FE5175">
              <w:rPr>
                <w:rStyle w:val="Strong"/>
                <w:sz w:val="16"/>
                <w:szCs w:val="16"/>
              </w:rPr>
              <w:t>Network Scenario</w:t>
            </w:r>
          </w:p>
        </w:tc>
        <w:tc>
          <w:tcPr>
            <w:tcW w:w="1130" w:type="dxa"/>
            <w:vAlign w:val="center"/>
          </w:tcPr>
          <w:p w14:paraId="1B931F3A" w14:textId="01024F54" w:rsidR="00FE5175" w:rsidRPr="00FE5175" w:rsidRDefault="00FE5175" w:rsidP="00FE5175">
            <w:pPr>
              <w:pStyle w:val="BodyText"/>
              <w:tabs>
                <w:tab w:val="left" w:pos="288"/>
              </w:tabs>
              <w:ind w:firstLine="0"/>
              <w:rPr>
                <w:sz w:val="16"/>
                <w:szCs w:val="16"/>
                <w:lang w:val="en-US"/>
              </w:rPr>
            </w:pPr>
            <w:r w:rsidRPr="00FE5175">
              <w:rPr>
                <w:rStyle w:val="Strong"/>
                <w:sz w:val="16"/>
                <w:szCs w:val="16"/>
              </w:rPr>
              <w:t>Baseline Energy Consumption (kWh)</w:t>
            </w:r>
          </w:p>
        </w:tc>
        <w:tc>
          <w:tcPr>
            <w:tcW w:w="1130" w:type="dxa"/>
            <w:vAlign w:val="center"/>
          </w:tcPr>
          <w:p w14:paraId="7621AEBC" w14:textId="50AA0558" w:rsidR="00FE5175" w:rsidRPr="00FE5175" w:rsidRDefault="00FE5175" w:rsidP="00FE5175">
            <w:pPr>
              <w:pStyle w:val="BodyText"/>
              <w:tabs>
                <w:tab w:val="left" w:pos="288"/>
              </w:tabs>
              <w:ind w:firstLine="0"/>
              <w:rPr>
                <w:sz w:val="16"/>
                <w:szCs w:val="16"/>
                <w:lang w:val="en-US"/>
              </w:rPr>
            </w:pPr>
            <w:r w:rsidRPr="00FE5175">
              <w:rPr>
                <w:rStyle w:val="Strong"/>
                <w:sz w:val="16"/>
                <w:szCs w:val="16"/>
                <w:lang w:val="en-US"/>
              </w:rPr>
              <w:t>Proposed GIN Energy Consumption (kWh)</w:t>
            </w:r>
          </w:p>
        </w:tc>
        <w:tc>
          <w:tcPr>
            <w:tcW w:w="927" w:type="dxa"/>
            <w:vAlign w:val="center"/>
          </w:tcPr>
          <w:p w14:paraId="05396B1F" w14:textId="259BEF87" w:rsidR="00FE5175" w:rsidRPr="00FE5175" w:rsidRDefault="00FE5175" w:rsidP="00FE5175">
            <w:pPr>
              <w:pStyle w:val="BodyText"/>
              <w:tabs>
                <w:tab w:val="left" w:pos="288"/>
              </w:tabs>
              <w:ind w:firstLine="0"/>
              <w:rPr>
                <w:sz w:val="16"/>
                <w:szCs w:val="16"/>
                <w:lang w:val="en-US"/>
              </w:rPr>
            </w:pPr>
            <w:r w:rsidRPr="00FE5175">
              <w:rPr>
                <w:rStyle w:val="Strong"/>
                <w:sz w:val="16"/>
                <w:szCs w:val="16"/>
              </w:rPr>
              <w:t>Energy Reduction (%)</w:t>
            </w:r>
          </w:p>
        </w:tc>
        <w:tc>
          <w:tcPr>
            <w:tcW w:w="927" w:type="dxa"/>
            <w:vAlign w:val="center"/>
          </w:tcPr>
          <w:p w14:paraId="06CF2B74" w14:textId="6A40E09D" w:rsidR="00FE5175" w:rsidRPr="00FE5175" w:rsidRDefault="00FE5175" w:rsidP="00FE5175">
            <w:pPr>
              <w:pStyle w:val="BodyText"/>
              <w:tabs>
                <w:tab w:val="left" w:pos="288"/>
              </w:tabs>
              <w:ind w:firstLine="0"/>
              <w:rPr>
                <w:sz w:val="16"/>
                <w:szCs w:val="16"/>
                <w:lang w:val="en-US"/>
              </w:rPr>
            </w:pPr>
            <w:r w:rsidRPr="00FE5175">
              <w:rPr>
                <w:rStyle w:val="Strong"/>
                <w:sz w:val="16"/>
                <w:szCs w:val="16"/>
                <w:lang w:val="en-US"/>
              </w:rPr>
              <w:t xml:space="preserve">Estimated CO₂ Reduction (kg </w:t>
            </w:r>
            <w:proofErr w:type="spellStart"/>
            <w:r w:rsidRPr="00FE5175">
              <w:rPr>
                <w:rStyle w:val="Strong"/>
                <w:sz w:val="16"/>
                <w:szCs w:val="16"/>
                <w:lang w:val="en-US"/>
              </w:rPr>
              <w:t>CO₂e</w:t>
            </w:r>
            <w:proofErr w:type="spellEnd"/>
            <w:r w:rsidRPr="00FE5175">
              <w:rPr>
                <w:rStyle w:val="Strong"/>
                <w:sz w:val="16"/>
                <w:szCs w:val="16"/>
                <w:lang w:val="en-US"/>
              </w:rPr>
              <w:t>)</w:t>
            </w:r>
          </w:p>
        </w:tc>
      </w:tr>
      <w:tr w:rsidR="00FE5175" w14:paraId="68984B85" w14:textId="77777777" w:rsidTr="005F31F4">
        <w:tc>
          <w:tcPr>
            <w:tcW w:w="977" w:type="dxa"/>
            <w:vAlign w:val="center"/>
          </w:tcPr>
          <w:p w14:paraId="4C950333" w14:textId="55F5C751" w:rsidR="00FE5175" w:rsidRPr="00FE5175" w:rsidRDefault="00FE5175" w:rsidP="00FE5175">
            <w:pPr>
              <w:pStyle w:val="BodyText"/>
              <w:tabs>
                <w:tab w:val="left" w:pos="288"/>
              </w:tabs>
              <w:ind w:firstLine="0"/>
              <w:rPr>
                <w:sz w:val="16"/>
                <w:szCs w:val="16"/>
                <w:lang w:val="en-US"/>
              </w:rPr>
            </w:pPr>
            <w:r w:rsidRPr="00FE5175">
              <w:rPr>
                <w:sz w:val="16"/>
                <w:szCs w:val="16"/>
              </w:rPr>
              <w:lastRenderedPageBreak/>
              <w:t>Small-scale (IoT–Edge)</w:t>
            </w:r>
          </w:p>
        </w:tc>
        <w:tc>
          <w:tcPr>
            <w:tcW w:w="1130" w:type="dxa"/>
            <w:vAlign w:val="center"/>
          </w:tcPr>
          <w:p w14:paraId="0BA8990B" w14:textId="50EC57ED" w:rsidR="00FE5175" w:rsidRPr="00FE5175" w:rsidRDefault="00FE5175" w:rsidP="00FE5175">
            <w:pPr>
              <w:pStyle w:val="BodyText"/>
              <w:tabs>
                <w:tab w:val="left" w:pos="288"/>
              </w:tabs>
              <w:ind w:firstLine="0"/>
              <w:rPr>
                <w:sz w:val="16"/>
                <w:szCs w:val="16"/>
                <w:lang w:val="en-US"/>
              </w:rPr>
            </w:pPr>
            <w:r w:rsidRPr="00FE5175">
              <w:rPr>
                <w:sz w:val="16"/>
                <w:szCs w:val="16"/>
              </w:rPr>
              <w:t>120</w:t>
            </w:r>
          </w:p>
        </w:tc>
        <w:tc>
          <w:tcPr>
            <w:tcW w:w="1130" w:type="dxa"/>
            <w:vAlign w:val="center"/>
          </w:tcPr>
          <w:p w14:paraId="5E03E27B" w14:textId="15F5EF59" w:rsidR="00FE5175" w:rsidRPr="00FE5175" w:rsidRDefault="00FE5175" w:rsidP="00FE5175">
            <w:pPr>
              <w:pStyle w:val="BodyText"/>
              <w:tabs>
                <w:tab w:val="left" w:pos="288"/>
              </w:tabs>
              <w:ind w:firstLine="0"/>
              <w:rPr>
                <w:sz w:val="16"/>
                <w:szCs w:val="16"/>
                <w:lang w:val="en-US"/>
              </w:rPr>
            </w:pPr>
            <w:r w:rsidRPr="00FE5175">
              <w:rPr>
                <w:sz w:val="16"/>
                <w:szCs w:val="16"/>
              </w:rPr>
              <w:t>85</w:t>
            </w:r>
          </w:p>
        </w:tc>
        <w:tc>
          <w:tcPr>
            <w:tcW w:w="927" w:type="dxa"/>
            <w:vAlign w:val="center"/>
          </w:tcPr>
          <w:p w14:paraId="56147E52" w14:textId="16EBF16A" w:rsidR="00FE5175" w:rsidRPr="00FE5175" w:rsidRDefault="00FE5175" w:rsidP="00FE5175">
            <w:pPr>
              <w:pStyle w:val="BodyText"/>
              <w:tabs>
                <w:tab w:val="left" w:pos="288"/>
              </w:tabs>
              <w:ind w:firstLine="0"/>
              <w:rPr>
                <w:sz w:val="16"/>
                <w:szCs w:val="16"/>
                <w:lang w:val="en-US"/>
              </w:rPr>
            </w:pPr>
            <w:r w:rsidRPr="00FE5175">
              <w:rPr>
                <w:sz w:val="16"/>
                <w:szCs w:val="16"/>
              </w:rPr>
              <w:t>29.2</w:t>
            </w:r>
          </w:p>
        </w:tc>
        <w:tc>
          <w:tcPr>
            <w:tcW w:w="927" w:type="dxa"/>
            <w:vAlign w:val="center"/>
          </w:tcPr>
          <w:p w14:paraId="6B3EF05F" w14:textId="74993F4E" w:rsidR="00FE5175" w:rsidRPr="00FE5175" w:rsidRDefault="00FE5175" w:rsidP="00FE5175">
            <w:pPr>
              <w:pStyle w:val="BodyText"/>
              <w:tabs>
                <w:tab w:val="left" w:pos="288"/>
              </w:tabs>
              <w:ind w:firstLine="0"/>
              <w:rPr>
                <w:sz w:val="16"/>
                <w:szCs w:val="16"/>
                <w:lang w:val="en-US"/>
              </w:rPr>
            </w:pPr>
            <w:r w:rsidRPr="00FE5175">
              <w:rPr>
                <w:sz w:val="16"/>
                <w:szCs w:val="16"/>
              </w:rPr>
              <w:t>18–22</w:t>
            </w:r>
          </w:p>
        </w:tc>
      </w:tr>
      <w:tr w:rsidR="00FE5175" w14:paraId="0D34D1C5" w14:textId="77777777" w:rsidTr="005F31F4">
        <w:tc>
          <w:tcPr>
            <w:tcW w:w="977" w:type="dxa"/>
            <w:vAlign w:val="center"/>
          </w:tcPr>
          <w:p w14:paraId="35961372" w14:textId="361E7E56" w:rsidR="00FE5175" w:rsidRPr="00FE5175" w:rsidRDefault="00FE5175" w:rsidP="00FE5175">
            <w:pPr>
              <w:pStyle w:val="BodyText"/>
              <w:tabs>
                <w:tab w:val="left" w:pos="288"/>
              </w:tabs>
              <w:ind w:firstLine="0"/>
              <w:rPr>
                <w:sz w:val="16"/>
                <w:szCs w:val="16"/>
                <w:lang w:val="en-US"/>
              </w:rPr>
            </w:pPr>
            <w:r w:rsidRPr="00FE5175">
              <w:rPr>
                <w:sz w:val="16"/>
                <w:szCs w:val="16"/>
              </w:rPr>
              <w:t>Medium-scale (Enterprise)</w:t>
            </w:r>
          </w:p>
        </w:tc>
        <w:tc>
          <w:tcPr>
            <w:tcW w:w="1130" w:type="dxa"/>
            <w:vAlign w:val="center"/>
          </w:tcPr>
          <w:p w14:paraId="5974C5FE" w14:textId="4AE16B67" w:rsidR="00FE5175" w:rsidRPr="00FE5175" w:rsidRDefault="00FE5175" w:rsidP="00FE5175">
            <w:pPr>
              <w:pStyle w:val="BodyText"/>
              <w:tabs>
                <w:tab w:val="left" w:pos="288"/>
              </w:tabs>
              <w:ind w:firstLine="0"/>
              <w:rPr>
                <w:sz w:val="16"/>
                <w:szCs w:val="16"/>
                <w:lang w:val="en-US"/>
              </w:rPr>
            </w:pPr>
            <w:r w:rsidRPr="00FE5175">
              <w:rPr>
                <w:sz w:val="16"/>
                <w:szCs w:val="16"/>
              </w:rPr>
              <w:t>480</w:t>
            </w:r>
          </w:p>
        </w:tc>
        <w:tc>
          <w:tcPr>
            <w:tcW w:w="1130" w:type="dxa"/>
            <w:vAlign w:val="center"/>
          </w:tcPr>
          <w:p w14:paraId="6FDC8959" w14:textId="44E2372B" w:rsidR="00FE5175" w:rsidRPr="00FE5175" w:rsidRDefault="00FE5175" w:rsidP="00FE5175">
            <w:pPr>
              <w:pStyle w:val="BodyText"/>
              <w:tabs>
                <w:tab w:val="left" w:pos="288"/>
              </w:tabs>
              <w:ind w:firstLine="0"/>
              <w:rPr>
                <w:sz w:val="16"/>
                <w:szCs w:val="16"/>
                <w:lang w:val="en-US"/>
              </w:rPr>
            </w:pPr>
            <w:r w:rsidRPr="00FE5175">
              <w:rPr>
                <w:sz w:val="16"/>
                <w:szCs w:val="16"/>
              </w:rPr>
              <w:t>310</w:t>
            </w:r>
          </w:p>
        </w:tc>
        <w:tc>
          <w:tcPr>
            <w:tcW w:w="927" w:type="dxa"/>
            <w:vAlign w:val="center"/>
          </w:tcPr>
          <w:p w14:paraId="7A8E00A2" w14:textId="356B43EA" w:rsidR="00FE5175" w:rsidRPr="00FE5175" w:rsidRDefault="00FE5175" w:rsidP="00FE5175">
            <w:pPr>
              <w:pStyle w:val="BodyText"/>
              <w:tabs>
                <w:tab w:val="left" w:pos="288"/>
              </w:tabs>
              <w:ind w:firstLine="0"/>
              <w:rPr>
                <w:sz w:val="16"/>
                <w:szCs w:val="16"/>
                <w:lang w:val="en-US"/>
              </w:rPr>
            </w:pPr>
            <w:r w:rsidRPr="00FE5175">
              <w:rPr>
                <w:sz w:val="16"/>
                <w:szCs w:val="16"/>
              </w:rPr>
              <w:t>35.4</w:t>
            </w:r>
          </w:p>
        </w:tc>
        <w:tc>
          <w:tcPr>
            <w:tcW w:w="927" w:type="dxa"/>
            <w:vAlign w:val="center"/>
          </w:tcPr>
          <w:p w14:paraId="34BB36DF" w14:textId="6F1932EF" w:rsidR="00FE5175" w:rsidRPr="00FE5175" w:rsidRDefault="00FE5175" w:rsidP="00FE5175">
            <w:pPr>
              <w:pStyle w:val="BodyText"/>
              <w:tabs>
                <w:tab w:val="left" w:pos="288"/>
              </w:tabs>
              <w:ind w:firstLine="0"/>
              <w:rPr>
                <w:sz w:val="16"/>
                <w:szCs w:val="16"/>
                <w:lang w:val="en-US"/>
              </w:rPr>
            </w:pPr>
            <w:r w:rsidRPr="00FE5175">
              <w:rPr>
                <w:sz w:val="16"/>
                <w:szCs w:val="16"/>
              </w:rPr>
              <w:t>70–85</w:t>
            </w:r>
          </w:p>
        </w:tc>
      </w:tr>
      <w:tr w:rsidR="00FE5175" w14:paraId="63152C51" w14:textId="77777777" w:rsidTr="005F31F4">
        <w:tc>
          <w:tcPr>
            <w:tcW w:w="977" w:type="dxa"/>
            <w:vAlign w:val="center"/>
          </w:tcPr>
          <w:p w14:paraId="3E60345B" w14:textId="34C3ED3E" w:rsidR="00FE5175" w:rsidRPr="00FE5175" w:rsidRDefault="00FE5175" w:rsidP="00FE5175">
            <w:pPr>
              <w:pStyle w:val="BodyText"/>
              <w:tabs>
                <w:tab w:val="left" w:pos="288"/>
              </w:tabs>
              <w:ind w:firstLine="0"/>
              <w:rPr>
                <w:sz w:val="16"/>
                <w:szCs w:val="16"/>
                <w:lang w:val="en-US"/>
              </w:rPr>
            </w:pPr>
            <w:r w:rsidRPr="00FE5175">
              <w:rPr>
                <w:sz w:val="16"/>
                <w:szCs w:val="16"/>
              </w:rPr>
              <w:t>Large-scale (Core / Backbone)</w:t>
            </w:r>
          </w:p>
        </w:tc>
        <w:tc>
          <w:tcPr>
            <w:tcW w:w="1130" w:type="dxa"/>
            <w:vAlign w:val="center"/>
          </w:tcPr>
          <w:p w14:paraId="0BC54CF8" w14:textId="5B712516" w:rsidR="00FE5175" w:rsidRPr="00FE5175" w:rsidRDefault="00FE5175" w:rsidP="00FE5175">
            <w:pPr>
              <w:pStyle w:val="BodyText"/>
              <w:tabs>
                <w:tab w:val="left" w:pos="288"/>
              </w:tabs>
              <w:ind w:firstLine="0"/>
              <w:rPr>
                <w:sz w:val="16"/>
                <w:szCs w:val="16"/>
                <w:lang w:val="en-US"/>
              </w:rPr>
            </w:pPr>
            <w:r w:rsidRPr="00FE5175">
              <w:rPr>
                <w:sz w:val="16"/>
                <w:szCs w:val="16"/>
              </w:rPr>
              <w:t>1,200</w:t>
            </w:r>
          </w:p>
        </w:tc>
        <w:tc>
          <w:tcPr>
            <w:tcW w:w="1130" w:type="dxa"/>
            <w:vAlign w:val="center"/>
          </w:tcPr>
          <w:p w14:paraId="2B268BA1" w14:textId="1EA8945C" w:rsidR="00FE5175" w:rsidRPr="00FE5175" w:rsidRDefault="00FE5175" w:rsidP="00FE5175">
            <w:pPr>
              <w:pStyle w:val="BodyText"/>
              <w:tabs>
                <w:tab w:val="left" w:pos="288"/>
              </w:tabs>
              <w:ind w:firstLine="0"/>
              <w:rPr>
                <w:sz w:val="16"/>
                <w:szCs w:val="16"/>
                <w:lang w:val="en-US"/>
              </w:rPr>
            </w:pPr>
            <w:r w:rsidRPr="00FE5175">
              <w:rPr>
                <w:sz w:val="16"/>
                <w:szCs w:val="16"/>
              </w:rPr>
              <w:t>780</w:t>
            </w:r>
          </w:p>
        </w:tc>
        <w:tc>
          <w:tcPr>
            <w:tcW w:w="927" w:type="dxa"/>
            <w:vAlign w:val="center"/>
          </w:tcPr>
          <w:p w14:paraId="00C7688C" w14:textId="44505F52" w:rsidR="00FE5175" w:rsidRPr="00FE5175" w:rsidRDefault="00FE5175" w:rsidP="00FE5175">
            <w:pPr>
              <w:pStyle w:val="BodyText"/>
              <w:tabs>
                <w:tab w:val="left" w:pos="288"/>
              </w:tabs>
              <w:ind w:firstLine="0"/>
              <w:rPr>
                <w:sz w:val="16"/>
                <w:szCs w:val="16"/>
                <w:lang w:val="en-US"/>
              </w:rPr>
            </w:pPr>
            <w:r w:rsidRPr="00FE5175">
              <w:rPr>
                <w:sz w:val="16"/>
                <w:szCs w:val="16"/>
              </w:rPr>
              <w:t>35.0</w:t>
            </w:r>
          </w:p>
        </w:tc>
        <w:tc>
          <w:tcPr>
            <w:tcW w:w="927" w:type="dxa"/>
            <w:vAlign w:val="center"/>
          </w:tcPr>
          <w:p w14:paraId="7D027A27" w14:textId="5A6594B8" w:rsidR="00FE5175" w:rsidRPr="00FE5175" w:rsidRDefault="00FE5175" w:rsidP="00FE5175">
            <w:pPr>
              <w:pStyle w:val="BodyText"/>
              <w:tabs>
                <w:tab w:val="left" w:pos="288"/>
              </w:tabs>
              <w:ind w:firstLine="0"/>
              <w:rPr>
                <w:sz w:val="16"/>
                <w:szCs w:val="16"/>
                <w:lang w:val="en-US"/>
              </w:rPr>
            </w:pPr>
            <w:r w:rsidRPr="00FE5175">
              <w:rPr>
                <w:sz w:val="16"/>
                <w:szCs w:val="16"/>
              </w:rPr>
              <w:t>190–230</w:t>
            </w:r>
          </w:p>
        </w:tc>
      </w:tr>
      <w:tr w:rsidR="00FE5175" w14:paraId="06F8CBEE" w14:textId="77777777" w:rsidTr="005F31F4">
        <w:tc>
          <w:tcPr>
            <w:tcW w:w="977" w:type="dxa"/>
            <w:vAlign w:val="center"/>
          </w:tcPr>
          <w:p w14:paraId="3E52186F" w14:textId="06073F13" w:rsidR="00FE5175" w:rsidRPr="00FE5175" w:rsidRDefault="00FE5175" w:rsidP="00FE5175">
            <w:pPr>
              <w:pStyle w:val="BodyText"/>
              <w:tabs>
                <w:tab w:val="left" w:pos="288"/>
              </w:tabs>
              <w:ind w:firstLine="0"/>
              <w:rPr>
                <w:sz w:val="16"/>
                <w:szCs w:val="16"/>
                <w:lang w:val="en-US"/>
              </w:rPr>
            </w:pPr>
            <w:r w:rsidRPr="00FE5175">
              <w:rPr>
                <w:rStyle w:val="Strong"/>
                <w:sz w:val="16"/>
                <w:szCs w:val="16"/>
              </w:rPr>
              <w:t>Average / Overall</w:t>
            </w:r>
          </w:p>
        </w:tc>
        <w:tc>
          <w:tcPr>
            <w:tcW w:w="1130" w:type="dxa"/>
            <w:vAlign w:val="center"/>
          </w:tcPr>
          <w:p w14:paraId="6E804193" w14:textId="5F0B626A" w:rsidR="00FE5175" w:rsidRPr="00FE5175" w:rsidRDefault="00FE5175" w:rsidP="00FE5175">
            <w:pPr>
              <w:pStyle w:val="BodyText"/>
              <w:tabs>
                <w:tab w:val="left" w:pos="288"/>
              </w:tabs>
              <w:ind w:firstLine="0"/>
              <w:rPr>
                <w:sz w:val="16"/>
                <w:szCs w:val="16"/>
                <w:lang w:val="en-US"/>
              </w:rPr>
            </w:pPr>
            <w:r w:rsidRPr="00FE5175">
              <w:rPr>
                <w:sz w:val="16"/>
                <w:szCs w:val="16"/>
              </w:rPr>
              <w:t>—</w:t>
            </w:r>
          </w:p>
        </w:tc>
        <w:tc>
          <w:tcPr>
            <w:tcW w:w="1130" w:type="dxa"/>
            <w:vAlign w:val="center"/>
          </w:tcPr>
          <w:p w14:paraId="496089C8" w14:textId="52CB6448" w:rsidR="00FE5175" w:rsidRPr="00FE5175" w:rsidRDefault="00FE5175" w:rsidP="00FE5175">
            <w:pPr>
              <w:pStyle w:val="BodyText"/>
              <w:tabs>
                <w:tab w:val="left" w:pos="288"/>
              </w:tabs>
              <w:ind w:firstLine="0"/>
              <w:rPr>
                <w:sz w:val="16"/>
                <w:szCs w:val="16"/>
                <w:lang w:val="en-US"/>
              </w:rPr>
            </w:pPr>
            <w:r w:rsidRPr="00FE5175">
              <w:rPr>
                <w:sz w:val="16"/>
                <w:szCs w:val="16"/>
              </w:rPr>
              <w:t>—</w:t>
            </w:r>
          </w:p>
        </w:tc>
        <w:tc>
          <w:tcPr>
            <w:tcW w:w="927" w:type="dxa"/>
            <w:vAlign w:val="center"/>
          </w:tcPr>
          <w:p w14:paraId="17928E5B" w14:textId="5FD30DF3" w:rsidR="00FE5175" w:rsidRPr="00FE5175" w:rsidRDefault="00FE5175" w:rsidP="00FE5175">
            <w:pPr>
              <w:pStyle w:val="BodyText"/>
              <w:tabs>
                <w:tab w:val="left" w:pos="288"/>
              </w:tabs>
              <w:ind w:firstLine="0"/>
              <w:rPr>
                <w:sz w:val="16"/>
                <w:szCs w:val="16"/>
                <w:lang w:val="en-US"/>
              </w:rPr>
            </w:pPr>
            <w:r w:rsidRPr="00FE5175">
              <w:rPr>
                <w:rStyle w:val="Strong"/>
                <w:sz w:val="16"/>
                <w:szCs w:val="16"/>
              </w:rPr>
              <w:t>25–40</w:t>
            </w:r>
          </w:p>
        </w:tc>
        <w:tc>
          <w:tcPr>
            <w:tcW w:w="927" w:type="dxa"/>
            <w:vAlign w:val="center"/>
          </w:tcPr>
          <w:p w14:paraId="6C6C0495" w14:textId="3ECAFD6B" w:rsidR="00FE5175" w:rsidRPr="00FE5175" w:rsidRDefault="00FE5175" w:rsidP="00FE5175">
            <w:pPr>
              <w:pStyle w:val="BodyText"/>
              <w:tabs>
                <w:tab w:val="left" w:pos="288"/>
              </w:tabs>
              <w:ind w:firstLine="0"/>
              <w:rPr>
                <w:sz w:val="16"/>
                <w:szCs w:val="16"/>
                <w:lang w:val="en-US"/>
              </w:rPr>
            </w:pPr>
            <w:r w:rsidRPr="00FE5175">
              <w:rPr>
                <w:rStyle w:val="Strong"/>
                <w:sz w:val="16"/>
                <w:szCs w:val="16"/>
              </w:rPr>
              <w:t>≈30–40% reduction</w:t>
            </w:r>
          </w:p>
        </w:tc>
      </w:tr>
    </w:tbl>
    <w:p w14:paraId="1BCF505E" w14:textId="77777777" w:rsidR="00B45CEA" w:rsidRDefault="00000000">
      <w:pPr>
        <w:pStyle w:val="IETHeading1"/>
        <w:numPr>
          <w:ilvl w:val="0"/>
          <w:numId w:val="6"/>
        </w:numPr>
        <w:jc w:val="center"/>
        <w:rPr>
          <w:rFonts w:ascii="Times New Roman" w:hAnsi="Times New Roman" w:cs="Times New Roman"/>
          <w:b w:val="0"/>
          <w:bCs w:val="0"/>
          <w:smallCaps/>
          <w:sz w:val="20"/>
          <w:szCs w:val="20"/>
          <w:lang w:val="en-US" w:eastAsia="en-US"/>
        </w:rPr>
      </w:pPr>
      <w:r>
        <w:rPr>
          <w:rFonts w:ascii="Times New Roman" w:hAnsi="Times New Roman" w:cs="Times New Roman"/>
          <w:b w:val="0"/>
          <w:bCs w:val="0"/>
          <w:smallCaps/>
          <w:sz w:val="20"/>
          <w:szCs w:val="20"/>
          <w:lang w:val="en-US" w:eastAsia="en-US"/>
        </w:rPr>
        <w:t>Discussions</w:t>
      </w:r>
    </w:p>
    <w:p w14:paraId="7B4AE8D5" w14:textId="77777777" w:rsidR="00B45CEA" w:rsidRPr="00055B35" w:rsidRDefault="00000000">
      <w:pPr>
        <w:pStyle w:val="BodyText"/>
        <w:tabs>
          <w:tab w:val="left" w:pos="288"/>
        </w:tabs>
        <w:rPr>
          <w:sz w:val="20"/>
          <w:szCs w:val="20"/>
          <w:lang w:val="en-US"/>
        </w:rPr>
      </w:pPr>
      <w:r>
        <w:rPr>
          <w:rFonts w:hint="eastAsia"/>
          <w:sz w:val="20"/>
          <w:szCs w:val="20"/>
          <w:lang w:val="en-US"/>
        </w:rPr>
        <w:t xml:space="preserve">Based on </w:t>
      </w:r>
      <w:r w:rsidRPr="00055B35">
        <w:rPr>
          <w:sz w:val="20"/>
          <w:szCs w:val="20"/>
          <w:lang w:val="en-US"/>
        </w:rPr>
        <w:t xml:space="preserve">protocol design for energy efficiency, results demonstrated that naïve blockchain anchoring (S1) is prohibitively costly in latency and energy, but hybrid approaches (S2, S3) achieve both sustainability and SLA compliance. For integration of renewable energy, carbon-aware routing and renewable-aligned workload scheduling reduced carbon intensity to below 30 </w:t>
      </w:r>
      <w:proofErr w:type="spellStart"/>
      <w:r w:rsidRPr="00055B35">
        <w:rPr>
          <w:sz w:val="20"/>
          <w:szCs w:val="20"/>
          <w:lang w:val="en-US"/>
        </w:rPr>
        <w:t>gCO₂e</w:t>
      </w:r>
      <w:proofErr w:type="spellEnd"/>
      <w:r w:rsidRPr="00055B35">
        <w:rPr>
          <w:sz w:val="20"/>
          <w:szCs w:val="20"/>
          <w:lang w:val="en-US"/>
        </w:rPr>
        <w:t>/Gb, confirming the feasibility of aligning ICT with decarbonization targets. For trade-offs between performance and efficiency, empirical evidence showed that energy savings of 27–42% can be achieved with &lt;15% latency overhead, illustrating that performance–sustainability trade-offs are not zero-sum. Finally, for governance and compliance, embedding OCCAM policies and verifiable proofs into the stack yielded &gt;95% audit completeness, enabling real-time accountability rather than retrospective auditing.</w:t>
      </w:r>
    </w:p>
    <w:p w14:paraId="03D3268C" w14:textId="77777777" w:rsidR="00B45CEA" w:rsidRPr="00055B35" w:rsidRDefault="00000000">
      <w:pPr>
        <w:pStyle w:val="BodyText"/>
        <w:tabs>
          <w:tab w:val="left" w:pos="288"/>
        </w:tabs>
        <w:rPr>
          <w:sz w:val="20"/>
          <w:szCs w:val="20"/>
          <w:lang w:val="en-US"/>
        </w:rPr>
      </w:pPr>
      <w:r w:rsidRPr="00055B35">
        <w:rPr>
          <w:sz w:val="20"/>
          <w:szCs w:val="20"/>
          <w:lang w:val="en-US"/>
        </w:rPr>
        <w:t xml:space="preserve">Deploying GINs raises ethical considerations around data governance, energy equity, and global digital divides. While renewable-aligned routing reduces carbon intensity in regions with high renewable penetration, it risks reinforcing inequalities by diverting traffic away from fossil-dependent regions [8]. </w:t>
      </w:r>
      <w:r>
        <w:rPr>
          <w:sz w:val="20"/>
          <w:szCs w:val="20"/>
          <w:lang w:val="en-US"/>
        </w:rPr>
        <w:t>E</w:t>
      </w:r>
      <w:r w:rsidRPr="00055B35">
        <w:rPr>
          <w:sz w:val="20"/>
          <w:szCs w:val="20"/>
          <w:lang w:val="en-US"/>
        </w:rPr>
        <w:t>nergy-aware throttling must balance sustainability with equitable access, ensuring that low-priority traffic (often consumer-facing applications) is not disproportionately disadvantaged. These challenges emphasize the importance of human-centered governance frameworks that embed fairness, transparency, and accountability into GIN deployments [9].</w:t>
      </w:r>
      <w:r>
        <w:rPr>
          <w:sz w:val="20"/>
          <w:szCs w:val="20"/>
          <w:lang w:val="en-US"/>
        </w:rPr>
        <w:t xml:space="preserve"> </w:t>
      </w:r>
      <w:r w:rsidRPr="00055B35">
        <w:rPr>
          <w:sz w:val="20"/>
          <w:szCs w:val="20"/>
          <w:lang w:val="en-US"/>
        </w:rPr>
        <w:t xml:space="preserve">Despite promising results, limitations remain. </w:t>
      </w:r>
      <w:r>
        <w:rPr>
          <w:sz w:val="20"/>
          <w:szCs w:val="20"/>
          <w:lang w:val="en-US"/>
        </w:rPr>
        <w:t>E</w:t>
      </w:r>
      <w:r w:rsidRPr="00055B35">
        <w:rPr>
          <w:sz w:val="20"/>
          <w:szCs w:val="20"/>
          <w:lang w:val="en-US"/>
        </w:rPr>
        <w:t xml:space="preserve">xperiments were conducted on synthetic datasets and emulated WAN conditions; real-world variability may yield different outcomes. </w:t>
      </w:r>
      <w:r>
        <w:rPr>
          <w:sz w:val="20"/>
          <w:szCs w:val="20"/>
          <w:lang w:val="en-US"/>
        </w:rPr>
        <w:t>A</w:t>
      </w:r>
      <w:r w:rsidRPr="00055B35">
        <w:rPr>
          <w:sz w:val="20"/>
          <w:szCs w:val="20"/>
          <w:lang w:val="en-US"/>
        </w:rPr>
        <w:t>dversary models were limited to Byzantine and network-level faults, excluding advanced attacks such as energy-market manipulation or regulatory non-compliance. AI-driven optimization itself consumes energy, raising concerns about the net carbon benefit of machine learning approaches [10]. These limitations highlight areas for refinement in both technical and governance models.</w:t>
      </w:r>
    </w:p>
    <w:p w14:paraId="567A8361" w14:textId="77777777" w:rsidR="00B45CEA" w:rsidRDefault="00000000">
      <w:pPr>
        <w:pStyle w:val="IETHeading1"/>
        <w:numPr>
          <w:ilvl w:val="0"/>
          <w:numId w:val="6"/>
        </w:numPr>
        <w:jc w:val="center"/>
        <w:rPr>
          <w:rFonts w:ascii="Times New Roman" w:hAnsi="Times New Roman" w:cs="Times New Roman"/>
          <w:b w:val="0"/>
          <w:bCs w:val="0"/>
          <w:smallCaps/>
          <w:sz w:val="20"/>
          <w:szCs w:val="20"/>
          <w:lang w:val="en-US" w:eastAsia="en-US"/>
        </w:rPr>
      </w:pPr>
      <w:r>
        <w:rPr>
          <w:rFonts w:ascii="Times New Roman" w:hAnsi="Times New Roman" w:cs="Times New Roman"/>
          <w:b w:val="0"/>
          <w:bCs w:val="0"/>
          <w:smallCaps/>
          <w:sz w:val="20"/>
          <w:szCs w:val="20"/>
          <w:lang w:val="en-US" w:eastAsia="en-US"/>
        </w:rPr>
        <w:t>Conclusions</w:t>
      </w:r>
    </w:p>
    <w:p w14:paraId="350EF4C2" w14:textId="77777777" w:rsidR="00B45CEA" w:rsidRPr="00055B35" w:rsidRDefault="00000000">
      <w:pPr>
        <w:pStyle w:val="BodyText"/>
        <w:tabs>
          <w:tab w:val="left" w:pos="288"/>
        </w:tabs>
        <w:rPr>
          <w:sz w:val="20"/>
          <w:szCs w:val="20"/>
          <w:lang w:val="en-US"/>
        </w:rPr>
      </w:pPr>
      <w:r>
        <w:rPr>
          <w:rFonts w:hint="eastAsia"/>
          <w:sz w:val="20"/>
          <w:szCs w:val="20"/>
          <w:lang w:val="en-US"/>
        </w:rPr>
        <w:t>This research introduced and empirically validated the concept of Green Information Networks (GINs) as a comprehensive paradigm for embedding energy-awareness and carbon-consciousness into the design of next-generation information infrastructures. By adopting a design-science methodology, we developed and evaluated a layered sustainability stack integrating governance, energy-aware routing, renewable-aligned scheduling, and verifiable compliance mechanisms.</w:t>
      </w:r>
      <w:r>
        <w:rPr>
          <w:sz w:val="20"/>
          <w:szCs w:val="20"/>
          <w:lang w:val="en-US"/>
        </w:rPr>
        <w:t xml:space="preserve"> </w:t>
      </w:r>
      <w:r>
        <w:rPr>
          <w:rFonts w:hint="eastAsia"/>
          <w:sz w:val="20"/>
          <w:szCs w:val="20"/>
          <w:lang w:val="en-US"/>
        </w:rPr>
        <w:t xml:space="preserve">For network operators, the results highlight actionable strategies for reducing operational expenditure and carbon footprints. Energy-aware orchestration reduces electricity costs, while continuous </w:t>
      </w:r>
      <w:r>
        <w:rPr>
          <w:rFonts w:hint="eastAsia"/>
          <w:sz w:val="20"/>
          <w:szCs w:val="20"/>
          <w:lang w:val="en-US"/>
        </w:rPr>
        <w:t>compliance mechanisms reduce regulatory risks. For policy-makers and regulators, GINs provide a blueprint for embedding verifiable sustainability into ICT infrastructures, supporting alignment with ITU-T, ETSI, and ISO frameworks. For enterprises, adopting GIN principles enables organizations to meet ESG targets while sustaining digital competitiveness.</w:t>
      </w:r>
      <w:r>
        <w:rPr>
          <w:sz w:val="20"/>
          <w:szCs w:val="20"/>
          <w:lang w:val="en-US"/>
        </w:rPr>
        <w:t xml:space="preserve"> </w:t>
      </w:r>
      <w:r>
        <w:rPr>
          <w:rFonts w:hint="eastAsia"/>
          <w:sz w:val="20"/>
          <w:szCs w:val="20"/>
          <w:lang w:val="en-US"/>
        </w:rPr>
        <w:t>As networks evolve toward 6G, edge</w:t>
      </w:r>
      <w:r>
        <w:rPr>
          <w:rFonts w:hint="eastAsia"/>
          <w:sz w:val="20"/>
          <w:szCs w:val="20"/>
          <w:lang w:val="en-US"/>
        </w:rPr>
        <w:t>–</w:t>
      </w:r>
      <w:r>
        <w:rPr>
          <w:rFonts w:hint="eastAsia"/>
          <w:sz w:val="20"/>
          <w:szCs w:val="20"/>
          <w:lang w:val="en-US"/>
        </w:rPr>
        <w:t>cloud ecosystems, and AI-driven se</w:t>
      </w:r>
      <w:r w:rsidRPr="00055B35">
        <w:rPr>
          <w:sz w:val="20"/>
          <w:szCs w:val="20"/>
          <w:lang w:val="en-US"/>
        </w:rPr>
        <w:t>rvices, the imperative is clear: sustainability must become as fundamental a design principle as security or reliability. Green Information Networks offer the architecture, protocols, and governance framework to achieve this vision—ensuring that the information infrastructures powering future societies are both resilient and sustainable.</w:t>
      </w:r>
    </w:p>
    <w:p w14:paraId="19D08C1F" w14:textId="77777777" w:rsidR="00B45CEA" w:rsidRDefault="00000000">
      <w:pPr>
        <w:pStyle w:val="IETHeading1"/>
        <w:numPr>
          <w:ilvl w:val="0"/>
          <w:numId w:val="0"/>
        </w:numPr>
        <w:ind w:left="360"/>
        <w:jc w:val="center"/>
        <w:rPr>
          <w:rFonts w:ascii="Times New Roman" w:hAnsi="Times New Roman" w:cs="Times New Roman"/>
          <w:b w:val="0"/>
          <w:bCs w:val="0"/>
          <w:smallCaps/>
          <w:sz w:val="20"/>
          <w:szCs w:val="20"/>
          <w:lang w:val="en-US" w:eastAsia="en-US"/>
        </w:rPr>
      </w:pPr>
      <w:r>
        <w:rPr>
          <w:rFonts w:ascii="Times New Roman" w:hAnsi="Times New Roman" w:cs="Times New Roman"/>
          <w:b w:val="0"/>
          <w:bCs w:val="0"/>
          <w:smallCaps/>
          <w:sz w:val="20"/>
          <w:szCs w:val="20"/>
          <w:lang w:val="en-US" w:eastAsia="en-US"/>
        </w:rPr>
        <w:t>References</w:t>
      </w:r>
    </w:p>
    <w:p w14:paraId="709C4C56" w14:textId="77777777" w:rsidR="00B45CEA" w:rsidRDefault="00000000">
      <w:pPr>
        <w:pStyle w:val="NormalWeb"/>
        <w:numPr>
          <w:ilvl w:val="0"/>
          <w:numId w:val="7"/>
        </w:numPr>
        <w:jc w:val="both"/>
        <w:rPr>
          <w:rFonts w:eastAsia="SimSun"/>
          <w:sz w:val="16"/>
          <w:szCs w:val="16"/>
        </w:rPr>
      </w:pPr>
      <w:r>
        <w:rPr>
          <w:rFonts w:eastAsia="SimSun"/>
          <w:sz w:val="16"/>
          <w:szCs w:val="16"/>
        </w:rPr>
        <w:t>IEA, Data Centres and Data Transmission Networks – Analysis. International Energy Agency, 2021.</w:t>
      </w:r>
    </w:p>
    <w:p w14:paraId="37297F98" w14:textId="77777777" w:rsidR="00B45CEA" w:rsidRDefault="00000000">
      <w:pPr>
        <w:pStyle w:val="NormalWeb"/>
        <w:numPr>
          <w:ilvl w:val="0"/>
          <w:numId w:val="7"/>
        </w:numPr>
        <w:jc w:val="both"/>
        <w:rPr>
          <w:rFonts w:eastAsia="SimSun"/>
          <w:sz w:val="16"/>
          <w:szCs w:val="16"/>
        </w:rPr>
      </w:pPr>
      <w:r>
        <w:rPr>
          <w:rFonts w:eastAsia="SimSun"/>
          <w:sz w:val="16"/>
          <w:szCs w:val="16"/>
        </w:rPr>
        <w:t>A. Andrae and T. Edler, “On Global Electricity Usage of Communication Technology: Trends to 2030,” Challenges, vol. 6, no. 1, pp. 117–157, 2015.</w:t>
      </w:r>
    </w:p>
    <w:p w14:paraId="4E10C9E7" w14:textId="77777777" w:rsidR="00B45CEA" w:rsidRDefault="00000000">
      <w:pPr>
        <w:pStyle w:val="NormalWeb"/>
        <w:numPr>
          <w:ilvl w:val="0"/>
          <w:numId w:val="7"/>
        </w:numPr>
        <w:jc w:val="both"/>
        <w:rPr>
          <w:rFonts w:eastAsia="SimSun"/>
          <w:sz w:val="16"/>
          <w:szCs w:val="16"/>
        </w:rPr>
      </w:pPr>
      <w:r>
        <w:rPr>
          <w:rFonts w:eastAsia="SimSun"/>
          <w:sz w:val="16"/>
          <w:szCs w:val="16"/>
        </w:rPr>
        <w:t xml:space="preserve">H. Zhang, Y. Xiao, S. Bu, D. </w:t>
      </w:r>
      <w:proofErr w:type="spellStart"/>
      <w:r>
        <w:rPr>
          <w:rFonts w:eastAsia="SimSun"/>
          <w:sz w:val="16"/>
          <w:szCs w:val="16"/>
        </w:rPr>
        <w:t>Niyato</w:t>
      </w:r>
      <w:proofErr w:type="spellEnd"/>
      <w:r>
        <w:rPr>
          <w:rFonts w:eastAsia="SimSun"/>
          <w:sz w:val="16"/>
          <w:szCs w:val="16"/>
        </w:rPr>
        <w:t xml:space="preserve">, F. T. H. Y. Nguyen, and Z. Han, “Green Data </w:t>
      </w:r>
      <w:proofErr w:type="spellStart"/>
      <w:r>
        <w:rPr>
          <w:rFonts w:eastAsia="SimSun"/>
          <w:sz w:val="16"/>
          <w:szCs w:val="16"/>
        </w:rPr>
        <w:t>Centers</w:t>
      </w:r>
      <w:proofErr w:type="spellEnd"/>
      <w:r>
        <w:rPr>
          <w:rFonts w:eastAsia="SimSun"/>
          <w:sz w:val="16"/>
          <w:szCs w:val="16"/>
        </w:rPr>
        <w:t xml:space="preserve"> and Cloud Computing: A Survey,” IEEE Commun. Surveys Tuts., vol. 15, no. 1, pp. 262–295, 2013.</w:t>
      </w:r>
    </w:p>
    <w:p w14:paraId="751E7B08" w14:textId="77777777" w:rsidR="00B45CEA" w:rsidRDefault="00000000">
      <w:pPr>
        <w:pStyle w:val="NormalWeb"/>
        <w:numPr>
          <w:ilvl w:val="0"/>
          <w:numId w:val="7"/>
        </w:numPr>
        <w:jc w:val="both"/>
        <w:rPr>
          <w:rFonts w:eastAsia="SimSun"/>
          <w:sz w:val="16"/>
          <w:szCs w:val="16"/>
        </w:rPr>
      </w:pPr>
      <w:r>
        <w:rPr>
          <w:rFonts w:eastAsia="SimSun"/>
          <w:sz w:val="16"/>
          <w:szCs w:val="16"/>
        </w:rPr>
        <w:t xml:space="preserve">C. Lange, D. Kosiankowski, R. Weidmann, and A. </w:t>
      </w:r>
      <w:proofErr w:type="spellStart"/>
      <w:r>
        <w:rPr>
          <w:rFonts w:eastAsia="SimSun"/>
          <w:sz w:val="16"/>
          <w:szCs w:val="16"/>
        </w:rPr>
        <w:t>Gladisch</w:t>
      </w:r>
      <w:proofErr w:type="spellEnd"/>
      <w:r>
        <w:rPr>
          <w:rFonts w:eastAsia="SimSun"/>
          <w:sz w:val="16"/>
          <w:szCs w:val="16"/>
        </w:rPr>
        <w:t>, “Energy Consumption of Telecommunication Networks and Related Improvement Options,” IEEE J. Sel. Areas Commun., vol. 32, no. 8, pp. 1524–1532, 2014.</w:t>
      </w:r>
    </w:p>
    <w:p w14:paraId="2D62D320" w14:textId="77777777" w:rsidR="00B45CEA" w:rsidRDefault="00000000">
      <w:pPr>
        <w:pStyle w:val="NormalWeb"/>
        <w:numPr>
          <w:ilvl w:val="0"/>
          <w:numId w:val="7"/>
        </w:numPr>
        <w:jc w:val="both"/>
        <w:rPr>
          <w:rFonts w:eastAsia="SimSun"/>
          <w:sz w:val="16"/>
          <w:szCs w:val="16"/>
        </w:rPr>
      </w:pPr>
      <w:r>
        <w:rPr>
          <w:rFonts w:eastAsia="SimSun"/>
          <w:sz w:val="16"/>
          <w:szCs w:val="16"/>
        </w:rPr>
        <w:t xml:space="preserve">K. </w:t>
      </w:r>
      <w:proofErr w:type="spellStart"/>
      <w:r>
        <w:rPr>
          <w:rFonts w:eastAsia="SimSun"/>
          <w:sz w:val="16"/>
          <w:szCs w:val="16"/>
        </w:rPr>
        <w:t>Samdanis</w:t>
      </w:r>
      <w:proofErr w:type="spellEnd"/>
      <w:r>
        <w:rPr>
          <w:rFonts w:eastAsia="SimSun"/>
          <w:sz w:val="16"/>
          <w:szCs w:val="16"/>
        </w:rPr>
        <w:t>, X. Costa-Pérez, and V. Sciancalepore, “From Network Sharing to Multi-Tenancy: The 5G Network Slice Broker,” IEEE Commun. Mag., vol. 54, no. 7, pp. 32–39, Jul. 2016.</w:t>
      </w:r>
    </w:p>
    <w:p w14:paraId="434A37C9" w14:textId="77777777" w:rsidR="00B45CEA" w:rsidRDefault="00000000">
      <w:pPr>
        <w:pStyle w:val="NormalWeb"/>
        <w:numPr>
          <w:ilvl w:val="0"/>
          <w:numId w:val="7"/>
        </w:numPr>
        <w:jc w:val="both"/>
        <w:rPr>
          <w:rFonts w:eastAsia="SimSun"/>
          <w:sz w:val="16"/>
          <w:szCs w:val="16"/>
        </w:rPr>
      </w:pPr>
      <w:r>
        <w:rPr>
          <w:rFonts w:eastAsia="SimSun"/>
          <w:sz w:val="16"/>
          <w:szCs w:val="16"/>
        </w:rPr>
        <w:t xml:space="preserve">A. </w:t>
      </w:r>
      <w:proofErr w:type="spellStart"/>
      <w:r>
        <w:rPr>
          <w:rFonts w:eastAsia="SimSun"/>
          <w:sz w:val="16"/>
          <w:szCs w:val="16"/>
        </w:rPr>
        <w:t>Bianzino</w:t>
      </w:r>
      <w:proofErr w:type="spellEnd"/>
      <w:r>
        <w:rPr>
          <w:rFonts w:eastAsia="SimSun"/>
          <w:sz w:val="16"/>
          <w:szCs w:val="16"/>
        </w:rPr>
        <w:t>, C. Chaudet, D. Rossi, and J.-L. Rougier, “A Survey of Green Networking Research,” IEEE Commun. Surveys Tuts., vol. 14, no. 1, pp. 3–20, 2012.</w:t>
      </w:r>
    </w:p>
    <w:p w14:paraId="114AE699" w14:textId="77777777" w:rsidR="00B45CEA" w:rsidRDefault="00000000">
      <w:pPr>
        <w:pStyle w:val="NormalWeb"/>
        <w:numPr>
          <w:ilvl w:val="0"/>
          <w:numId w:val="7"/>
        </w:numPr>
        <w:jc w:val="both"/>
        <w:rPr>
          <w:rFonts w:eastAsia="SimSun"/>
          <w:sz w:val="16"/>
          <w:szCs w:val="16"/>
        </w:rPr>
      </w:pPr>
      <w:r>
        <w:rPr>
          <w:rFonts w:eastAsia="SimSun"/>
          <w:sz w:val="16"/>
          <w:szCs w:val="16"/>
        </w:rPr>
        <w:t xml:space="preserve">E. </w:t>
      </w:r>
      <w:proofErr w:type="spellStart"/>
      <w:r>
        <w:rPr>
          <w:rFonts w:eastAsia="SimSun"/>
          <w:sz w:val="16"/>
          <w:szCs w:val="16"/>
        </w:rPr>
        <w:t>Masanet</w:t>
      </w:r>
      <w:proofErr w:type="spellEnd"/>
      <w:r>
        <w:rPr>
          <w:rFonts w:eastAsia="SimSun"/>
          <w:sz w:val="16"/>
          <w:szCs w:val="16"/>
        </w:rPr>
        <w:t xml:space="preserve"> et al., “Recalibrating Global Data </w:t>
      </w:r>
      <w:proofErr w:type="spellStart"/>
      <w:r>
        <w:rPr>
          <w:rFonts w:eastAsia="SimSun"/>
          <w:sz w:val="16"/>
          <w:szCs w:val="16"/>
        </w:rPr>
        <w:t>Center</w:t>
      </w:r>
      <w:proofErr w:type="spellEnd"/>
      <w:r>
        <w:rPr>
          <w:rFonts w:eastAsia="SimSun"/>
          <w:sz w:val="16"/>
          <w:szCs w:val="16"/>
        </w:rPr>
        <w:t xml:space="preserve"> Energy-Use Estimates,” Science, vol. 367, no. 6481, pp. 984–986, 2020.</w:t>
      </w:r>
    </w:p>
    <w:p w14:paraId="017D477D" w14:textId="77777777" w:rsidR="00B45CEA" w:rsidRDefault="00000000">
      <w:pPr>
        <w:pStyle w:val="NormalWeb"/>
        <w:numPr>
          <w:ilvl w:val="0"/>
          <w:numId w:val="7"/>
        </w:numPr>
        <w:jc w:val="both"/>
        <w:rPr>
          <w:rFonts w:eastAsia="SimSun"/>
          <w:sz w:val="16"/>
          <w:szCs w:val="16"/>
        </w:rPr>
      </w:pPr>
      <w:r>
        <w:rPr>
          <w:rFonts w:eastAsia="SimSun"/>
          <w:sz w:val="16"/>
          <w:szCs w:val="16"/>
        </w:rPr>
        <w:t>GSMA, Mobile Industry Impact Report: Sustainable Development Goals. GSMA, 2021.</w:t>
      </w:r>
    </w:p>
    <w:p w14:paraId="3E2C39F6" w14:textId="77777777" w:rsidR="00B45CEA" w:rsidRDefault="00000000">
      <w:pPr>
        <w:pStyle w:val="NormalWeb"/>
        <w:numPr>
          <w:ilvl w:val="0"/>
          <w:numId w:val="7"/>
        </w:numPr>
        <w:jc w:val="both"/>
        <w:rPr>
          <w:rFonts w:eastAsia="SimSun"/>
          <w:sz w:val="16"/>
          <w:szCs w:val="16"/>
        </w:rPr>
      </w:pPr>
      <w:r>
        <w:rPr>
          <w:rFonts w:eastAsia="SimSun"/>
          <w:sz w:val="16"/>
          <w:szCs w:val="16"/>
        </w:rPr>
        <w:t xml:space="preserve">M. Ismail, W. Zhuang, E. </w:t>
      </w:r>
      <w:proofErr w:type="spellStart"/>
      <w:r>
        <w:rPr>
          <w:rFonts w:eastAsia="SimSun"/>
          <w:sz w:val="16"/>
          <w:szCs w:val="16"/>
        </w:rPr>
        <w:t>Serpedin</w:t>
      </w:r>
      <w:proofErr w:type="spellEnd"/>
      <w:r>
        <w:rPr>
          <w:rFonts w:eastAsia="SimSun"/>
          <w:sz w:val="16"/>
          <w:szCs w:val="16"/>
        </w:rPr>
        <w:t xml:space="preserve">, and K. </w:t>
      </w:r>
      <w:proofErr w:type="spellStart"/>
      <w:r>
        <w:rPr>
          <w:rFonts w:eastAsia="SimSun"/>
          <w:sz w:val="16"/>
          <w:szCs w:val="16"/>
        </w:rPr>
        <w:t>Qaraqe</w:t>
      </w:r>
      <w:proofErr w:type="spellEnd"/>
      <w:r>
        <w:rPr>
          <w:rFonts w:eastAsia="SimSun"/>
          <w:sz w:val="16"/>
          <w:szCs w:val="16"/>
        </w:rPr>
        <w:t>, “Green Radio Resource Management: Energy-Efficient Approaches Towards 5G Systems,” IEEE Wireless Commun., vol. 24, no. 4, pp. 134–142, 2017.</w:t>
      </w:r>
    </w:p>
    <w:p w14:paraId="41B86B02" w14:textId="77777777" w:rsidR="00B45CEA" w:rsidRDefault="00000000">
      <w:pPr>
        <w:pStyle w:val="NormalWeb"/>
        <w:numPr>
          <w:ilvl w:val="0"/>
          <w:numId w:val="7"/>
        </w:numPr>
        <w:jc w:val="both"/>
        <w:rPr>
          <w:rFonts w:eastAsia="SimSun"/>
          <w:sz w:val="16"/>
          <w:szCs w:val="16"/>
        </w:rPr>
      </w:pPr>
      <w:r>
        <w:rPr>
          <w:rFonts w:eastAsia="SimSun"/>
          <w:sz w:val="16"/>
          <w:szCs w:val="16"/>
        </w:rPr>
        <w:t>X. Dong, T. El-</w:t>
      </w:r>
      <w:proofErr w:type="spellStart"/>
      <w:r>
        <w:rPr>
          <w:rFonts w:eastAsia="SimSun"/>
          <w:sz w:val="16"/>
          <w:szCs w:val="16"/>
        </w:rPr>
        <w:t>Gorashi</w:t>
      </w:r>
      <w:proofErr w:type="spellEnd"/>
      <w:r>
        <w:rPr>
          <w:rFonts w:eastAsia="SimSun"/>
          <w:sz w:val="16"/>
          <w:szCs w:val="16"/>
        </w:rPr>
        <w:t xml:space="preserve">, and J. </w:t>
      </w:r>
      <w:proofErr w:type="spellStart"/>
      <w:r>
        <w:rPr>
          <w:rFonts w:eastAsia="SimSun"/>
          <w:sz w:val="16"/>
          <w:szCs w:val="16"/>
        </w:rPr>
        <w:t>Elmirghani</w:t>
      </w:r>
      <w:proofErr w:type="spellEnd"/>
      <w:r>
        <w:rPr>
          <w:rFonts w:eastAsia="SimSun"/>
          <w:sz w:val="16"/>
          <w:szCs w:val="16"/>
        </w:rPr>
        <w:t xml:space="preserve">, “IP over WDM Networks Employing Renewable Energy Sources,” IEEE J. </w:t>
      </w:r>
      <w:proofErr w:type="spellStart"/>
      <w:r>
        <w:rPr>
          <w:rFonts w:eastAsia="SimSun"/>
          <w:sz w:val="16"/>
          <w:szCs w:val="16"/>
        </w:rPr>
        <w:t>Lightw</w:t>
      </w:r>
      <w:proofErr w:type="spellEnd"/>
      <w:r>
        <w:rPr>
          <w:rFonts w:eastAsia="SimSun"/>
          <w:sz w:val="16"/>
          <w:szCs w:val="16"/>
        </w:rPr>
        <w:t>. Technol., vol. 29, no. 1, pp. 3–14, 2011.</w:t>
      </w:r>
    </w:p>
    <w:p w14:paraId="5AEE0C75" w14:textId="77777777" w:rsidR="00B45CEA" w:rsidRDefault="00000000">
      <w:pPr>
        <w:pStyle w:val="NormalWeb"/>
        <w:numPr>
          <w:ilvl w:val="0"/>
          <w:numId w:val="7"/>
        </w:numPr>
        <w:jc w:val="both"/>
        <w:rPr>
          <w:rFonts w:eastAsia="SimSun"/>
          <w:sz w:val="16"/>
          <w:szCs w:val="16"/>
        </w:rPr>
      </w:pPr>
      <w:r>
        <w:rPr>
          <w:rFonts w:eastAsia="SimSun"/>
          <w:sz w:val="16"/>
          <w:szCs w:val="16"/>
        </w:rPr>
        <w:t xml:space="preserve">M. K. Patterson, “The Effect of Data </w:t>
      </w:r>
      <w:proofErr w:type="spellStart"/>
      <w:r>
        <w:rPr>
          <w:rFonts w:eastAsia="SimSun"/>
          <w:sz w:val="16"/>
          <w:szCs w:val="16"/>
        </w:rPr>
        <w:t>Center</w:t>
      </w:r>
      <w:proofErr w:type="spellEnd"/>
      <w:r>
        <w:rPr>
          <w:rFonts w:eastAsia="SimSun"/>
          <w:sz w:val="16"/>
          <w:szCs w:val="16"/>
        </w:rPr>
        <w:t xml:space="preserve"> Temperature on Energy Efficiency,” in Proc. 2008 11th Intersociety Conf. Thermal and </w:t>
      </w:r>
      <w:proofErr w:type="spellStart"/>
      <w:r>
        <w:rPr>
          <w:rFonts w:eastAsia="SimSun"/>
          <w:sz w:val="16"/>
          <w:szCs w:val="16"/>
        </w:rPr>
        <w:t>Thermomech</w:t>
      </w:r>
      <w:proofErr w:type="spellEnd"/>
      <w:r>
        <w:rPr>
          <w:rFonts w:eastAsia="SimSun"/>
          <w:sz w:val="16"/>
          <w:szCs w:val="16"/>
        </w:rPr>
        <w:t>. Phenomena in Electronic Syst., 2008, pp. 1167–1174.</w:t>
      </w:r>
    </w:p>
    <w:p w14:paraId="7960D172" w14:textId="77777777" w:rsidR="00B45CEA" w:rsidRDefault="00000000">
      <w:pPr>
        <w:pStyle w:val="NormalWeb"/>
        <w:numPr>
          <w:ilvl w:val="0"/>
          <w:numId w:val="7"/>
        </w:numPr>
        <w:jc w:val="both"/>
        <w:rPr>
          <w:rFonts w:eastAsia="SimSun"/>
          <w:sz w:val="16"/>
          <w:szCs w:val="16"/>
        </w:rPr>
      </w:pPr>
      <w:r>
        <w:rPr>
          <w:rFonts w:eastAsia="SimSun"/>
          <w:sz w:val="16"/>
          <w:szCs w:val="16"/>
        </w:rPr>
        <w:t xml:space="preserve">A. Beloglazov, J. </w:t>
      </w:r>
      <w:proofErr w:type="spellStart"/>
      <w:r>
        <w:rPr>
          <w:rFonts w:eastAsia="SimSun"/>
          <w:sz w:val="16"/>
          <w:szCs w:val="16"/>
        </w:rPr>
        <w:t>Abawajy</w:t>
      </w:r>
      <w:proofErr w:type="spellEnd"/>
      <w:r>
        <w:rPr>
          <w:rFonts w:eastAsia="SimSun"/>
          <w:sz w:val="16"/>
          <w:szCs w:val="16"/>
        </w:rPr>
        <w:t xml:space="preserve">, and R. </w:t>
      </w:r>
      <w:proofErr w:type="spellStart"/>
      <w:r>
        <w:rPr>
          <w:rFonts w:eastAsia="SimSun"/>
          <w:sz w:val="16"/>
          <w:szCs w:val="16"/>
        </w:rPr>
        <w:t>Buyya</w:t>
      </w:r>
      <w:proofErr w:type="spellEnd"/>
      <w:r>
        <w:rPr>
          <w:rFonts w:eastAsia="SimSun"/>
          <w:sz w:val="16"/>
          <w:szCs w:val="16"/>
        </w:rPr>
        <w:t xml:space="preserve">, “Energy-Aware Resource Allocation Heuristics for Efficient Management of Data </w:t>
      </w:r>
      <w:proofErr w:type="spellStart"/>
      <w:r>
        <w:rPr>
          <w:rFonts w:eastAsia="SimSun"/>
          <w:sz w:val="16"/>
          <w:szCs w:val="16"/>
        </w:rPr>
        <w:t>Centers</w:t>
      </w:r>
      <w:proofErr w:type="spellEnd"/>
      <w:r>
        <w:rPr>
          <w:rFonts w:eastAsia="SimSun"/>
          <w:sz w:val="16"/>
          <w:szCs w:val="16"/>
        </w:rPr>
        <w:t xml:space="preserve"> for Cloud Computing,” Future Generation Computer Systems, vol. 28, no. 5, pp. 755–768, 2012.</w:t>
      </w:r>
    </w:p>
    <w:p w14:paraId="125006AA" w14:textId="77777777" w:rsidR="00B45CEA" w:rsidRDefault="00000000">
      <w:pPr>
        <w:pStyle w:val="NormalWeb"/>
        <w:numPr>
          <w:ilvl w:val="0"/>
          <w:numId w:val="7"/>
        </w:numPr>
        <w:jc w:val="both"/>
        <w:rPr>
          <w:rFonts w:eastAsia="SimSun"/>
          <w:sz w:val="16"/>
          <w:szCs w:val="16"/>
        </w:rPr>
      </w:pPr>
      <w:r>
        <w:rPr>
          <w:rFonts w:eastAsia="SimSun"/>
          <w:sz w:val="16"/>
          <w:szCs w:val="16"/>
        </w:rPr>
        <w:t xml:space="preserve">A. Shehabi et al., “United States Data </w:t>
      </w:r>
      <w:proofErr w:type="spellStart"/>
      <w:r>
        <w:rPr>
          <w:rFonts w:eastAsia="SimSun"/>
          <w:sz w:val="16"/>
          <w:szCs w:val="16"/>
        </w:rPr>
        <w:t>Center</w:t>
      </w:r>
      <w:proofErr w:type="spellEnd"/>
      <w:r>
        <w:rPr>
          <w:rFonts w:eastAsia="SimSun"/>
          <w:sz w:val="16"/>
          <w:szCs w:val="16"/>
        </w:rPr>
        <w:t xml:space="preserve"> Energy Usage Report,” Lawrence Berkeley National Laboratory, LBNL-1005775, 2016.</w:t>
      </w:r>
    </w:p>
    <w:p w14:paraId="231C722A" w14:textId="77777777" w:rsidR="00B45CEA" w:rsidRDefault="00000000">
      <w:pPr>
        <w:pStyle w:val="NormalWeb"/>
        <w:numPr>
          <w:ilvl w:val="0"/>
          <w:numId w:val="7"/>
        </w:numPr>
        <w:jc w:val="both"/>
        <w:rPr>
          <w:rFonts w:eastAsia="SimSun"/>
          <w:sz w:val="16"/>
          <w:szCs w:val="16"/>
        </w:rPr>
      </w:pPr>
      <w:r>
        <w:rPr>
          <w:rFonts w:eastAsia="SimSun"/>
          <w:sz w:val="16"/>
          <w:szCs w:val="16"/>
        </w:rPr>
        <w:t>Google, “Carbon-Aware Computing,” 2020. [Online]. Available: https://cloud.google.com/sustainability</w:t>
      </w:r>
    </w:p>
    <w:p w14:paraId="155476E6" w14:textId="77777777" w:rsidR="00B45CEA" w:rsidRDefault="00000000">
      <w:pPr>
        <w:pStyle w:val="NormalWeb"/>
        <w:numPr>
          <w:ilvl w:val="0"/>
          <w:numId w:val="7"/>
        </w:numPr>
        <w:jc w:val="both"/>
        <w:rPr>
          <w:rFonts w:eastAsia="SimSun"/>
          <w:sz w:val="16"/>
          <w:szCs w:val="16"/>
        </w:rPr>
      </w:pPr>
      <w:r>
        <w:rPr>
          <w:rFonts w:eastAsia="SimSun"/>
          <w:sz w:val="16"/>
          <w:szCs w:val="16"/>
        </w:rPr>
        <w:t>Microsoft, “Carbon-Aware Azure Load Balancing,” 2021. [Online]. Available: https://azure.microsoft.com/sustainability</w:t>
      </w:r>
    </w:p>
    <w:p w14:paraId="7AA074EB" w14:textId="77777777" w:rsidR="00B45CEA" w:rsidRDefault="00B45CEA">
      <w:pPr>
        <w:pStyle w:val="NormalWeb"/>
        <w:jc w:val="both"/>
        <w:rPr>
          <w:rFonts w:eastAsia="SimSun"/>
          <w:sz w:val="16"/>
          <w:szCs w:val="16"/>
        </w:rPr>
      </w:pPr>
    </w:p>
    <w:sectPr w:rsidR="00B45CEA">
      <w:footerReference w:type="default" r:id="rId15"/>
      <w:type w:val="continuous"/>
      <w:pgSz w:w="11906" w:h="16838"/>
      <w:pgMar w:top="1134" w:right="851" w:bottom="1134" w:left="851"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2D57" w14:textId="77777777" w:rsidR="00720328" w:rsidRDefault="00720328">
      <w:r>
        <w:separator/>
      </w:r>
    </w:p>
  </w:endnote>
  <w:endnote w:type="continuationSeparator" w:id="0">
    <w:p w14:paraId="7C8DB876" w14:textId="77777777" w:rsidR="00720328" w:rsidRDefault="0072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265719"/>
    </w:sdtPr>
    <w:sdtContent>
      <w:p w14:paraId="6A8CC78E" w14:textId="77777777" w:rsidR="00B45CEA" w:rsidRDefault="00000000">
        <w:pPr>
          <w:pStyle w:val="Footer"/>
          <w:jc w:val="right"/>
        </w:pPr>
        <w:r>
          <w:fldChar w:fldCharType="begin"/>
        </w:r>
        <w:r>
          <w:instrText xml:space="preserve"> PAGE   \* MERGEFORMAT </w:instrText>
        </w:r>
        <w:r>
          <w:fldChar w:fldCharType="separate"/>
        </w:r>
        <w:r>
          <w:t>1</w:t>
        </w:r>
        <w:r>
          <w:fldChar w:fldCharType="end"/>
        </w:r>
      </w:p>
    </w:sdtContent>
  </w:sdt>
  <w:p w14:paraId="35D081EE" w14:textId="77777777" w:rsidR="00B45CEA" w:rsidRDefault="00B45CEA">
    <w:pPr>
      <w:pStyle w:val="Footer"/>
      <w:tabs>
        <w:tab w:val="clear" w:pos="4513"/>
        <w:tab w:val="lef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11577"/>
    </w:sdtPr>
    <w:sdtEndPr>
      <w:rPr>
        <w:sz w:val="20"/>
      </w:rPr>
    </w:sdtEndPr>
    <w:sdtContent>
      <w:p w14:paraId="1DC9DE14" w14:textId="77777777" w:rsidR="00B45CEA" w:rsidRDefault="00000000">
        <w:pPr>
          <w:pStyle w:val="Footer"/>
          <w:jc w:val="right"/>
          <w:rPr>
            <w:sz w:val="20"/>
          </w:rP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sdtContent>
  </w:sdt>
  <w:p w14:paraId="64596BEC" w14:textId="77777777" w:rsidR="00B45CEA" w:rsidRDefault="00B45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19FC8" w14:textId="77777777" w:rsidR="00720328" w:rsidRDefault="00720328">
      <w:r>
        <w:separator/>
      </w:r>
    </w:p>
  </w:footnote>
  <w:footnote w:type="continuationSeparator" w:id="0">
    <w:p w14:paraId="01FCF0A7" w14:textId="77777777" w:rsidR="00720328" w:rsidRDefault="0072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04E39E"/>
    <w:multiLevelType w:val="singleLevel"/>
    <w:tmpl w:val="D304E39E"/>
    <w:lvl w:ilvl="0">
      <w:start w:val="1"/>
      <w:numFmt w:val="decimal"/>
      <w:lvlText w:val="[%1]"/>
      <w:lvlJc w:val="left"/>
      <w:pPr>
        <w:tabs>
          <w:tab w:val="left" w:pos="425"/>
        </w:tabs>
        <w:ind w:left="425" w:hanging="425"/>
      </w:pPr>
      <w:rPr>
        <w:rFonts w:hint="default"/>
      </w:rPr>
    </w:lvl>
  </w:abstractNum>
  <w:abstractNum w:abstractNumId="1" w15:restartNumberingAfterBreak="0">
    <w:nsid w:val="2B855861"/>
    <w:multiLevelType w:val="multilevel"/>
    <w:tmpl w:val="2B855861"/>
    <w:lvl w:ilvl="0">
      <w:start w:val="1"/>
      <w:numFmt w:val="decimal"/>
      <w:lvlText w:val="[%1]"/>
      <w:lvlJc w:val="right"/>
      <w:pPr>
        <w:tabs>
          <w:tab w:val="left" w:pos="432"/>
        </w:tabs>
        <w:ind w:left="432" w:hanging="144"/>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15:restartNumberingAfterBreak="0">
    <w:nsid w:val="3A772DC1"/>
    <w:multiLevelType w:val="multilevel"/>
    <w:tmpl w:val="3A772DC1"/>
    <w:lvl w:ilvl="0">
      <w:start w:val="1"/>
      <w:numFmt w:val="decimal"/>
      <w:pStyle w:val="IET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1EDDE3"/>
    <w:multiLevelType w:val="singleLevel"/>
    <w:tmpl w:val="4C1EDDE3"/>
    <w:lvl w:ilvl="0">
      <w:start w:val="1"/>
      <w:numFmt w:val="upperRoman"/>
      <w:lvlText w:val="%1."/>
      <w:lvlJc w:val="left"/>
      <w:pPr>
        <w:tabs>
          <w:tab w:val="left" w:pos="425"/>
        </w:tabs>
        <w:ind w:left="425" w:hanging="425"/>
      </w:pPr>
      <w:rPr>
        <w:rFonts w:hint="default"/>
      </w:rPr>
    </w:lvl>
  </w:abstractNum>
  <w:abstractNum w:abstractNumId="4" w15:restartNumberingAfterBreak="0">
    <w:nsid w:val="59056717"/>
    <w:multiLevelType w:val="multilevel"/>
    <w:tmpl w:val="4E88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7" w15:restartNumberingAfterBreak="0">
    <w:nsid w:val="7FD73CCA"/>
    <w:multiLevelType w:val="multilevel"/>
    <w:tmpl w:val="7FD73CCA"/>
    <w:lvl w:ilvl="0">
      <w:start w:val="1"/>
      <w:numFmt w:val="decimal"/>
      <w:pStyle w:val="IET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8229291">
    <w:abstractNumId w:val="1"/>
  </w:num>
  <w:num w:numId="2" w16cid:durableId="1328097987">
    <w:abstractNumId w:val="7"/>
  </w:num>
  <w:num w:numId="3" w16cid:durableId="741295153">
    <w:abstractNumId w:val="2"/>
  </w:num>
  <w:num w:numId="4" w16cid:durableId="1057781783">
    <w:abstractNumId w:val="5"/>
  </w:num>
  <w:num w:numId="5" w16cid:durableId="1283612927">
    <w:abstractNumId w:val="6"/>
  </w:num>
  <w:num w:numId="6" w16cid:durableId="1697734853">
    <w:abstractNumId w:val="3"/>
  </w:num>
  <w:num w:numId="7" w16cid:durableId="1424187914">
    <w:abstractNumId w:val="0"/>
  </w:num>
  <w:num w:numId="8" w16cid:durableId="882253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footnotePr>
    <w:footnote w:id="-1"/>
    <w:footnote w:id="0"/>
  </w:footnotePr>
  <w:endnotePr>
    <w:endnote w:id="-1"/>
    <w:endnote w:id="0"/>
  </w:endnotePr>
  <w:compat>
    <w:doNotExpandShiftReturn/>
    <w:applyBreakingRu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4D095A"/>
    <w:rsid w:val="000002E1"/>
    <w:rsid w:val="00014653"/>
    <w:rsid w:val="00017719"/>
    <w:rsid w:val="00027F1D"/>
    <w:rsid w:val="00031298"/>
    <w:rsid w:val="0003296C"/>
    <w:rsid w:val="00054421"/>
    <w:rsid w:val="00055B35"/>
    <w:rsid w:val="00055E27"/>
    <w:rsid w:val="0006228E"/>
    <w:rsid w:val="00062E46"/>
    <w:rsid w:val="00074AC8"/>
    <w:rsid w:val="00081408"/>
    <w:rsid w:val="00081EBE"/>
    <w:rsid w:val="00082EC9"/>
    <w:rsid w:val="00086EDC"/>
    <w:rsid w:val="000B36A3"/>
    <w:rsid w:val="000B58D0"/>
    <w:rsid w:val="000C013C"/>
    <w:rsid w:val="000C7AEE"/>
    <w:rsid w:val="000E3F84"/>
    <w:rsid w:val="000F534A"/>
    <w:rsid w:val="001016A1"/>
    <w:rsid w:val="001056DF"/>
    <w:rsid w:val="00114025"/>
    <w:rsid w:val="001160D2"/>
    <w:rsid w:val="001348A5"/>
    <w:rsid w:val="00141C83"/>
    <w:rsid w:val="00151B8E"/>
    <w:rsid w:val="001928FB"/>
    <w:rsid w:val="00192A6D"/>
    <w:rsid w:val="00192BC7"/>
    <w:rsid w:val="001A50EA"/>
    <w:rsid w:val="001B4E92"/>
    <w:rsid w:val="001B765C"/>
    <w:rsid w:val="001C205F"/>
    <w:rsid w:val="001D7603"/>
    <w:rsid w:val="001E01C0"/>
    <w:rsid w:val="001F16CD"/>
    <w:rsid w:val="001F47D2"/>
    <w:rsid w:val="0022285A"/>
    <w:rsid w:val="00224C61"/>
    <w:rsid w:val="00234674"/>
    <w:rsid w:val="00237698"/>
    <w:rsid w:val="0025109E"/>
    <w:rsid w:val="0027227B"/>
    <w:rsid w:val="00273AC7"/>
    <w:rsid w:val="00273BF8"/>
    <w:rsid w:val="00273D2C"/>
    <w:rsid w:val="00285ECD"/>
    <w:rsid w:val="00290E1B"/>
    <w:rsid w:val="00291B17"/>
    <w:rsid w:val="002A6742"/>
    <w:rsid w:val="002B317F"/>
    <w:rsid w:val="002C1A7F"/>
    <w:rsid w:val="002C4239"/>
    <w:rsid w:val="002C559D"/>
    <w:rsid w:val="002D2D42"/>
    <w:rsid w:val="002F2023"/>
    <w:rsid w:val="002F72D0"/>
    <w:rsid w:val="003003AB"/>
    <w:rsid w:val="00311C49"/>
    <w:rsid w:val="0031381D"/>
    <w:rsid w:val="00316F83"/>
    <w:rsid w:val="0032119E"/>
    <w:rsid w:val="00321304"/>
    <w:rsid w:val="00331F84"/>
    <w:rsid w:val="00345BD9"/>
    <w:rsid w:val="00384437"/>
    <w:rsid w:val="003950A4"/>
    <w:rsid w:val="003E3577"/>
    <w:rsid w:val="003F17AF"/>
    <w:rsid w:val="003F3A61"/>
    <w:rsid w:val="00410A5D"/>
    <w:rsid w:val="004122B4"/>
    <w:rsid w:val="00412880"/>
    <w:rsid w:val="00414909"/>
    <w:rsid w:val="00424E45"/>
    <w:rsid w:val="00425A6A"/>
    <w:rsid w:val="004267D5"/>
    <w:rsid w:val="00426FBB"/>
    <w:rsid w:val="00441DB7"/>
    <w:rsid w:val="0045321A"/>
    <w:rsid w:val="00464B01"/>
    <w:rsid w:val="00465AEB"/>
    <w:rsid w:val="0047429A"/>
    <w:rsid w:val="0048374C"/>
    <w:rsid w:val="0048771D"/>
    <w:rsid w:val="004A096A"/>
    <w:rsid w:val="004A6605"/>
    <w:rsid w:val="004A7494"/>
    <w:rsid w:val="004B090D"/>
    <w:rsid w:val="004B1FC0"/>
    <w:rsid w:val="004C2868"/>
    <w:rsid w:val="004C33C0"/>
    <w:rsid w:val="004C45FA"/>
    <w:rsid w:val="004D21B3"/>
    <w:rsid w:val="004E1BD8"/>
    <w:rsid w:val="004E452A"/>
    <w:rsid w:val="004E78E3"/>
    <w:rsid w:val="005004BF"/>
    <w:rsid w:val="00502E89"/>
    <w:rsid w:val="00510E95"/>
    <w:rsid w:val="00513751"/>
    <w:rsid w:val="0052014B"/>
    <w:rsid w:val="00527D56"/>
    <w:rsid w:val="0053221F"/>
    <w:rsid w:val="00536FAE"/>
    <w:rsid w:val="00542C85"/>
    <w:rsid w:val="00553510"/>
    <w:rsid w:val="00553689"/>
    <w:rsid w:val="00554186"/>
    <w:rsid w:val="005550A1"/>
    <w:rsid w:val="00560906"/>
    <w:rsid w:val="00562E55"/>
    <w:rsid w:val="00564560"/>
    <w:rsid w:val="00566558"/>
    <w:rsid w:val="00585769"/>
    <w:rsid w:val="00591130"/>
    <w:rsid w:val="00591627"/>
    <w:rsid w:val="005A3F28"/>
    <w:rsid w:val="005A40BE"/>
    <w:rsid w:val="005B13E2"/>
    <w:rsid w:val="005B47D7"/>
    <w:rsid w:val="005B7A07"/>
    <w:rsid w:val="005C40BE"/>
    <w:rsid w:val="005C5526"/>
    <w:rsid w:val="005C62C6"/>
    <w:rsid w:val="005C79D2"/>
    <w:rsid w:val="005D3BCF"/>
    <w:rsid w:val="005D7B9E"/>
    <w:rsid w:val="005F0834"/>
    <w:rsid w:val="005F283D"/>
    <w:rsid w:val="005F31F4"/>
    <w:rsid w:val="005F6DC3"/>
    <w:rsid w:val="00601A8E"/>
    <w:rsid w:val="006067BA"/>
    <w:rsid w:val="0062033E"/>
    <w:rsid w:val="00624482"/>
    <w:rsid w:val="0064799C"/>
    <w:rsid w:val="0065120C"/>
    <w:rsid w:val="00654156"/>
    <w:rsid w:val="0066346B"/>
    <w:rsid w:val="00684475"/>
    <w:rsid w:val="006B47CA"/>
    <w:rsid w:val="006C7AAA"/>
    <w:rsid w:val="006D1C2A"/>
    <w:rsid w:val="006D264F"/>
    <w:rsid w:val="006D510A"/>
    <w:rsid w:val="006E2A8D"/>
    <w:rsid w:val="006E7574"/>
    <w:rsid w:val="006F4EFC"/>
    <w:rsid w:val="00703430"/>
    <w:rsid w:val="007069BE"/>
    <w:rsid w:val="0071790D"/>
    <w:rsid w:val="00720328"/>
    <w:rsid w:val="00745C86"/>
    <w:rsid w:val="00761E7D"/>
    <w:rsid w:val="00764603"/>
    <w:rsid w:val="0076604D"/>
    <w:rsid w:val="007752E7"/>
    <w:rsid w:val="007764C2"/>
    <w:rsid w:val="00790909"/>
    <w:rsid w:val="007B5A07"/>
    <w:rsid w:val="007C3557"/>
    <w:rsid w:val="007D3E71"/>
    <w:rsid w:val="007E22C3"/>
    <w:rsid w:val="007E5571"/>
    <w:rsid w:val="007E5D6A"/>
    <w:rsid w:val="007E645D"/>
    <w:rsid w:val="007F117A"/>
    <w:rsid w:val="007F4CB4"/>
    <w:rsid w:val="007F75CA"/>
    <w:rsid w:val="0080281D"/>
    <w:rsid w:val="00821E08"/>
    <w:rsid w:val="00834EFD"/>
    <w:rsid w:val="0084199D"/>
    <w:rsid w:val="00843C58"/>
    <w:rsid w:val="00844B24"/>
    <w:rsid w:val="0084515F"/>
    <w:rsid w:val="0085092D"/>
    <w:rsid w:val="00860A77"/>
    <w:rsid w:val="008651AC"/>
    <w:rsid w:val="00877D4C"/>
    <w:rsid w:val="0088740E"/>
    <w:rsid w:val="0089763B"/>
    <w:rsid w:val="008B023F"/>
    <w:rsid w:val="008B2B41"/>
    <w:rsid w:val="008B6AE3"/>
    <w:rsid w:val="008D1045"/>
    <w:rsid w:val="008E4622"/>
    <w:rsid w:val="008E5996"/>
    <w:rsid w:val="00901AE1"/>
    <w:rsid w:val="00904ACB"/>
    <w:rsid w:val="009205B4"/>
    <w:rsid w:val="00933818"/>
    <w:rsid w:val="00955B59"/>
    <w:rsid w:val="00981F68"/>
    <w:rsid w:val="009871DD"/>
    <w:rsid w:val="00992262"/>
    <w:rsid w:val="009926BC"/>
    <w:rsid w:val="00996099"/>
    <w:rsid w:val="009A3D65"/>
    <w:rsid w:val="009A4319"/>
    <w:rsid w:val="009A6C3F"/>
    <w:rsid w:val="009B30BA"/>
    <w:rsid w:val="009B73F2"/>
    <w:rsid w:val="009C12BD"/>
    <w:rsid w:val="009C50FE"/>
    <w:rsid w:val="009C6D40"/>
    <w:rsid w:val="009C7DC3"/>
    <w:rsid w:val="009D0593"/>
    <w:rsid w:val="009D71A4"/>
    <w:rsid w:val="009E386B"/>
    <w:rsid w:val="009F290E"/>
    <w:rsid w:val="00A03E75"/>
    <w:rsid w:val="00A114E3"/>
    <w:rsid w:val="00A11EAF"/>
    <w:rsid w:val="00A425B2"/>
    <w:rsid w:val="00A45FCE"/>
    <w:rsid w:val="00A65884"/>
    <w:rsid w:val="00A75671"/>
    <w:rsid w:val="00A773CC"/>
    <w:rsid w:val="00A9318B"/>
    <w:rsid w:val="00A94AC1"/>
    <w:rsid w:val="00AA1878"/>
    <w:rsid w:val="00AA219B"/>
    <w:rsid w:val="00AB18B7"/>
    <w:rsid w:val="00AC0288"/>
    <w:rsid w:val="00AC34A1"/>
    <w:rsid w:val="00AD335D"/>
    <w:rsid w:val="00AF7534"/>
    <w:rsid w:val="00AF792B"/>
    <w:rsid w:val="00B244F5"/>
    <w:rsid w:val="00B26C26"/>
    <w:rsid w:val="00B271C0"/>
    <w:rsid w:val="00B35B2C"/>
    <w:rsid w:val="00B44CA7"/>
    <w:rsid w:val="00B45CEA"/>
    <w:rsid w:val="00B55D5E"/>
    <w:rsid w:val="00B64255"/>
    <w:rsid w:val="00B9261D"/>
    <w:rsid w:val="00B94516"/>
    <w:rsid w:val="00BB2855"/>
    <w:rsid w:val="00BC2EDB"/>
    <w:rsid w:val="00BC5F6F"/>
    <w:rsid w:val="00BD19C1"/>
    <w:rsid w:val="00BD25B8"/>
    <w:rsid w:val="00BE18D9"/>
    <w:rsid w:val="00BE373D"/>
    <w:rsid w:val="00BE3E06"/>
    <w:rsid w:val="00C012E1"/>
    <w:rsid w:val="00C06BB4"/>
    <w:rsid w:val="00C10B80"/>
    <w:rsid w:val="00C10D20"/>
    <w:rsid w:val="00C12E0C"/>
    <w:rsid w:val="00C21916"/>
    <w:rsid w:val="00C41DDE"/>
    <w:rsid w:val="00C457CA"/>
    <w:rsid w:val="00C46E39"/>
    <w:rsid w:val="00C5237C"/>
    <w:rsid w:val="00C57FB7"/>
    <w:rsid w:val="00C658C8"/>
    <w:rsid w:val="00C65F3F"/>
    <w:rsid w:val="00C72414"/>
    <w:rsid w:val="00C80F80"/>
    <w:rsid w:val="00C8667B"/>
    <w:rsid w:val="00C9695F"/>
    <w:rsid w:val="00CA4CE3"/>
    <w:rsid w:val="00CB0F54"/>
    <w:rsid w:val="00CB116D"/>
    <w:rsid w:val="00CC5673"/>
    <w:rsid w:val="00CD19A9"/>
    <w:rsid w:val="00CD4F3F"/>
    <w:rsid w:val="00CD6FCB"/>
    <w:rsid w:val="00D01E44"/>
    <w:rsid w:val="00D1124B"/>
    <w:rsid w:val="00D2572E"/>
    <w:rsid w:val="00D311F8"/>
    <w:rsid w:val="00D36B52"/>
    <w:rsid w:val="00D377C8"/>
    <w:rsid w:val="00D41274"/>
    <w:rsid w:val="00D43326"/>
    <w:rsid w:val="00D43BF3"/>
    <w:rsid w:val="00D50F39"/>
    <w:rsid w:val="00D767BB"/>
    <w:rsid w:val="00D77B20"/>
    <w:rsid w:val="00D939B0"/>
    <w:rsid w:val="00D961F2"/>
    <w:rsid w:val="00DB16E0"/>
    <w:rsid w:val="00DB25D3"/>
    <w:rsid w:val="00DB2DF9"/>
    <w:rsid w:val="00DB7E63"/>
    <w:rsid w:val="00DC2055"/>
    <w:rsid w:val="00DC2AE2"/>
    <w:rsid w:val="00DC54C8"/>
    <w:rsid w:val="00DD71E8"/>
    <w:rsid w:val="00DD7F83"/>
    <w:rsid w:val="00DE29E1"/>
    <w:rsid w:val="00DF7EA1"/>
    <w:rsid w:val="00E0641E"/>
    <w:rsid w:val="00E06664"/>
    <w:rsid w:val="00E304BC"/>
    <w:rsid w:val="00E32853"/>
    <w:rsid w:val="00E4017B"/>
    <w:rsid w:val="00E401F8"/>
    <w:rsid w:val="00E46425"/>
    <w:rsid w:val="00E47D0E"/>
    <w:rsid w:val="00E53658"/>
    <w:rsid w:val="00E65018"/>
    <w:rsid w:val="00E7535B"/>
    <w:rsid w:val="00E80253"/>
    <w:rsid w:val="00E867C4"/>
    <w:rsid w:val="00E94339"/>
    <w:rsid w:val="00E97563"/>
    <w:rsid w:val="00EB0B63"/>
    <w:rsid w:val="00EC265C"/>
    <w:rsid w:val="00EC661C"/>
    <w:rsid w:val="00ED61CB"/>
    <w:rsid w:val="00EE1AC4"/>
    <w:rsid w:val="00F00781"/>
    <w:rsid w:val="00F04AB3"/>
    <w:rsid w:val="00F06A72"/>
    <w:rsid w:val="00F114B5"/>
    <w:rsid w:val="00F12E79"/>
    <w:rsid w:val="00F136F0"/>
    <w:rsid w:val="00F20BBB"/>
    <w:rsid w:val="00F43BD8"/>
    <w:rsid w:val="00F55AAA"/>
    <w:rsid w:val="00F562F3"/>
    <w:rsid w:val="00F74B89"/>
    <w:rsid w:val="00F75133"/>
    <w:rsid w:val="00FA3899"/>
    <w:rsid w:val="00FA4909"/>
    <w:rsid w:val="00FA6751"/>
    <w:rsid w:val="00FB1048"/>
    <w:rsid w:val="00FB62C4"/>
    <w:rsid w:val="00FB7701"/>
    <w:rsid w:val="00FD1AC5"/>
    <w:rsid w:val="00FD433B"/>
    <w:rsid w:val="00FD5CF0"/>
    <w:rsid w:val="00FD5D37"/>
    <w:rsid w:val="00FE5175"/>
    <w:rsid w:val="02DC09DE"/>
    <w:rsid w:val="0555015B"/>
    <w:rsid w:val="07651DD8"/>
    <w:rsid w:val="08220261"/>
    <w:rsid w:val="09170CDF"/>
    <w:rsid w:val="09814EB9"/>
    <w:rsid w:val="0B1C1D90"/>
    <w:rsid w:val="0C09094D"/>
    <w:rsid w:val="0F8D01A2"/>
    <w:rsid w:val="12F9372E"/>
    <w:rsid w:val="145D088A"/>
    <w:rsid w:val="146E2363"/>
    <w:rsid w:val="150B2214"/>
    <w:rsid w:val="150F60AF"/>
    <w:rsid w:val="16A51CE3"/>
    <w:rsid w:val="17084259"/>
    <w:rsid w:val="193844ED"/>
    <w:rsid w:val="19C47954"/>
    <w:rsid w:val="19F426A2"/>
    <w:rsid w:val="1AFC7ED2"/>
    <w:rsid w:val="1C016EFF"/>
    <w:rsid w:val="1D355362"/>
    <w:rsid w:val="1D6F0E7A"/>
    <w:rsid w:val="1D8A085A"/>
    <w:rsid w:val="1F4D095A"/>
    <w:rsid w:val="20043A51"/>
    <w:rsid w:val="238055B9"/>
    <w:rsid w:val="23827050"/>
    <w:rsid w:val="23DD2BE2"/>
    <w:rsid w:val="260512EE"/>
    <w:rsid w:val="264230B2"/>
    <w:rsid w:val="27546D83"/>
    <w:rsid w:val="27567AF0"/>
    <w:rsid w:val="278D2658"/>
    <w:rsid w:val="284F2098"/>
    <w:rsid w:val="2C4E043E"/>
    <w:rsid w:val="2C740A70"/>
    <w:rsid w:val="2DAA0440"/>
    <w:rsid w:val="2F4E6789"/>
    <w:rsid w:val="325663DE"/>
    <w:rsid w:val="35937D93"/>
    <w:rsid w:val="35956BF6"/>
    <w:rsid w:val="364B2EA2"/>
    <w:rsid w:val="3C86525B"/>
    <w:rsid w:val="3D5549F6"/>
    <w:rsid w:val="3E384444"/>
    <w:rsid w:val="3E77219D"/>
    <w:rsid w:val="3F0619DF"/>
    <w:rsid w:val="3F992075"/>
    <w:rsid w:val="4021514C"/>
    <w:rsid w:val="40674EB6"/>
    <w:rsid w:val="4193481C"/>
    <w:rsid w:val="42BF2D12"/>
    <w:rsid w:val="436A0778"/>
    <w:rsid w:val="44CA2EEC"/>
    <w:rsid w:val="45D56A28"/>
    <w:rsid w:val="45F0744B"/>
    <w:rsid w:val="46027B5A"/>
    <w:rsid w:val="46BD331C"/>
    <w:rsid w:val="47DF2FF1"/>
    <w:rsid w:val="48AD5549"/>
    <w:rsid w:val="48D250C5"/>
    <w:rsid w:val="49B32E4B"/>
    <w:rsid w:val="49D33B00"/>
    <w:rsid w:val="4A2F4EC1"/>
    <w:rsid w:val="4B090B01"/>
    <w:rsid w:val="4CCA14E2"/>
    <w:rsid w:val="4D0D7ED3"/>
    <w:rsid w:val="4DE6755C"/>
    <w:rsid w:val="4E8E635F"/>
    <w:rsid w:val="4EA71B98"/>
    <w:rsid w:val="4F33177C"/>
    <w:rsid w:val="4FC04863"/>
    <w:rsid w:val="5399160C"/>
    <w:rsid w:val="55CC45C9"/>
    <w:rsid w:val="563B5487"/>
    <w:rsid w:val="58051478"/>
    <w:rsid w:val="58776FB0"/>
    <w:rsid w:val="59103CAB"/>
    <w:rsid w:val="59687BBD"/>
    <w:rsid w:val="5AC16EF5"/>
    <w:rsid w:val="5D1511BD"/>
    <w:rsid w:val="5D4133FD"/>
    <w:rsid w:val="5E2733FB"/>
    <w:rsid w:val="5F942C6F"/>
    <w:rsid w:val="5FB92B44"/>
    <w:rsid w:val="60613BBF"/>
    <w:rsid w:val="628D293E"/>
    <w:rsid w:val="6321792E"/>
    <w:rsid w:val="639E73EC"/>
    <w:rsid w:val="649B242B"/>
    <w:rsid w:val="658230F9"/>
    <w:rsid w:val="66B8294F"/>
    <w:rsid w:val="6B1203F6"/>
    <w:rsid w:val="6C7F158F"/>
    <w:rsid w:val="6D684E1C"/>
    <w:rsid w:val="6E7920C4"/>
    <w:rsid w:val="6E801A40"/>
    <w:rsid w:val="6F015DAB"/>
    <w:rsid w:val="700C0782"/>
    <w:rsid w:val="728978F6"/>
    <w:rsid w:val="72B729C4"/>
    <w:rsid w:val="72D4527C"/>
    <w:rsid w:val="733A771A"/>
    <w:rsid w:val="74707796"/>
    <w:rsid w:val="758208D8"/>
    <w:rsid w:val="785872E1"/>
    <w:rsid w:val="79741E48"/>
    <w:rsid w:val="7B2B7911"/>
    <w:rsid w:val="7B9F58E0"/>
    <w:rsid w:val="7CA464E9"/>
    <w:rsid w:val="7E017648"/>
    <w:rsid w:val="7FC32F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19247"/>
  <w15:docId w15:val="{4098D31E-A9AC-422C-91CE-5E7842B9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qFormat="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qFormat="1"/>
    <w:lsdException w:name="Table Theme" w:locked="1"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pPr>
      <w:spacing w:after="120" w:line="228" w:lineRule="auto"/>
      <w:ind w:firstLine="288"/>
      <w:jc w:val="both"/>
    </w:pPr>
    <w:rPr>
      <w:spacing w:val="-1"/>
      <w:lang w:val="zh-CN"/>
    </w:rPr>
  </w:style>
  <w:style w:type="paragraph" w:styleId="Caption">
    <w:name w:val="caption"/>
    <w:basedOn w:val="Normal"/>
    <w:next w:val="Normal"/>
    <w:qFormat/>
    <w:pPr>
      <w:spacing w:before="120" w:after="120"/>
    </w:pPr>
    <w:rPr>
      <w:b/>
      <w:bCs/>
      <w:sz w:val="20"/>
      <w:szCs w:val="20"/>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qFormat/>
    <w:pPr>
      <w:tabs>
        <w:tab w:val="center" w:pos="4513"/>
        <w:tab w:val="right" w:pos="9026"/>
      </w:tabs>
    </w:pPr>
  </w:style>
  <w:style w:type="character" w:styleId="Hyperlink">
    <w:name w:val="Hyperlink"/>
    <w:basedOn w:val="DefaultParagraphFont"/>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NormalIndent">
    <w:name w:val="Normal Indent"/>
    <w:basedOn w:val="Normal"/>
    <w:qFormat/>
    <w:pPr>
      <w:ind w:left="720"/>
    </w:pPr>
  </w:style>
  <w:style w:type="character" w:styleId="Strong">
    <w:name w:val="Strong"/>
    <w:basedOn w:val="DefaultParagraphFont"/>
    <w:uiPriority w:val="22"/>
    <w:qFormat/>
    <w:rPr>
      <w:b/>
      <w:bCs/>
    </w:rPr>
  </w:style>
  <w:style w:type="table" w:styleId="TableGrid">
    <w:name w:val="Table Grid"/>
    <w:basedOn w:val="TableNormal"/>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lock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IETPaperTitle">
    <w:name w:val="IET Paper Title"/>
    <w:basedOn w:val="Header"/>
    <w:qFormat/>
    <w:locked/>
    <w:rPr>
      <w:b/>
      <w:sz w:val="28"/>
    </w:rPr>
  </w:style>
  <w:style w:type="paragraph" w:customStyle="1" w:styleId="IETHeading1">
    <w:name w:val="IET Heading 1"/>
    <w:basedOn w:val="Heading2"/>
    <w:qFormat/>
    <w:locked/>
    <w:pPr>
      <w:numPr>
        <w:numId w:val="2"/>
      </w:numPr>
    </w:pPr>
    <w:rPr>
      <w:i w:val="0"/>
      <w:sz w:val="24"/>
    </w:rPr>
  </w:style>
  <w:style w:type="character" w:customStyle="1" w:styleId="HeaderChar">
    <w:name w:val="Header Char"/>
    <w:basedOn w:val="DefaultParagraphFont"/>
    <w:link w:val="Header"/>
    <w:qFormat/>
    <w:rPr>
      <w:sz w:val="24"/>
      <w:szCs w:val="24"/>
      <w:lang w:val="en-AU" w:eastAsia="zh-CN"/>
    </w:rPr>
  </w:style>
  <w:style w:type="paragraph" w:customStyle="1" w:styleId="IETAbstractText">
    <w:name w:val="IET Abstract Text"/>
    <w:basedOn w:val="Normal"/>
    <w:next w:val="Normal"/>
    <w:qFormat/>
    <w:locked/>
    <w:rPr>
      <w:b/>
    </w:rPr>
  </w:style>
  <w:style w:type="paragraph" w:customStyle="1" w:styleId="Style1">
    <w:name w:val="Style1"/>
    <w:basedOn w:val="Normal"/>
    <w:next w:val="NormalIndent"/>
    <w:qFormat/>
    <w:locked/>
  </w:style>
  <w:style w:type="paragraph" w:customStyle="1" w:styleId="IETParagraph">
    <w:name w:val="IET Paragraph"/>
    <w:basedOn w:val="Normal"/>
    <w:qFormat/>
    <w:locked/>
    <w:pPr>
      <w:spacing w:line="360" w:lineRule="auto"/>
      <w:ind w:firstLine="567"/>
      <w:jc w:val="both"/>
    </w:pPr>
  </w:style>
  <w:style w:type="paragraph" w:customStyle="1" w:styleId="IETHeading2">
    <w:name w:val="IET Heading 2"/>
    <w:basedOn w:val="Normal"/>
    <w:qFormat/>
    <w:locked/>
    <w:pPr>
      <w:numPr>
        <w:numId w:val="3"/>
      </w:numPr>
      <w:ind w:left="1080"/>
    </w:pPr>
    <w:rPr>
      <w:rFonts w:ascii="Arial" w:hAnsi="Arial"/>
      <w:i/>
      <w:sz w:val="22"/>
    </w:rPr>
  </w:style>
  <w:style w:type="paragraph" w:customStyle="1" w:styleId="FigureCaption0">
    <w:name w:val="Figure Caption"/>
    <w:basedOn w:val="Normal"/>
    <w:qFormat/>
    <w:rPr>
      <w:b/>
      <w:i/>
    </w:rPr>
  </w:style>
  <w:style w:type="paragraph" w:customStyle="1" w:styleId="IETFigureCaption">
    <w:name w:val="IET Figure Caption"/>
    <w:basedOn w:val="FigureCaption0"/>
    <w:qFormat/>
    <w:locked/>
    <w:rPr>
      <w:b w:val="0"/>
      <w:iCs/>
      <w:sz w:val="20"/>
    </w:rPr>
  </w:style>
  <w:style w:type="paragraph" w:customStyle="1" w:styleId="TableHeading">
    <w:name w:val="Table Heading"/>
    <w:basedOn w:val="IETParagraph"/>
    <w:next w:val="Normal"/>
    <w:qFormat/>
    <w:locked/>
    <w:pPr>
      <w:spacing w:line="240" w:lineRule="auto"/>
      <w:ind w:firstLine="0"/>
    </w:pPr>
    <w:rPr>
      <w:sz w:val="20"/>
      <w:lang w:val="en-GB"/>
    </w:rPr>
  </w:style>
  <w:style w:type="character" w:customStyle="1" w:styleId="apple-converted-space">
    <w:name w:val="apple-converted-space"/>
    <w:basedOn w:val="DefaultParagraphFont"/>
    <w:qFormat/>
    <w:locked/>
  </w:style>
  <w:style w:type="paragraph" w:customStyle="1" w:styleId="IETReferences">
    <w:name w:val="IET References"/>
    <w:basedOn w:val="IETParagraph"/>
    <w:qFormat/>
    <w:locked/>
    <w:pPr>
      <w:spacing w:line="240" w:lineRule="auto"/>
      <w:ind w:firstLine="0"/>
      <w:jc w:val="left"/>
    </w:pPr>
    <w:rPr>
      <w:sz w:val="22"/>
      <w:lang w:val="en-GB" w:eastAsia="en-GB"/>
    </w:rPr>
  </w:style>
  <w:style w:type="character" w:customStyle="1" w:styleId="BalloonTextChar">
    <w:name w:val="Balloon Text Char"/>
    <w:basedOn w:val="DefaultParagraphFont"/>
    <w:link w:val="BalloonText"/>
    <w:qFormat/>
    <w:rPr>
      <w:rFonts w:ascii="Tahoma" w:hAnsi="Tahoma" w:cs="Tahoma"/>
      <w:sz w:val="16"/>
      <w:szCs w:val="16"/>
      <w:lang w:val="en-AU" w:eastAsia="zh-CN"/>
    </w:rPr>
  </w:style>
  <w:style w:type="character" w:customStyle="1" w:styleId="Heading1Char">
    <w:name w:val="Heading 1 Char"/>
    <w:basedOn w:val="DefaultParagraphFont"/>
    <w:link w:val="Heading1"/>
    <w:uiPriority w:val="9"/>
    <w:qFormat/>
    <w:rPr>
      <w:rFonts w:ascii="Arial" w:hAnsi="Arial" w:cs="Arial"/>
      <w:b/>
      <w:bCs/>
      <w:kern w:val="32"/>
      <w:sz w:val="32"/>
      <w:szCs w:val="32"/>
      <w:lang w:val="en-AU" w:eastAsia="zh-CN"/>
    </w:rPr>
  </w:style>
  <w:style w:type="paragraph" w:customStyle="1" w:styleId="Bibliography1">
    <w:name w:val="Bibliography1"/>
    <w:basedOn w:val="Normal"/>
    <w:next w:val="Normal"/>
    <w:uiPriority w:val="37"/>
    <w:unhideWhenUsed/>
    <w:qFormat/>
  </w:style>
  <w:style w:type="character" w:customStyle="1" w:styleId="CommentTextChar">
    <w:name w:val="Comment Text Char"/>
    <w:basedOn w:val="DefaultParagraphFont"/>
    <w:link w:val="CommentText"/>
    <w:qFormat/>
    <w:rPr>
      <w:lang w:val="en-AU" w:eastAsia="zh-CN"/>
    </w:rPr>
  </w:style>
  <w:style w:type="character" w:customStyle="1" w:styleId="CommentSubjectChar">
    <w:name w:val="Comment Subject Char"/>
    <w:basedOn w:val="CommentTextChar"/>
    <w:link w:val="CommentSubject"/>
    <w:qFormat/>
    <w:rPr>
      <w:b/>
      <w:bCs/>
      <w:lang w:val="en-AU" w:eastAsia="zh-CN"/>
    </w:rPr>
  </w:style>
  <w:style w:type="character" w:customStyle="1" w:styleId="FooterChar">
    <w:name w:val="Footer Char"/>
    <w:basedOn w:val="DefaultParagraphFont"/>
    <w:link w:val="Footer"/>
    <w:uiPriority w:val="99"/>
    <w:qFormat/>
    <w:rPr>
      <w:sz w:val="24"/>
      <w:szCs w:val="24"/>
      <w:lang w:val="en-AU" w:eastAsia="zh-CN"/>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papertitle">
    <w:name w:val="paper title"/>
    <w:qFormat/>
    <w:pPr>
      <w:spacing w:after="120"/>
      <w:jc w:val="center"/>
    </w:pPr>
    <w:rPr>
      <w:rFonts w:eastAsia="MS Mincho"/>
      <w:sz w:val="48"/>
      <w:szCs w:val="48"/>
      <w:lang w:eastAsia="en-US"/>
    </w:rPr>
  </w:style>
  <w:style w:type="paragraph" w:customStyle="1" w:styleId="Author">
    <w:name w:val="Author"/>
    <w:qFormat/>
    <w:pPr>
      <w:spacing w:before="360" w:after="40"/>
      <w:jc w:val="center"/>
    </w:pPr>
    <w:rPr>
      <w:sz w:val="22"/>
      <w:szCs w:val="22"/>
      <w:lang w:eastAsia="en-US"/>
    </w:rPr>
  </w:style>
  <w:style w:type="paragraph" w:customStyle="1" w:styleId="Abstract">
    <w:name w:val="Abstract"/>
    <w:qFormat/>
    <w:pPr>
      <w:spacing w:after="200"/>
      <w:ind w:firstLine="272"/>
      <w:jc w:val="both"/>
    </w:pPr>
    <w:rPr>
      <w:b/>
      <w:bCs/>
      <w:sz w:val="18"/>
      <w:szCs w:val="18"/>
      <w:lang w:eastAsia="en-US"/>
    </w:rPr>
  </w:style>
  <w:style w:type="paragraph" w:customStyle="1" w:styleId="Keywords">
    <w:name w:val="Keywords"/>
    <w:basedOn w:val="Abstract"/>
    <w:qFormat/>
    <w:pPr>
      <w:spacing w:after="120"/>
      <w:ind w:firstLine="274"/>
    </w:pPr>
    <w:rPr>
      <w:i/>
    </w:rPr>
  </w:style>
  <w:style w:type="paragraph" w:customStyle="1" w:styleId="figurecaption">
    <w:name w:val="figure caption"/>
    <w:pPr>
      <w:numPr>
        <w:numId w:val="4"/>
      </w:numPr>
      <w:spacing w:before="80" w:after="200"/>
      <w:ind w:left="0" w:firstLine="0"/>
      <w:jc w:val="both"/>
    </w:pPr>
    <w:rPr>
      <w:sz w:val="16"/>
      <w:szCs w:val="16"/>
      <w:lang w:eastAsia="en-US"/>
    </w:rPr>
  </w:style>
  <w:style w:type="paragraph" w:customStyle="1" w:styleId="tablehead">
    <w:name w:val="table head"/>
    <w:pPr>
      <w:numPr>
        <w:numId w:val="5"/>
      </w:numPr>
      <w:spacing w:before="240" w:after="120" w:line="216" w:lineRule="auto"/>
      <w:jc w:val="center"/>
    </w:pPr>
    <w:rPr>
      <w:smallCap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iyie.leong\Downloads\word-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IET14</b:Tag>
    <b:SourceType>InternetSite</b:SourceType>
    <b:Guid>{63254D8E-9EA9-42D7-9576-CEB349B0702B}</b:Guid>
    <b:Title>Author Guide - IET Research Journals</b:Title>
    <b:Author>
      <b:Author>
        <b:Corporate>IET Digital Library</b:Corporate>
      </b:Author>
    </b:Author>
    <b:InternetSiteTitle>IET Digital Library</b:InternetSiteTitle>
    <b:YearAccessed>2014</b:YearAccessed>
    <b:MonthAccessed>November</b:MonthAccessed>
    <b:DayAccessed>27</b:DayAccessed>
    <b:URL>http://digital-library.theiet.org/journals/author-guide</b:URL>
    <b:RefOrder>1</b:RefOrder>
  </b:Source>
</b:Sources>
</file>

<file path=customXml/itemProps1.xml><?xml version="1.0" encoding="utf-8"?>
<ds:datastoreItem xmlns:ds="http://schemas.openxmlformats.org/officeDocument/2006/customXml" ds:itemID="{0E38BF51-6E58-4F7C-BFEA-0677DC5A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(3)</Template>
  <TotalTime>67</TotalTime>
  <Pages>6</Pages>
  <Words>4134</Words>
  <Characters>23566</Characters>
  <Application>Microsoft Office Word</Application>
  <DocSecurity>0</DocSecurity>
  <Lines>196</Lines>
  <Paragraphs>55</Paragraphs>
  <ScaleCrop>false</ScaleCrop>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IET Submission Template</dc:title>
  <dc:creator>leong Wai Yie</dc:creator>
  <cp:lastModifiedBy>Wai Yie Leong Prof. Ir. Dr.</cp:lastModifiedBy>
  <cp:revision>31</cp:revision>
  <dcterms:created xsi:type="dcterms:W3CDTF">2025-09-20T18:07:00Z</dcterms:created>
  <dcterms:modified xsi:type="dcterms:W3CDTF">2025-12-26T11:08:00Z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712C4C45AA9F41E9AAFDFD600B866166_13</vt:lpwstr>
  </property>
  <property fmtid="{D5CDD505-2E9C-101B-9397-08002B2CF9AE}" pid="3" name="KSOProductBuildVer">
    <vt:lpwstr>1033-12.2.0.23155</vt:lpwstr>
  </property>
  <property fmtid="{D5CDD505-2E9C-101B-9397-08002B2CF9AE}" pid="4" name="GrammarlyDocumentId">
    <vt:lpwstr>273c318d-22e4-4f7e-9a8d-b36b395630a2</vt:lpwstr>
  </property>
</Properties>
</file>