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C5BE7" w14:textId="77777777" w:rsidR="00426C98" w:rsidRDefault="00000000">
      <w:pPr>
        <w:pStyle w:val="IETPaperTitle"/>
        <w:jc w:val="center"/>
        <w:rPr>
          <w:rFonts w:eastAsia="MS Mincho"/>
          <w:b w:val="0"/>
          <w:kern w:val="48"/>
          <w:sz w:val="48"/>
          <w:szCs w:val="48"/>
          <w:lang w:val="en-US" w:eastAsia="en-US"/>
        </w:rPr>
      </w:pPr>
      <w:r>
        <w:rPr>
          <w:rFonts w:eastAsia="MS Mincho"/>
          <w:b w:val="0"/>
          <w:kern w:val="48"/>
          <w:sz w:val="48"/>
          <w:szCs w:val="48"/>
          <w:lang w:val="en-US" w:eastAsia="en-US"/>
        </w:rPr>
        <w:t>Blockchain-Enabled Trust Models in         Next-Generation Information Networks</w:t>
      </w:r>
    </w:p>
    <w:p w14:paraId="152E5F59" w14:textId="77777777" w:rsidR="00426C98" w:rsidRDefault="00426C98">
      <w:pPr>
        <w:jc w:val="both"/>
        <w:rPr>
          <w:sz w:val="22"/>
          <w:szCs w:val="20"/>
          <w:lang w:val="en-US"/>
        </w:rPr>
        <w:sectPr w:rsidR="00426C98">
          <w:footerReference w:type="default" r:id="rId8"/>
          <w:pgSz w:w="11906" w:h="16838"/>
          <w:pgMar w:top="1440" w:right="1440" w:bottom="1440" w:left="1440" w:header="567" w:footer="0" w:gutter="0"/>
          <w:cols w:space="708"/>
          <w:docGrid w:linePitch="360"/>
        </w:sectPr>
      </w:pPr>
    </w:p>
    <w:p w14:paraId="2F0C962D" w14:textId="77777777" w:rsidR="00426C98" w:rsidRDefault="00426C98">
      <w:pPr>
        <w:jc w:val="both"/>
        <w:rPr>
          <w:sz w:val="22"/>
          <w:szCs w:val="20"/>
          <w:lang w:val="en-US"/>
        </w:rPr>
      </w:pPr>
    </w:p>
    <w:p w14:paraId="10EA02B5" w14:textId="77777777" w:rsidR="00426C98" w:rsidRDefault="00426C98">
      <w:pPr>
        <w:jc w:val="both"/>
        <w:rPr>
          <w:sz w:val="22"/>
          <w:szCs w:val="20"/>
          <w:lang w:val="en-US"/>
        </w:rPr>
      </w:pPr>
    </w:p>
    <w:p w14:paraId="7C76A2BB" w14:textId="77777777" w:rsidR="00426C98" w:rsidRDefault="00426C98">
      <w:pPr>
        <w:jc w:val="both"/>
        <w:rPr>
          <w:sz w:val="22"/>
          <w:szCs w:val="20"/>
          <w:lang w:val="en-US"/>
        </w:rPr>
      </w:pPr>
    </w:p>
    <w:p w14:paraId="6E4DDCFD" w14:textId="77777777" w:rsidR="00426C98" w:rsidRDefault="00426C98">
      <w:pPr>
        <w:jc w:val="center"/>
        <w:rPr>
          <w:sz w:val="18"/>
          <w:szCs w:val="18"/>
          <w:lang w:val="en-US"/>
        </w:rPr>
      </w:pPr>
    </w:p>
    <w:p w14:paraId="3C23B5E5" w14:textId="77777777" w:rsidR="00426C98" w:rsidRDefault="00426C98">
      <w:pPr>
        <w:jc w:val="center"/>
        <w:rPr>
          <w:sz w:val="18"/>
          <w:szCs w:val="18"/>
          <w:lang w:val="en-US"/>
        </w:rPr>
      </w:pPr>
    </w:p>
    <w:p w14:paraId="4105DFE4" w14:textId="77777777" w:rsidR="00426C98" w:rsidRDefault="00426C98">
      <w:pPr>
        <w:jc w:val="center"/>
        <w:rPr>
          <w:sz w:val="18"/>
          <w:szCs w:val="18"/>
          <w:lang w:val="en-US"/>
        </w:rPr>
      </w:pPr>
    </w:p>
    <w:p w14:paraId="196B1588" w14:textId="77777777" w:rsidR="00426C98" w:rsidRDefault="00426C98">
      <w:pPr>
        <w:jc w:val="center"/>
        <w:rPr>
          <w:sz w:val="18"/>
          <w:szCs w:val="18"/>
          <w:lang w:val="en-US"/>
        </w:rPr>
      </w:pPr>
    </w:p>
    <w:p w14:paraId="3C25C4DE" w14:textId="77777777" w:rsidR="00426C98" w:rsidRDefault="00426C98">
      <w:pPr>
        <w:jc w:val="center"/>
        <w:rPr>
          <w:sz w:val="18"/>
          <w:szCs w:val="18"/>
          <w:lang w:val="en-US"/>
        </w:rPr>
      </w:pPr>
    </w:p>
    <w:p w14:paraId="0FFE56E9" w14:textId="77777777" w:rsidR="00426C98" w:rsidRDefault="00426C98">
      <w:pPr>
        <w:jc w:val="center"/>
        <w:rPr>
          <w:sz w:val="18"/>
          <w:szCs w:val="18"/>
          <w:lang w:val="en-US"/>
        </w:rPr>
      </w:pPr>
    </w:p>
    <w:p w14:paraId="2B58EF74" w14:textId="77777777" w:rsidR="00426C98" w:rsidRDefault="00000000">
      <w:pPr>
        <w:jc w:val="center"/>
        <w:rPr>
          <w:sz w:val="18"/>
          <w:szCs w:val="18"/>
          <w:lang w:val="en-US" w:eastAsia="en-US"/>
        </w:rPr>
      </w:pPr>
      <w:r>
        <w:rPr>
          <w:rFonts w:hint="eastAsia"/>
          <w:sz w:val="18"/>
          <w:szCs w:val="18"/>
          <w:lang w:val="en-US"/>
        </w:rPr>
        <w:t xml:space="preserve">                                                                        </w:t>
      </w:r>
      <w:r>
        <w:rPr>
          <w:sz w:val="18"/>
          <w:szCs w:val="18"/>
          <w:lang w:val="en-US" w:eastAsia="en-US"/>
        </w:rPr>
        <w:t>Wai Yie Leong</w:t>
      </w:r>
    </w:p>
    <w:p w14:paraId="0DE70192" w14:textId="77777777" w:rsidR="00426C98" w:rsidRDefault="00000000">
      <w:pPr>
        <w:jc w:val="center"/>
        <w:rPr>
          <w:sz w:val="18"/>
          <w:szCs w:val="18"/>
          <w:lang w:val="en-US" w:eastAsia="en-US"/>
        </w:rPr>
      </w:pPr>
      <w:r>
        <w:rPr>
          <w:i/>
          <w:sz w:val="18"/>
          <w:szCs w:val="18"/>
          <w:lang w:val="en-US" w:eastAsia="en-US"/>
        </w:rPr>
        <w:t>Engineering and Quantity Surveying, INTI International University</w:t>
      </w:r>
      <w:r>
        <w:rPr>
          <w:sz w:val="18"/>
          <w:szCs w:val="18"/>
          <w:lang w:val="en-US" w:eastAsia="en-US"/>
        </w:rPr>
        <w:t xml:space="preserve">    71800 Nilai, Malaysia</w:t>
      </w:r>
    </w:p>
    <w:p w14:paraId="7233FC01" w14:textId="77777777" w:rsidR="00426C98" w:rsidRDefault="00000000">
      <w:pPr>
        <w:jc w:val="center"/>
        <w:rPr>
          <w:i/>
          <w:sz w:val="18"/>
          <w:szCs w:val="18"/>
          <w:lang w:val="en-US" w:eastAsia="en-US"/>
        </w:rPr>
      </w:pPr>
      <w:hyperlink r:id="rId9" w:history="1">
        <w:r>
          <w:rPr>
            <w:sz w:val="18"/>
            <w:szCs w:val="18"/>
            <w:lang w:val="en-US" w:eastAsia="en-US"/>
          </w:rPr>
          <w:t>waiyie@gmail.com</w:t>
        </w:r>
      </w:hyperlink>
    </w:p>
    <w:p w14:paraId="4F579485" w14:textId="77777777" w:rsidR="00426C98" w:rsidRDefault="00426C98">
      <w:pPr>
        <w:jc w:val="center"/>
        <w:rPr>
          <w:i/>
          <w:sz w:val="18"/>
          <w:szCs w:val="18"/>
          <w:lang w:val="en-US" w:eastAsia="en-US"/>
        </w:rPr>
      </w:pPr>
    </w:p>
    <w:p w14:paraId="6DE98A5B" w14:textId="77777777" w:rsidR="00426C98" w:rsidRDefault="00426C98">
      <w:pPr>
        <w:jc w:val="center"/>
        <w:rPr>
          <w:i/>
          <w:sz w:val="18"/>
          <w:szCs w:val="18"/>
          <w:lang w:val="en-US" w:eastAsia="en-US"/>
        </w:rPr>
      </w:pPr>
    </w:p>
    <w:p w14:paraId="336DAF4F" w14:textId="77777777" w:rsidR="00426C98" w:rsidRDefault="00426C98">
      <w:pPr>
        <w:jc w:val="center"/>
        <w:rPr>
          <w:i/>
          <w:sz w:val="18"/>
          <w:szCs w:val="18"/>
          <w:lang w:val="en-US" w:eastAsia="en-US"/>
        </w:rPr>
      </w:pPr>
    </w:p>
    <w:p w14:paraId="11EB330F" w14:textId="77777777" w:rsidR="00426C98" w:rsidRDefault="00426C98">
      <w:pPr>
        <w:pStyle w:val="Heading2"/>
        <w:keepNext w:val="0"/>
        <w:numPr>
          <w:ilvl w:val="1"/>
          <w:numId w:val="0"/>
        </w:numPr>
        <w:shd w:val="clear" w:color="auto" w:fill="FFFFFF"/>
        <w:tabs>
          <w:tab w:val="left" w:pos="288"/>
        </w:tabs>
        <w:spacing w:before="0" w:after="0" w:line="13" w:lineRule="atLeast"/>
        <w:jc w:val="center"/>
        <w:rPr>
          <w:rFonts w:ascii="Times New Roman" w:hAnsi="Times New Roman" w:cs="Times New Roman"/>
          <w:b w:val="0"/>
          <w:bCs w:val="0"/>
          <w:iCs w:val="0"/>
          <w:sz w:val="18"/>
          <w:szCs w:val="18"/>
          <w:lang w:val="en-US" w:eastAsia="en-US"/>
        </w:rPr>
      </w:pPr>
    </w:p>
    <w:p w14:paraId="07127343" w14:textId="77777777" w:rsidR="00426C98" w:rsidRDefault="00426C98">
      <w:pPr>
        <w:jc w:val="center"/>
        <w:rPr>
          <w:sz w:val="18"/>
          <w:szCs w:val="18"/>
          <w:lang w:val="en-US" w:eastAsia="en-US"/>
        </w:rPr>
      </w:pPr>
    </w:p>
    <w:p w14:paraId="69DC7647" w14:textId="77777777" w:rsidR="00426C98" w:rsidRDefault="00426C98">
      <w:pPr>
        <w:jc w:val="center"/>
        <w:rPr>
          <w:sz w:val="18"/>
          <w:szCs w:val="18"/>
          <w:lang w:val="en-US" w:eastAsia="en-US"/>
        </w:rPr>
      </w:pPr>
    </w:p>
    <w:p w14:paraId="49B270B0" w14:textId="77777777" w:rsidR="00426C98" w:rsidRDefault="00426C98">
      <w:pPr>
        <w:jc w:val="center"/>
        <w:rPr>
          <w:sz w:val="18"/>
          <w:szCs w:val="18"/>
          <w:lang w:val="en-US" w:eastAsia="en-US"/>
        </w:rPr>
      </w:pPr>
    </w:p>
    <w:p w14:paraId="5D99E32E" w14:textId="77777777" w:rsidR="00426C98" w:rsidRDefault="00426C98">
      <w:pPr>
        <w:jc w:val="center"/>
        <w:rPr>
          <w:sz w:val="18"/>
          <w:szCs w:val="18"/>
          <w:lang w:val="en-US" w:eastAsia="en-US"/>
        </w:rPr>
      </w:pPr>
    </w:p>
    <w:p w14:paraId="73AD5458" w14:textId="77777777" w:rsidR="00426C98" w:rsidRDefault="00426C98">
      <w:pPr>
        <w:jc w:val="center"/>
        <w:rPr>
          <w:sz w:val="18"/>
          <w:szCs w:val="18"/>
          <w:lang w:val="en-US" w:eastAsia="en-US"/>
        </w:rPr>
      </w:pPr>
    </w:p>
    <w:p w14:paraId="5B899EBD" w14:textId="77777777" w:rsidR="00426C98" w:rsidRDefault="00426C98">
      <w:pPr>
        <w:jc w:val="center"/>
        <w:rPr>
          <w:sz w:val="18"/>
          <w:szCs w:val="18"/>
          <w:lang w:val="en-US" w:eastAsia="en-US"/>
        </w:rPr>
        <w:sectPr w:rsidR="00426C98">
          <w:type w:val="continuous"/>
          <w:pgSz w:w="11906" w:h="16838"/>
          <w:pgMar w:top="1440" w:right="1440" w:bottom="1440" w:left="1440" w:header="567" w:footer="0" w:gutter="0"/>
          <w:cols w:num="3" w:space="720" w:equalWidth="0">
            <w:col w:w="2725" w:space="425"/>
            <w:col w:w="2725" w:space="425"/>
            <w:col w:w="2725"/>
          </w:cols>
          <w:docGrid w:linePitch="360"/>
        </w:sectPr>
      </w:pPr>
    </w:p>
    <w:p w14:paraId="499BB2B8" w14:textId="77777777" w:rsidR="00426C98" w:rsidRDefault="00000000">
      <w:pPr>
        <w:pStyle w:val="IETAbstractText"/>
        <w:jc w:val="both"/>
        <w:rPr>
          <w:bCs/>
          <w:sz w:val="18"/>
          <w:szCs w:val="18"/>
        </w:rPr>
      </w:pPr>
      <w:r>
        <w:rPr>
          <w:bCs/>
          <w:i/>
          <w:iCs/>
          <w:sz w:val="18"/>
          <w:szCs w:val="18"/>
        </w:rPr>
        <w:t>Abstract</w:t>
      </w:r>
      <w:r>
        <w:rPr>
          <w:b w:val="0"/>
          <w:bCs/>
        </w:rPr>
        <w:t>—</w:t>
      </w:r>
      <w:r>
        <w:rPr>
          <w:bCs/>
          <w:sz w:val="18"/>
          <w:szCs w:val="18"/>
          <w:lang w:val="en-US" w:eastAsia="en-US"/>
        </w:rPr>
        <w:t>T</w:t>
      </w:r>
      <w:r>
        <w:rPr>
          <w:bCs/>
          <w:sz w:val="18"/>
          <w:szCs w:val="18"/>
        </w:rPr>
        <w:t>his paper proposes a</w:t>
      </w:r>
      <w:r>
        <w:rPr>
          <w:rFonts w:hint="eastAsia"/>
          <w:bCs/>
          <w:sz w:val="18"/>
          <w:szCs w:val="18"/>
          <w:lang w:val="en-US"/>
        </w:rPr>
        <w:t xml:space="preserve"> </w:t>
      </w:r>
      <w:r>
        <w:rPr>
          <w:bCs/>
          <w:sz w:val="18"/>
          <w:szCs w:val="18"/>
        </w:rPr>
        <w:t>framework for blockchain</w:t>
      </w:r>
      <w:r>
        <w:rPr>
          <w:bCs/>
          <w:sz w:val="18"/>
          <w:szCs w:val="18"/>
        </w:rPr>
        <w:noBreakHyphen/>
        <w:t>enabled trust models in next</w:t>
      </w:r>
      <w:r>
        <w:rPr>
          <w:bCs/>
          <w:sz w:val="18"/>
          <w:szCs w:val="18"/>
        </w:rPr>
        <w:noBreakHyphen/>
        <w:t>generation information networks (NGINs)—encompassing 5G/6G core, edge–cloud fabrics, IoT/cyber</w:t>
      </w:r>
      <w:r>
        <w:rPr>
          <w:bCs/>
          <w:sz w:val="18"/>
          <w:szCs w:val="18"/>
        </w:rPr>
        <w:noBreakHyphen/>
        <w:t>physical systems, and data</w:t>
      </w:r>
      <w:r>
        <w:rPr>
          <w:bCs/>
          <w:sz w:val="18"/>
          <w:szCs w:val="18"/>
        </w:rPr>
        <w:noBreakHyphen/>
        <w:t>space architectures. We synthesize cryptographic, economic</w:t>
      </w:r>
      <w:r>
        <w:rPr>
          <w:bCs/>
          <w:sz w:val="18"/>
          <w:szCs w:val="18"/>
        </w:rPr>
        <w:noBreakHyphen/>
        <w:t>incentive, and policy</w:t>
      </w:r>
      <w:r>
        <w:rPr>
          <w:bCs/>
          <w:sz w:val="18"/>
          <w:szCs w:val="18"/>
        </w:rPr>
        <w:noBreakHyphen/>
        <w:t>governance mechanisms into an auditable “Trust-by</w:t>
      </w:r>
      <w:r>
        <w:rPr>
          <w:bCs/>
          <w:sz w:val="18"/>
          <w:szCs w:val="18"/>
        </w:rPr>
        <w:noBreakHyphen/>
        <w:t>Design” stack spanning identity, provenance, attestation, privacy, and cross</w:t>
      </w:r>
      <w:r>
        <w:rPr>
          <w:bCs/>
          <w:sz w:val="18"/>
          <w:szCs w:val="18"/>
        </w:rPr>
        <w:noBreakHyphen/>
        <w:t>domain compliance. A design</w:t>
      </w:r>
      <w:r>
        <w:rPr>
          <w:bCs/>
          <w:sz w:val="18"/>
          <w:szCs w:val="18"/>
        </w:rPr>
        <w:noBreakHyphen/>
        <w:t>science methodology is used to elicit requirements from real</w:t>
      </w:r>
      <w:r>
        <w:rPr>
          <w:bCs/>
          <w:sz w:val="18"/>
          <w:szCs w:val="18"/>
        </w:rPr>
        <w:noBreakHyphen/>
        <w:t>world ecosystems (smart cities, healthcare, energy), formalize threat models, and instantiate reference architectures with verifiable properties. We provide mathematical models for consensus, token</w:t>
      </w:r>
      <w:r>
        <w:rPr>
          <w:bCs/>
          <w:sz w:val="18"/>
          <w:szCs w:val="18"/>
        </w:rPr>
        <w:noBreakHyphen/>
        <w:t>less permissioned operation, verifiable compute (ZK), and policy automation (smart contracts); benchmark latency/throughput/energy against non</w:t>
      </w:r>
      <w:r>
        <w:rPr>
          <w:bCs/>
          <w:sz w:val="18"/>
          <w:szCs w:val="18"/>
        </w:rPr>
        <w:noBreakHyphen/>
        <w:t xml:space="preserve">blockchain baselines; and report results from emulations on Fabric, Quorum, and </w:t>
      </w:r>
      <w:proofErr w:type="spellStart"/>
      <w:r>
        <w:rPr>
          <w:bCs/>
          <w:sz w:val="18"/>
          <w:szCs w:val="18"/>
        </w:rPr>
        <w:t>Tendermint</w:t>
      </w:r>
      <w:proofErr w:type="spellEnd"/>
      <w:r>
        <w:rPr>
          <w:bCs/>
          <w:sz w:val="18"/>
          <w:szCs w:val="18"/>
        </w:rPr>
        <w:t xml:space="preserve"> networks with 24–128 nodes across WAN latencies. Findings show that policy verifiability and auditability can be improved by 3.4–8.9× with &lt;18% median latency overhead for sub</w:t>
      </w:r>
      <w:r>
        <w:rPr>
          <w:bCs/>
          <w:sz w:val="18"/>
          <w:szCs w:val="18"/>
        </w:rPr>
        <w:noBreakHyphen/>
        <w:t>second control loops when edge anchoring and rollup</w:t>
      </w:r>
      <w:r>
        <w:rPr>
          <w:bCs/>
          <w:sz w:val="18"/>
          <w:szCs w:val="18"/>
        </w:rPr>
        <w:noBreakHyphen/>
        <w:t>style batching are employed. We discuss limitations, ethical considerations, and a roadmap for sovereign yet interoperable data spaces.</w:t>
      </w:r>
    </w:p>
    <w:p w14:paraId="7524128F" w14:textId="77777777" w:rsidR="00426C98" w:rsidRDefault="00000000">
      <w:pPr>
        <w:pStyle w:val="IETHeading1"/>
        <w:numPr>
          <w:ilvl w:val="0"/>
          <w:numId w:val="0"/>
        </w:numPr>
        <w:jc w:val="both"/>
        <w:rPr>
          <w:rFonts w:ascii="Times New Roman" w:hAnsi="Times New Roman" w:cs="Times New Roman"/>
          <w:i/>
          <w:sz w:val="18"/>
          <w:szCs w:val="18"/>
          <w:lang w:val="en-US" w:eastAsia="en-US"/>
        </w:rPr>
      </w:pPr>
      <w:r>
        <w:rPr>
          <w:rFonts w:ascii="Times New Roman" w:hAnsi="Times New Roman" w:cs="Times New Roman"/>
          <w:i/>
          <w:sz w:val="18"/>
          <w:szCs w:val="18"/>
          <w:lang w:val="en-US" w:eastAsia="en-US"/>
        </w:rPr>
        <w:t>Keywords—B</w:t>
      </w:r>
      <w:proofErr w:type="spellStart"/>
      <w:r>
        <w:rPr>
          <w:rFonts w:ascii="Times New Roman" w:hAnsi="Times New Roman" w:cs="Times New Roman"/>
          <w:i/>
          <w:sz w:val="18"/>
          <w:szCs w:val="18"/>
        </w:rPr>
        <w:t>lockchain</w:t>
      </w:r>
      <w:proofErr w:type="spellEnd"/>
      <w:r>
        <w:rPr>
          <w:rFonts w:ascii="Times New Roman" w:hAnsi="Times New Roman" w:cs="Times New Roman"/>
          <w:i/>
          <w:sz w:val="18"/>
          <w:szCs w:val="18"/>
          <w:lang w:val="en-US"/>
        </w:rPr>
        <w:t>, I</w:t>
      </w:r>
      <w:proofErr w:type="spellStart"/>
      <w:r>
        <w:rPr>
          <w:rFonts w:ascii="Times New Roman" w:hAnsi="Times New Roman" w:cs="Times New Roman"/>
          <w:i/>
          <w:sz w:val="18"/>
          <w:szCs w:val="18"/>
        </w:rPr>
        <w:t>nformation</w:t>
      </w:r>
      <w:proofErr w:type="spellEnd"/>
      <w:r>
        <w:rPr>
          <w:rFonts w:ascii="Times New Roman" w:hAnsi="Times New Roman" w:cs="Times New Roman"/>
          <w:i/>
          <w:sz w:val="18"/>
          <w:szCs w:val="18"/>
        </w:rPr>
        <w:t xml:space="preserve"> </w:t>
      </w:r>
      <w:r>
        <w:rPr>
          <w:rFonts w:ascii="Times New Roman" w:hAnsi="Times New Roman" w:cs="Times New Roman"/>
          <w:i/>
          <w:sz w:val="18"/>
          <w:szCs w:val="18"/>
          <w:lang w:val="en-US"/>
        </w:rPr>
        <w:t>N</w:t>
      </w:r>
      <w:proofErr w:type="spellStart"/>
      <w:r>
        <w:rPr>
          <w:rFonts w:ascii="Times New Roman" w:hAnsi="Times New Roman" w:cs="Times New Roman"/>
          <w:i/>
          <w:sz w:val="18"/>
          <w:szCs w:val="18"/>
        </w:rPr>
        <w:t>etworks</w:t>
      </w:r>
      <w:proofErr w:type="spellEnd"/>
      <w:r>
        <w:rPr>
          <w:rFonts w:ascii="Times New Roman" w:hAnsi="Times New Roman" w:cs="Times New Roman"/>
          <w:i/>
          <w:sz w:val="18"/>
          <w:szCs w:val="18"/>
          <w:lang w:val="en-US"/>
        </w:rPr>
        <w:t>, Artificial Intelligence</w:t>
      </w:r>
    </w:p>
    <w:p w14:paraId="03E8F05D" w14:textId="77777777" w:rsidR="00426C98" w:rsidRDefault="00000000">
      <w:pPr>
        <w:pStyle w:val="Heading1"/>
        <w:keepLines/>
        <w:numPr>
          <w:ilvl w:val="0"/>
          <w:numId w:val="7"/>
        </w:numPr>
        <w:tabs>
          <w:tab w:val="clear" w:pos="425"/>
          <w:tab w:val="left" w:pos="216"/>
        </w:tabs>
        <w:spacing w:before="160" w:after="80"/>
        <w:jc w:val="center"/>
        <w:rPr>
          <w:rFonts w:ascii="Times New Roman" w:hAnsi="Times New Roman" w:cs="Times New Roman"/>
          <w:b w:val="0"/>
          <w:bCs w:val="0"/>
          <w:smallCaps/>
          <w:kern w:val="0"/>
          <w:sz w:val="20"/>
          <w:szCs w:val="20"/>
          <w:lang w:val="en-US" w:eastAsia="en-US"/>
        </w:rPr>
      </w:pPr>
      <w:r>
        <w:rPr>
          <w:rFonts w:ascii="Times New Roman" w:hAnsi="Times New Roman" w:cs="Times New Roman"/>
          <w:b w:val="0"/>
          <w:bCs w:val="0"/>
          <w:smallCaps/>
          <w:kern w:val="0"/>
          <w:sz w:val="20"/>
          <w:szCs w:val="20"/>
          <w:lang w:val="en-US" w:eastAsia="en-US"/>
        </w:rPr>
        <w:t>Introduction</w:t>
      </w:r>
    </w:p>
    <w:p w14:paraId="1A59CF5E" w14:textId="77777777" w:rsidR="00426C98" w:rsidRDefault="00000000">
      <w:pPr>
        <w:pStyle w:val="BodyText"/>
        <w:tabs>
          <w:tab w:val="left" w:pos="288"/>
        </w:tabs>
        <w:spacing w:before="0" w:after="120" w:line="228" w:lineRule="auto"/>
        <w:ind w:firstLine="288"/>
        <w:jc w:val="both"/>
        <w:rPr>
          <w:spacing w:val="-1"/>
          <w:sz w:val="20"/>
          <w:szCs w:val="20"/>
          <w:lang w:val="en-US"/>
        </w:rPr>
      </w:pPr>
      <w:r>
        <w:rPr>
          <w:sz w:val="20"/>
          <w:szCs w:val="20"/>
        </w:rPr>
        <w:t>Next-generation information networks (NGINs) represent a paradigm shift in the way data is transmitted, stored, and secured across distributed ecosystems. Unlike traditional centralized architectures, NGINs integrate 5G/6G ultra-reliable low-latency communications, edge computing, and heterogeneous IoT devices into a unified data and service fabric. This convergence has created a highly complex environment where multiple actors—telecommunication providers, government agencies, cloud vendors, industrial operators, and end-users—must collaborate while preserving sovereignty, security, and trust [1]–[4]. In such an environment, ensuring end-to-end trust cannot be adequately addressed by legacy PKI systems or siloed access</w:t>
      </w:r>
      <w:r>
        <w:rPr>
          <w:spacing w:val="-1"/>
          <w:sz w:val="20"/>
          <w:szCs w:val="20"/>
          <w:lang w:val="en-US"/>
        </w:rPr>
        <w:t xml:space="preserve"> control, which typically lack the flexibility, transparency, and scalability required in cross-domain operations [5].</w:t>
      </w:r>
    </w:p>
    <w:p w14:paraId="027509BE" w14:textId="77777777" w:rsidR="00426C98" w:rsidRDefault="00000000">
      <w:pPr>
        <w:pStyle w:val="BodyText"/>
        <w:tabs>
          <w:tab w:val="left" w:pos="288"/>
        </w:tabs>
        <w:spacing w:before="0" w:after="120" w:line="228" w:lineRule="auto"/>
        <w:ind w:firstLine="288"/>
        <w:jc w:val="both"/>
        <w:rPr>
          <w:sz w:val="20"/>
          <w:szCs w:val="20"/>
        </w:rPr>
      </w:pPr>
      <w:r>
        <w:rPr>
          <w:spacing w:val="-1"/>
          <w:sz w:val="20"/>
          <w:szCs w:val="20"/>
          <w:lang w:val="en-US"/>
        </w:rPr>
        <w:t xml:space="preserve">The primary challenge lies in establishing verifiable trust relationships across administrative boundaries without introducing </w:t>
      </w:r>
      <w:proofErr w:type="spellStart"/>
      <w:r>
        <w:rPr>
          <w:spacing w:val="-1"/>
          <w:sz w:val="20"/>
          <w:szCs w:val="20"/>
          <w:lang w:val="en-US"/>
        </w:rPr>
        <w:t>excessi</w:t>
      </w:r>
      <w:r>
        <w:rPr>
          <w:sz w:val="20"/>
          <w:szCs w:val="20"/>
        </w:rPr>
        <w:t>ve</w:t>
      </w:r>
      <w:proofErr w:type="spellEnd"/>
      <w:r>
        <w:rPr>
          <w:sz w:val="20"/>
          <w:szCs w:val="20"/>
        </w:rPr>
        <w:t xml:space="preserve"> overhead or single points of failure. Blockchain technology, when reinterpreted as a trust substrate rather than purely a financial instrument, offers unique capabilities such as distributed consensus, tamper-</w:t>
      </w:r>
      <w:r>
        <w:rPr>
          <w:sz w:val="20"/>
          <w:szCs w:val="20"/>
        </w:rPr>
        <w:t>evident logging, automated policy enforcement through smart contracts, and cryptographically verifiable identities [2], [6]. These properties are particularly relevant to NGIN use cases including healthcare data exchange, cross-border energy trading, autonomous mobility, and critical infrastructure monitoring, where auditability, provenance, and compliance are non-negotiable requirements [7], [8].</w:t>
      </w:r>
    </w:p>
    <w:p w14:paraId="5F03612A" w14:textId="77777777" w:rsidR="00426C98" w:rsidRDefault="00000000">
      <w:pPr>
        <w:pStyle w:val="BodyText"/>
        <w:tabs>
          <w:tab w:val="left" w:pos="288"/>
        </w:tabs>
        <w:spacing w:before="0" w:after="120" w:line="228" w:lineRule="auto"/>
        <w:ind w:firstLine="288"/>
        <w:jc w:val="both"/>
        <w:rPr>
          <w:sz w:val="20"/>
          <w:szCs w:val="20"/>
        </w:rPr>
      </w:pPr>
      <w:r>
        <w:rPr>
          <w:sz w:val="20"/>
          <w:szCs w:val="20"/>
        </w:rPr>
        <w:t>Emerging paradigms such as self-sovereign identity (SSI) and verifiable credentials (VCs) add further value by enabling decentralized, privacy-preserving authentication and authorization. Combined with privacy-enhancing technologies like differential privacy, zero-knowledge proofs, and trusted execution environments, blockchain-based trust frameworks have the potential to address longstanding concerns about data misuse, accountability, and regulatory compliance [9]–[12]. Nevertheless, deploying these solutions in real-world NGIN settings necessitates careful consideration of performance constraints such as latency, throughput, and energy efficiency, alongside broader socio-technical challenges of governance, interoperability, and user adoption.</w:t>
      </w:r>
    </w:p>
    <w:p w14:paraId="1FB3695F" w14:textId="77777777" w:rsidR="00426C98" w:rsidRPr="006F576F" w:rsidRDefault="00000000">
      <w:pPr>
        <w:pStyle w:val="BodyText"/>
        <w:tabs>
          <w:tab w:val="left" w:pos="288"/>
        </w:tabs>
        <w:spacing w:before="0" w:after="120" w:line="228" w:lineRule="auto"/>
        <w:ind w:firstLine="288"/>
        <w:jc w:val="both"/>
        <w:rPr>
          <w:spacing w:val="-1"/>
          <w:sz w:val="20"/>
          <w:szCs w:val="20"/>
          <w:lang w:val="en-US"/>
        </w:rPr>
      </w:pPr>
      <w:r>
        <w:rPr>
          <w:sz w:val="20"/>
          <w:szCs w:val="20"/>
        </w:rPr>
        <w:t>This paper aims to fill this gap by presenting a comprehensive blockchain-enabled trust model that integrates legal, organizational, and technical assurances into a multi-layered “Trust-by-Design” architecture. Specifically, we contribute (</w:t>
      </w:r>
      <w:proofErr w:type="spellStart"/>
      <w:r>
        <w:rPr>
          <w:sz w:val="20"/>
          <w:szCs w:val="20"/>
        </w:rPr>
        <w:t>i</w:t>
      </w:r>
      <w:proofErr w:type="spellEnd"/>
      <w:r>
        <w:rPr>
          <w:sz w:val="20"/>
          <w:szCs w:val="20"/>
        </w:rPr>
        <w:t>) a unified reference stack linking governance, identity, policy automation, provenance, and verifiable compute; (ii) formal threat and risk models for cross-domain trust; (iii) performance-optimized consensus mechanisms for token-less and permissioned deployments; and (iv) empirical results from testbeds that evaluate latency, energy, and auditability across scenarios. By doing so, this research provides actionable insights for designing</w:t>
      </w:r>
      <w:r>
        <w:rPr>
          <w:spacing w:val="-1"/>
          <w:sz w:val="20"/>
          <w:szCs w:val="20"/>
          <w:lang w:val="en-US"/>
        </w:rPr>
        <w:t xml:space="preserve"> scalable, verifiable, and sovereign information net</w:t>
      </w:r>
      <w:r w:rsidRPr="006F576F">
        <w:rPr>
          <w:spacing w:val="-1"/>
          <w:sz w:val="20"/>
          <w:szCs w:val="20"/>
          <w:lang w:val="en-US"/>
        </w:rPr>
        <w:t>works capable of meeting the demands of digital economies, critical infrastructures, and emerging regulatory regimes.</w:t>
      </w:r>
    </w:p>
    <w:p w14:paraId="40DE1536" w14:textId="77777777" w:rsidR="00426C98" w:rsidRDefault="00000000">
      <w:pPr>
        <w:pStyle w:val="Heading1"/>
        <w:keepLines/>
        <w:numPr>
          <w:ilvl w:val="0"/>
          <w:numId w:val="7"/>
        </w:numPr>
        <w:tabs>
          <w:tab w:val="clear" w:pos="425"/>
          <w:tab w:val="left" w:pos="216"/>
        </w:tabs>
        <w:spacing w:before="160" w:after="80"/>
        <w:jc w:val="center"/>
        <w:rPr>
          <w:rFonts w:ascii="Times New Roman" w:hAnsi="Times New Roman" w:cs="Times New Roman"/>
          <w:b w:val="0"/>
          <w:bCs w:val="0"/>
          <w:smallCaps/>
          <w:kern w:val="0"/>
          <w:sz w:val="20"/>
          <w:szCs w:val="20"/>
          <w:lang w:val="en-US" w:eastAsia="en-US"/>
        </w:rPr>
      </w:pPr>
      <w:r>
        <w:rPr>
          <w:rFonts w:ascii="Times New Roman" w:hAnsi="Times New Roman" w:cs="Times New Roman"/>
          <w:b w:val="0"/>
          <w:bCs w:val="0"/>
          <w:smallCaps/>
          <w:kern w:val="0"/>
          <w:sz w:val="20"/>
          <w:szCs w:val="20"/>
          <w:lang w:val="en-US" w:eastAsia="en-US"/>
        </w:rPr>
        <w:t>Literature Review</w:t>
      </w:r>
    </w:p>
    <w:p w14:paraId="22E09F32" w14:textId="77777777" w:rsidR="00426C98" w:rsidRPr="006F576F" w:rsidRDefault="00000000">
      <w:pPr>
        <w:pStyle w:val="BodyText"/>
        <w:tabs>
          <w:tab w:val="left" w:pos="288"/>
        </w:tabs>
        <w:spacing w:before="0" w:after="120" w:line="228" w:lineRule="auto"/>
        <w:ind w:firstLine="288"/>
        <w:jc w:val="both"/>
        <w:rPr>
          <w:spacing w:val="-1"/>
          <w:sz w:val="20"/>
          <w:szCs w:val="20"/>
          <w:lang w:val="en-US"/>
        </w:rPr>
      </w:pPr>
      <w:r>
        <w:rPr>
          <w:spacing w:val="-1"/>
          <w:sz w:val="20"/>
          <w:szCs w:val="20"/>
          <w:lang w:val="en-US"/>
        </w:rPr>
        <w:t>Research on blockchain as an enabler of trust in distr</w:t>
      </w:r>
      <w:r w:rsidRPr="006F576F">
        <w:rPr>
          <w:spacing w:val="-1"/>
          <w:sz w:val="20"/>
          <w:szCs w:val="20"/>
          <w:lang w:val="en-US"/>
        </w:rPr>
        <w:t>ibuted systems has expanded significantly over the past decade, providing foundational insights for applying these technologies to next-generation information networks (NGINs). This section critically reviews key areas of the literature, identifies research gaps, and establishes the context for the proposed trust-by-design framework.</w:t>
      </w:r>
    </w:p>
    <w:p w14:paraId="1E480E31" w14:textId="77777777" w:rsidR="00426C98" w:rsidRDefault="00000000">
      <w:pPr>
        <w:pStyle w:val="BodyText"/>
        <w:tabs>
          <w:tab w:val="left" w:pos="288"/>
        </w:tabs>
        <w:spacing w:before="0" w:after="120" w:line="228" w:lineRule="auto"/>
        <w:ind w:firstLine="288"/>
        <w:jc w:val="both"/>
        <w:rPr>
          <w:spacing w:val="-1"/>
          <w:sz w:val="20"/>
          <w:szCs w:val="20"/>
          <w:lang w:val="en-US"/>
        </w:rPr>
      </w:pPr>
      <w:r w:rsidRPr="006F576F">
        <w:rPr>
          <w:spacing w:val="-1"/>
          <w:sz w:val="20"/>
          <w:szCs w:val="20"/>
          <w:lang w:val="en-US"/>
        </w:rPr>
        <w:t xml:space="preserve">Early blockchain systems such as Bitcoin demonstrated the </w:t>
      </w:r>
      <w:proofErr w:type="spellStart"/>
      <w:r w:rsidRPr="006F576F">
        <w:rPr>
          <w:spacing w:val="-1"/>
          <w:sz w:val="20"/>
          <w:szCs w:val="20"/>
          <w:lang w:val="en-US"/>
        </w:rPr>
        <w:t>viabil</w:t>
      </w:r>
      <w:r>
        <w:rPr>
          <w:sz w:val="20"/>
          <w:szCs w:val="20"/>
        </w:rPr>
        <w:t>ity</w:t>
      </w:r>
      <w:proofErr w:type="spellEnd"/>
      <w:r>
        <w:rPr>
          <w:sz w:val="20"/>
          <w:szCs w:val="20"/>
        </w:rPr>
        <w:t xml:space="preserve"> of append-only ledgers resistant to Byzantine </w:t>
      </w:r>
      <w:r>
        <w:rPr>
          <w:sz w:val="20"/>
          <w:szCs w:val="20"/>
        </w:rPr>
        <w:lastRenderedPageBreak/>
        <w:t xml:space="preserve">failures, relying on proof-of-work to achieve distributed consensus [1]. Later studies introduced permissioned blockchain frameworks such as Hyperledger Fabric, Quorum, and </w:t>
      </w:r>
      <w:proofErr w:type="spellStart"/>
      <w:r>
        <w:rPr>
          <w:sz w:val="20"/>
          <w:szCs w:val="20"/>
        </w:rPr>
        <w:t>Tendermint</w:t>
      </w:r>
      <w:proofErr w:type="spellEnd"/>
      <w:r>
        <w:rPr>
          <w:sz w:val="20"/>
          <w:szCs w:val="20"/>
        </w:rPr>
        <w:t xml:space="preserve"> that separate execution from consensus and enable configurable governance structures [2]–[4]. These systems demonstrate how blockchain can be applied beyond financial transactions, supporting cross-organizational auditability and policy enforcement in regulated domains</w:t>
      </w:r>
      <w:r>
        <w:rPr>
          <w:spacing w:val="-1"/>
          <w:sz w:val="20"/>
          <w:szCs w:val="20"/>
          <w:lang w:val="en-US"/>
        </w:rPr>
        <w:t>. However, much of this work focused on throughput and consensus mechanics rather than end-to-end trust models for heterogeneous information networks.</w:t>
      </w:r>
    </w:p>
    <w:p w14:paraId="4D553D26" w14:textId="77777777" w:rsidR="00426C98" w:rsidRDefault="00000000">
      <w:pPr>
        <w:pStyle w:val="BodyText"/>
        <w:tabs>
          <w:tab w:val="left" w:pos="288"/>
        </w:tabs>
        <w:spacing w:before="0" w:after="120" w:line="228" w:lineRule="auto"/>
        <w:ind w:firstLine="288"/>
        <w:jc w:val="both"/>
        <w:rPr>
          <w:spacing w:val="-1"/>
          <w:sz w:val="20"/>
          <w:szCs w:val="20"/>
          <w:lang w:val="en-US"/>
        </w:rPr>
      </w:pPr>
      <w:r>
        <w:rPr>
          <w:spacing w:val="-1"/>
          <w:sz w:val="20"/>
          <w:szCs w:val="20"/>
          <w:lang w:val="en-US"/>
        </w:rPr>
        <w:t>A central aspect of trust is the ability to authenticate and authorize entities across domains. Self-sovereign identity (SSI) and decentralized identifiers (DIDs) have emerged as mechanisms to establish portable and privacy-preserving identities. Verifiable credentials (VCs) allow selective disclosure of attributes, thereby reducing data exposure while maintaining compliance with regulatory frameworks [5], [6]. Research also highlights how cryptographic primitives such as accumulators and zero-knowledge proofs can enhance privacy by enabling authentication without revealing sensitive information [7], [8]. Despite these advances, the challenge of integrating identity management seamlessly into high-performance NGIN environments remains underexplored.</w:t>
      </w:r>
    </w:p>
    <w:p w14:paraId="5A17C25B" w14:textId="77777777" w:rsidR="00426C98" w:rsidRDefault="00000000">
      <w:pPr>
        <w:pStyle w:val="BodyText"/>
        <w:tabs>
          <w:tab w:val="left" w:pos="288"/>
        </w:tabs>
        <w:spacing w:before="0" w:after="120" w:line="228" w:lineRule="auto"/>
        <w:ind w:firstLine="288"/>
        <w:jc w:val="both"/>
        <w:rPr>
          <w:spacing w:val="-1"/>
          <w:sz w:val="20"/>
          <w:szCs w:val="20"/>
          <w:lang w:val="en-US"/>
        </w:rPr>
      </w:pPr>
      <w:r>
        <w:rPr>
          <w:spacing w:val="-1"/>
          <w:sz w:val="20"/>
          <w:szCs w:val="20"/>
          <w:lang w:val="en-US"/>
        </w:rPr>
        <w:t>Provenance is critical for establishing trust in data-intensive environments. Standards such as W3C PROV and initiatives like International Data Spaces (IDS) provide structures for d</w:t>
      </w:r>
      <w:proofErr w:type="spellStart"/>
      <w:r>
        <w:rPr>
          <w:sz w:val="20"/>
          <w:szCs w:val="20"/>
        </w:rPr>
        <w:t>ata</w:t>
      </w:r>
      <w:proofErr w:type="spellEnd"/>
      <w:r>
        <w:rPr>
          <w:sz w:val="20"/>
          <w:szCs w:val="20"/>
        </w:rPr>
        <w:t xml:space="preserve"> provenance, governance, and cross-organizational usage control [9], [10]. Studies show that blockchain can serve as an immutable anchor for provenance metadata, while larger payloads remain off-chain for scalability [11]. Recent work also explores the role of sector-specific data spaces in healthcare, energy, and </w:t>
      </w:r>
      <w:proofErr w:type="spellStart"/>
      <w:r>
        <w:rPr>
          <w:sz w:val="20"/>
          <w:szCs w:val="20"/>
        </w:rPr>
        <w:t>mobi</w:t>
      </w:r>
      <w:r>
        <w:rPr>
          <w:spacing w:val="-1"/>
          <w:sz w:val="20"/>
          <w:szCs w:val="20"/>
          <w:lang w:val="en-US"/>
        </w:rPr>
        <w:t>lity</w:t>
      </w:r>
      <w:proofErr w:type="spellEnd"/>
      <w:r>
        <w:rPr>
          <w:spacing w:val="-1"/>
          <w:sz w:val="20"/>
          <w:szCs w:val="20"/>
          <w:lang w:val="en-US"/>
        </w:rPr>
        <w:t>, but questions remain on how to unify provenance management with automated compliance verification in diverse ecosystems.</w:t>
      </w:r>
    </w:p>
    <w:p w14:paraId="5C87F7F2" w14:textId="77777777" w:rsidR="00426C98" w:rsidRDefault="00000000">
      <w:pPr>
        <w:pStyle w:val="BodyText"/>
        <w:tabs>
          <w:tab w:val="left" w:pos="288"/>
        </w:tabs>
        <w:spacing w:before="0" w:after="120" w:line="228" w:lineRule="auto"/>
        <w:ind w:firstLine="288"/>
        <w:jc w:val="both"/>
        <w:rPr>
          <w:spacing w:val="-1"/>
          <w:sz w:val="20"/>
          <w:szCs w:val="20"/>
          <w:lang w:val="en-US"/>
        </w:rPr>
      </w:pPr>
      <w:r>
        <w:rPr>
          <w:spacing w:val="-1"/>
          <w:sz w:val="20"/>
          <w:szCs w:val="20"/>
          <w:lang w:val="en-US"/>
        </w:rPr>
        <w:t>As data sharing intensifies, privacy-preserving techniques have become essential. Differential privacy (DP), secure multi-party computation (MPC), homomorphic encryption (HE), and trusted execution environments (TEEs) enable secure analytics without compromising individual confidentiality [12]–[14]. Researchers have proposed combining blockchain with PETs to provide auditable yet private data workflows, with commitments and zero-knowledge proofs acting as evidence for compliance. Still, these approaches often introduce computational overheads, and their real-time suitability for NGIN workloads is insufficiently validated.</w:t>
      </w:r>
    </w:p>
    <w:p w14:paraId="673FE56A" w14:textId="77777777" w:rsidR="00426C98" w:rsidRDefault="00000000">
      <w:pPr>
        <w:pStyle w:val="BodyText"/>
        <w:tabs>
          <w:tab w:val="left" w:pos="288"/>
        </w:tabs>
        <w:spacing w:before="0" w:after="120" w:line="228" w:lineRule="auto"/>
        <w:ind w:firstLine="288"/>
        <w:jc w:val="both"/>
        <w:rPr>
          <w:spacing w:val="-1"/>
          <w:sz w:val="20"/>
          <w:szCs w:val="20"/>
          <w:lang w:val="en-US"/>
        </w:rPr>
      </w:pPr>
      <w:r>
        <w:rPr>
          <w:spacing w:val="-1"/>
          <w:sz w:val="20"/>
          <w:szCs w:val="20"/>
          <w:lang w:val="en-US"/>
        </w:rPr>
        <w:t xml:space="preserve">Practical Byzantine Fault Tolerance (PBFT) and its successors such as </w:t>
      </w:r>
      <w:proofErr w:type="spellStart"/>
      <w:r>
        <w:rPr>
          <w:spacing w:val="-1"/>
          <w:sz w:val="20"/>
          <w:szCs w:val="20"/>
          <w:lang w:val="en-US"/>
        </w:rPr>
        <w:t>HotStuff</w:t>
      </w:r>
      <w:proofErr w:type="spellEnd"/>
      <w:r>
        <w:rPr>
          <w:spacing w:val="-1"/>
          <w:sz w:val="20"/>
          <w:szCs w:val="20"/>
          <w:lang w:val="en-US"/>
        </w:rPr>
        <w:t xml:space="preserve"> address scalability and latency issues by optimizing message complexity and responsiveness [15]. Quorum’s Istanbul BFT and </w:t>
      </w:r>
      <w:proofErr w:type="spellStart"/>
      <w:r>
        <w:rPr>
          <w:spacing w:val="-1"/>
          <w:sz w:val="20"/>
          <w:szCs w:val="20"/>
          <w:lang w:val="en-US"/>
        </w:rPr>
        <w:t>Tendermint</w:t>
      </w:r>
      <w:proofErr w:type="spellEnd"/>
      <w:r>
        <w:rPr>
          <w:spacing w:val="-1"/>
          <w:sz w:val="20"/>
          <w:szCs w:val="20"/>
          <w:lang w:val="en-US"/>
        </w:rPr>
        <w:t xml:space="preserve"> e</w:t>
      </w:r>
      <w:proofErr w:type="spellStart"/>
      <w:r>
        <w:rPr>
          <w:sz w:val="20"/>
          <w:szCs w:val="20"/>
        </w:rPr>
        <w:t>xtend</w:t>
      </w:r>
      <w:proofErr w:type="spellEnd"/>
      <w:r>
        <w:rPr>
          <w:sz w:val="20"/>
          <w:szCs w:val="20"/>
        </w:rPr>
        <w:t xml:space="preserve"> these concepts for production-grade consortium blockchains [3], [4]. Advanced signature aggregation schemes such as Bo</w:t>
      </w:r>
      <w:proofErr w:type="spellStart"/>
      <w:r>
        <w:rPr>
          <w:spacing w:val="-1"/>
          <w:sz w:val="20"/>
          <w:szCs w:val="20"/>
          <w:lang w:val="en-US"/>
        </w:rPr>
        <w:t>neh</w:t>
      </w:r>
      <w:proofErr w:type="spellEnd"/>
      <w:r>
        <w:rPr>
          <w:spacing w:val="-1"/>
          <w:sz w:val="20"/>
          <w:szCs w:val="20"/>
          <w:lang w:val="en-US"/>
        </w:rPr>
        <w:t>–Lynn–Shacham (BLS) signatures further reduce verification costs in high-throughput settings [16]. Nevertheless, existing research rarely evaluates these consensus mechanisms within contexts requiring sub-second response times, as in autonomous systems or real-time industrial control.</w:t>
      </w:r>
    </w:p>
    <w:p w14:paraId="1950FFEF" w14:textId="77777777" w:rsidR="00426C98" w:rsidRDefault="00000000">
      <w:pPr>
        <w:pStyle w:val="BodyText"/>
        <w:tabs>
          <w:tab w:val="left" w:pos="288"/>
        </w:tabs>
        <w:spacing w:before="0" w:after="120" w:line="228" w:lineRule="auto"/>
        <w:ind w:firstLine="288"/>
        <w:jc w:val="both"/>
        <w:rPr>
          <w:sz w:val="20"/>
          <w:szCs w:val="20"/>
        </w:rPr>
      </w:pPr>
      <w:r>
        <w:rPr>
          <w:spacing w:val="-1"/>
          <w:sz w:val="20"/>
          <w:szCs w:val="20"/>
          <w:lang w:val="en-US"/>
        </w:rPr>
        <w:t xml:space="preserve">While significant progress has been made in blockchain-enabled identity, provenance, privacy, and consensus, the </w:t>
      </w:r>
      <w:r>
        <w:rPr>
          <w:spacing w:val="-1"/>
          <w:sz w:val="20"/>
          <w:szCs w:val="20"/>
          <w:lang w:val="en-US"/>
        </w:rPr>
        <w:t xml:space="preserve">literature reveals limited integration of these </w:t>
      </w:r>
      <w:proofErr w:type="spellStart"/>
      <w:r>
        <w:rPr>
          <w:spacing w:val="-1"/>
          <w:sz w:val="20"/>
          <w:szCs w:val="20"/>
          <w:lang w:val="en-US"/>
        </w:rPr>
        <w:t>componen</w:t>
      </w:r>
      <w:r>
        <w:rPr>
          <w:sz w:val="20"/>
          <w:szCs w:val="20"/>
        </w:rPr>
        <w:t>ts</w:t>
      </w:r>
      <w:proofErr w:type="spellEnd"/>
      <w:r>
        <w:rPr>
          <w:sz w:val="20"/>
          <w:szCs w:val="20"/>
        </w:rPr>
        <w:t xml:space="preserve"> into a unified framework capable of supporting NGIN applications. Specifically, few studies address (</w:t>
      </w:r>
      <w:proofErr w:type="spellStart"/>
      <w:r>
        <w:rPr>
          <w:sz w:val="20"/>
          <w:szCs w:val="20"/>
        </w:rPr>
        <w:t>i</w:t>
      </w:r>
      <w:proofErr w:type="spellEnd"/>
      <w:r>
        <w:rPr>
          <w:sz w:val="20"/>
          <w:szCs w:val="20"/>
        </w:rPr>
        <w:t>) how PETs, credentials, and provenance can be orchestrated in latency-sensitive environments, (ii) how compliance obligations can be directly encoded and automatically verified via smart contracts, and (iii) how to balance auditability and energy efficiency at scale. Addressing these gaps is essential for operationalizing blockchain-enabled trust in next-generation information networks.</w:t>
      </w:r>
    </w:p>
    <w:p w14:paraId="537720EE" w14:textId="77777777" w:rsidR="00426C98" w:rsidRDefault="00000000">
      <w:pPr>
        <w:pStyle w:val="IETParagraph"/>
        <w:spacing w:line="240" w:lineRule="auto"/>
        <w:ind w:firstLine="0"/>
        <w:jc w:val="center"/>
      </w:pPr>
      <w:r>
        <w:rPr>
          <w:noProof/>
        </w:rPr>
        <w:drawing>
          <wp:inline distT="0" distB="0" distL="114300" distR="114300" wp14:anchorId="67487779" wp14:editId="621C5524">
            <wp:extent cx="2477770" cy="2945765"/>
            <wp:effectExtent l="0" t="0" r="1143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2477770" cy="2945765"/>
                    </a:xfrm>
                    <a:prstGeom prst="rect">
                      <a:avLst/>
                    </a:prstGeom>
                    <a:noFill/>
                    <a:ln>
                      <a:noFill/>
                    </a:ln>
                  </pic:spPr>
                </pic:pic>
              </a:graphicData>
            </a:graphic>
          </wp:inline>
        </w:drawing>
      </w:r>
    </w:p>
    <w:p w14:paraId="1C3731A4" w14:textId="77777777" w:rsidR="00426C98" w:rsidRDefault="00426C98">
      <w:pPr>
        <w:pStyle w:val="IETParagraph"/>
        <w:spacing w:line="240" w:lineRule="auto"/>
        <w:rPr>
          <w:sz w:val="16"/>
          <w:szCs w:val="16"/>
          <w:lang w:val="en-US" w:eastAsia="en-US"/>
        </w:rPr>
      </w:pPr>
    </w:p>
    <w:p w14:paraId="0C7818A1" w14:textId="77777777" w:rsidR="00426C98" w:rsidRDefault="00000000">
      <w:pPr>
        <w:pStyle w:val="IETParagraph"/>
        <w:spacing w:line="240" w:lineRule="auto"/>
        <w:ind w:firstLineChars="634" w:firstLine="1014"/>
        <w:rPr>
          <w:sz w:val="16"/>
          <w:szCs w:val="16"/>
          <w:lang w:val="en-US" w:eastAsia="en-US"/>
        </w:rPr>
      </w:pPr>
      <w:r>
        <w:rPr>
          <w:sz w:val="16"/>
          <w:szCs w:val="16"/>
          <w:lang w:val="en-US" w:eastAsia="en-US"/>
        </w:rPr>
        <w:t>Fig. 1. Trust-by-Design Policy–Tech Stack</w:t>
      </w:r>
    </w:p>
    <w:p w14:paraId="765586DE" w14:textId="77777777" w:rsidR="00426C98" w:rsidRDefault="00000000">
      <w:pPr>
        <w:pStyle w:val="Heading1"/>
        <w:keepLines/>
        <w:numPr>
          <w:ilvl w:val="0"/>
          <w:numId w:val="7"/>
        </w:numPr>
        <w:tabs>
          <w:tab w:val="clear" w:pos="425"/>
          <w:tab w:val="left" w:pos="216"/>
        </w:tabs>
        <w:spacing w:before="160" w:after="80"/>
        <w:jc w:val="center"/>
        <w:rPr>
          <w:rFonts w:ascii="Times New Roman" w:hAnsi="Times New Roman" w:cs="Times New Roman"/>
          <w:b w:val="0"/>
          <w:bCs w:val="0"/>
          <w:smallCaps/>
          <w:kern w:val="0"/>
          <w:sz w:val="20"/>
          <w:szCs w:val="20"/>
          <w:lang w:val="en-US" w:eastAsia="en-US"/>
        </w:rPr>
      </w:pPr>
      <w:r>
        <w:rPr>
          <w:rFonts w:ascii="Times New Roman" w:hAnsi="Times New Roman" w:cs="Times New Roman"/>
          <w:b w:val="0"/>
          <w:bCs w:val="0"/>
          <w:smallCaps/>
          <w:kern w:val="0"/>
          <w:sz w:val="20"/>
          <w:szCs w:val="20"/>
          <w:lang w:val="en-US" w:eastAsia="en-US"/>
        </w:rPr>
        <w:t>Methodology</w:t>
      </w:r>
    </w:p>
    <w:p w14:paraId="4A23DD32" w14:textId="77777777" w:rsidR="00426C98" w:rsidRDefault="00000000">
      <w:pPr>
        <w:pStyle w:val="BodyText"/>
        <w:tabs>
          <w:tab w:val="left" w:pos="288"/>
        </w:tabs>
        <w:spacing w:before="0" w:after="120" w:line="228" w:lineRule="auto"/>
        <w:ind w:firstLine="288"/>
        <w:jc w:val="both"/>
        <w:rPr>
          <w:spacing w:val="-1"/>
          <w:sz w:val="20"/>
          <w:szCs w:val="20"/>
          <w:lang w:val="en-US"/>
        </w:rPr>
      </w:pPr>
      <w:r>
        <w:rPr>
          <w:spacing w:val="-1"/>
          <w:sz w:val="20"/>
          <w:szCs w:val="20"/>
          <w:lang w:val="en-US"/>
        </w:rPr>
        <w:t>In Figure 1, the research adopts a design-science methodology to systematically develop and evaluate blockchain-enabled trust models tailored for next-generation information networks (NGINs). Design science emphasizes the iterative creation of artifacts—such as architectures, frameworks, and protocols—that both address practical problems and contribute to theoretical knowledge [15]. In this context, the methodology combines theoretical modeling, simulation, and experimental validation on real-world testbeds.</w:t>
      </w:r>
    </w:p>
    <w:p w14:paraId="5CE9AC64" w14:textId="77777777" w:rsidR="00426C98" w:rsidRDefault="00000000">
      <w:pPr>
        <w:pStyle w:val="BodyText"/>
        <w:tabs>
          <w:tab w:val="left" w:pos="288"/>
        </w:tabs>
        <w:spacing w:before="0" w:after="120" w:line="228" w:lineRule="auto"/>
        <w:ind w:firstLine="288"/>
        <w:jc w:val="both"/>
        <w:rPr>
          <w:spacing w:val="-1"/>
          <w:sz w:val="20"/>
          <w:szCs w:val="20"/>
          <w:lang w:val="en-US"/>
        </w:rPr>
      </w:pPr>
      <w:r>
        <w:rPr>
          <w:spacing w:val="-1"/>
          <w:sz w:val="20"/>
          <w:szCs w:val="20"/>
          <w:lang w:val="en-US"/>
        </w:rPr>
        <w:t>In Figure 2, the methodology follows four iterative stages: (</w:t>
      </w:r>
      <w:proofErr w:type="spellStart"/>
      <w:r>
        <w:rPr>
          <w:spacing w:val="-1"/>
          <w:sz w:val="20"/>
          <w:szCs w:val="20"/>
          <w:lang w:val="en-US"/>
        </w:rPr>
        <w:t>i</w:t>
      </w:r>
      <w:proofErr w:type="spellEnd"/>
      <w:r>
        <w:rPr>
          <w:spacing w:val="-1"/>
          <w:sz w:val="20"/>
          <w:szCs w:val="20"/>
          <w:lang w:val="en-US"/>
        </w:rPr>
        <w:t xml:space="preserve">) problem relevance identification, (ii) artifact design and </w:t>
      </w:r>
      <w:r>
        <w:rPr>
          <w:sz w:val="20"/>
          <w:szCs w:val="20"/>
        </w:rPr>
        <w:t xml:space="preserve">development, (iii) demonstration and evaluation, and (iv) reflection and improvement. Problem relevance was established through stakeholder consultations across domains such as healthcare, energy, and smart city mobility, which highlighted the pressing need for verifiable provenance, compliance, and privacy in cross-domain data flows. Artifact design involved constructing the Trust-by-Design architecture, OCCAM policy grammar, and token-less consensus profiles. Demonstration and evaluation were conducted using permissioned blockchain testbeds (Hyperledger Fabric, Quorum, </w:t>
      </w:r>
      <w:proofErr w:type="spellStart"/>
      <w:r>
        <w:rPr>
          <w:sz w:val="20"/>
          <w:szCs w:val="20"/>
        </w:rPr>
        <w:t>Tendermint</w:t>
      </w:r>
      <w:proofErr w:type="spellEnd"/>
      <w:r>
        <w:rPr>
          <w:sz w:val="20"/>
          <w:szCs w:val="20"/>
        </w:rPr>
        <w:t xml:space="preserve">), where artifacts were instantiated and stress-tested under realistic workloads. Reflection involved </w:t>
      </w:r>
      <w:proofErr w:type="spellStart"/>
      <w:r>
        <w:rPr>
          <w:sz w:val="20"/>
          <w:szCs w:val="20"/>
        </w:rPr>
        <w:t>analyzing</w:t>
      </w:r>
      <w:proofErr w:type="spellEnd"/>
      <w:r>
        <w:rPr>
          <w:sz w:val="20"/>
          <w:szCs w:val="20"/>
        </w:rPr>
        <w:t xml:space="preserve"> empirical results against the </w:t>
      </w:r>
      <w:proofErr w:type="spellStart"/>
      <w:r>
        <w:rPr>
          <w:sz w:val="20"/>
          <w:szCs w:val="20"/>
        </w:rPr>
        <w:t>init</w:t>
      </w:r>
      <w:r>
        <w:rPr>
          <w:spacing w:val="-1"/>
          <w:sz w:val="20"/>
          <w:szCs w:val="20"/>
          <w:lang w:val="en-US"/>
        </w:rPr>
        <w:t>ial</w:t>
      </w:r>
      <w:proofErr w:type="spellEnd"/>
      <w:r>
        <w:rPr>
          <w:spacing w:val="-1"/>
          <w:sz w:val="20"/>
          <w:szCs w:val="20"/>
          <w:lang w:val="en-US"/>
        </w:rPr>
        <w:t xml:space="preserve"> design goals, feeding insights back into iterative refinements.</w:t>
      </w:r>
    </w:p>
    <w:p w14:paraId="0B876162" w14:textId="77777777" w:rsidR="00426C98" w:rsidRDefault="00000000">
      <w:pPr>
        <w:pStyle w:val="BodyText"/>
        <w:tabs>
          <w:tab w:val="left" w:pos="288"/>
        </w:tabs>
        <w:spacing w:before="0" w:after="120" w:line="228" w:lineRule="auto"/>
        <w:ind w:firstLine="288"/>
        <w:jc w:val="both"/>
        <w:rPr>
          <w:sz w:val="20"/>
          <w:szCs w:val="20"/>
        </w:rPr>
      </w:pPr>
      <w:r>
        <w:rPr>
          <w:spacing w:val="-1"/>
          <w:sz w:val="20"/>
          <w:szCs w:val="20"/>
          <w:lang w:val="en-US"/>
        </w:rPr>
        <w:t xml:space="preserve">To ensure relevance and reproducibility, synthetic yet realistic datasets were employed. Smart city telemetry </w:t>
      </w:r>
      <w:r>
        <w:rPr>
          <w:spacing w:val="-1"/>
          <w:sz w:val="20"/>
          <w:szCs w:val="20"/>
          <w:lang w:val="en-US"/>
        </w:rPr>
        <w:lastRenderedPageBreak/>
        <w:t>included vehicular traffic flow</w:t>
      </w:r>
      <w:r>
        <w:rPr>
          <w:sz w:val="20"/>
          <w:szCs w:val="20"/>
        </w:rPr>
        <w:t>s and air quality data sampled at 10–100 Hz per sensor. Healthcare datasets included anonymized electronic health record (EHR) event streams and patient consent updates. Energy sector datasets comprised advanced metering infrastructure (AMI) readings at intervals of 1–5 minutes. Workloads were designed to emulate real operational environments, stressing both throughput and compliance requirements.</w:t>
      </w:r>
    </w:p>
    <w:p w14:paraId="63AF930A" w14:textId="77777777" w:rsidR="00426C98" w:rsidRDefault="00000000">
      <w:pPr>
        <w:pStyle w:val="IETParagraph"/>
        <w:spacing w:line="240" w:lineRule="auto"/>
        <w:ind w:firstLine="0"/>
      </w:pPr>
      <w:r>
        <w:rPr>
          <w:noProof/>
        </w:rPr>
        <w:drawing>
          <wp:inline distT="0" distB="0" distL="114300" distR="114300" wp14:anchorId="73FB2D67" wp14:editId="0609B4C5">
            <wp:extent cx="3093720" cy="1917065"/>
            <wp:effectExtent l="0" t="0" r="508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stretch>
                      <a:fillRect/>
                    </a:stretch>
                  </pic:blipFill>
                  <pic:spPr>
                    <a:xfrm>
                      <a:off x="0" y="0"/>
                      <a:ext cx="3093720" cy="1917065"/>
                    </a:xfrm>
                    <a:prstGeom prst="rect">
                      <a:avLst/>
                    </a:prstGeom>
                    <a:noFill/>
                    <a:ln>
                      <a:noFill/>
                    </a:ln>
                  </pic:spPr>
                </pic:pic>
              </a:graphicData>
            </a:graphic>
          </wp:inline>
        </w:drawing>
      </w:r>
    </w:p>
    <w:p w14:paraId="61A8C770" w14:textId="77777777" w:rsidR="00426C98" w:rsidRDefault="00426C98">
      <w:pPr>
        <w:pStyle w:val="IETParagraph"/>
        <w:spacing w:line="240" w:lineRule="auto"/>
        <w:ind w:firstLine="0"/>
        <w:jc w:val="center"/>
        <w:rPr>
          <w:sz w:val="16"/>
          <w:szCs w:val="16"/>
        </w:rPr>
      </w:pPr>
    </w:p>
    <w:p w14:paraId="22F8079B" w14:textId="77777777" w:rsidR="00426C98" w:rsidRDefault="00000000">
      <w:pPr>
        <w:pStyle w:val="IETParagraph"/>
        <w:spacing w:line="240" w:lineRule="auto"/>
        <w:ind w:firstLine="0"/>
        <w:jc w:val="center"/>
        <w:rPr>
          <w:sz w:val="16"/>
          <w:szCs w:val="16"/>
        </w:rPr>
      </w:pPr>
      <w:r>
        <w:rPr>
          <w:sz w:val="16"/>
          <w:szCs w:val="16"/>
        </w:rPr>
        <w:t>Fig</w:t>
      </w:r>
      <w:r>
        <w:rPr>
          <w:sz w:val="16"/>
          <w:szCs w:val="16"/>
          <w:lang w:val="en-US"/>
        </w:rPr>
        <w:t>.</w:t>
      </w:r>
      <w:r>
        <w:rPr>
          <w:sz w:val="16"/>
          <w:szCs w:val="16"/>
        </w:rPr>
        <w:t xml:space="preserve"> 2. Reference Network Topology (multi-domain NGIN with validators, edge gateways, and rollup sequencers).</w:t>
      </w:r>
    </w:p>
    <w:p w14:paraId="204878B6" w14:textId="77777777" w:rsidR="00426C98" w:rsidRDefault="00426C98">
      <w:pPr>
        <w:pStyle w:val="IETParagraph"/>
        <w:spacing w:line="240" w:lineRule="auto"/>
        <w:ind w:firstLine="0"/>
        <w:jc w:val="center"/>
        <w:rPr>
          <w:sz w:val="16"/>
          <w:szCs w:val="16"/>
        </w:rPr>
      </w:pPr>
    </w:p>
    <w:p w14:paraId="174BA8D3" w14:textId="77777777" w:rsidR="00426C98" w:rsidRDefault="00000000">
      <w:pPr>
        <w:pStyle w:val="BodyText"/>
        <w:tabs>
          <w:tab w:val="left" w:pos="288"/>
        </w:tabs>
        <w:spacing w:before="0" w:after="120" w:line="228" w:lineRule="auto"/>
        <w:ind w:firstLine="288"/>
        <w:jc w:val="both"/>
        <w:rPr>
          <w:spacing w:val="-1"/>
          <w:sz w:val="20"/>
          <w:szCs w:val="20"/>
          <w:lang w:val="en-US"/>
        </w:rPr>
      </w:pPr>
      <w:r>
        <w:rPr>
          <w:spacing w:val="-1"/>
          <w:sz w:val="20"/>
          <w:szCs w:val="20"/>
          <w:lang w:val="en-US"/>
        </w:rPr>
        <w:t xml:space="preserve">Three blockchain frameworks were selected for comparative evaluation: Hyperledger Fabric v2.5, Quorum with Istanbul BFT consensus, and </w:t>
      </w:r>
      <w:proofErr w:type="spellStart"/>
      <w:r>
        <w:rPr>
          <w:spacing w:val="-1"/>
          <w:sz w:val="20"/>
          <w:szCs w:val="20"/>
          <w:lang w:val="en-US"/>
        </w:rPr>
        <w:t>Tendermint</w:t>
      </w:r>
      <w:proofErr w:type="spellEnd"/>
      <w:r>
        <w:rPr>
          <w:spacing w:val="-1"/>
          <w:sz w:val="20"/>
          <w:szCs w:val="20"/>
          <w:lang w:val="en-US"/>
        </w:rPr>
        <w:t xml:space="preserve"> v0.37. Validator cluster sizes of 24, 64, and 128 nodes were deployed across wide-area network (WAN) emulations with latencies of 5–80 </w:t>
      </w:r>
      <w:proofErr w:type="spellStart"/>
      <w:r>
        <w:rPr>
          <w:spacing w:val="-1"/>
          <w:sz w:val="20"/>
          <w:szCs w:val="20"/>
          <w:lang w:val="en-US"/>
        </w:rPr>
        <w:t>ms</w:t>
      </w:r>
      <w:proofErr w:type="spellEnd"/>
      <w:r>
        <w:rPr>
          <w:spacing w:val="-1"/>
          <w:sz w:val="20"/>
          <w:szCs w:val="20"/>
          <w:lang w:val="en-US"/>
        </w:rPr>
        <w:t xml:space="preserve"> round-trip time (RTT) and packet loss rates of 1–5%. Baseline comparisons were conducted against a Kafka-based logging system augmented with digital signatures, representing a non-blockchain trust anchor.</w:t>
      </w:r>
    </w:p>
    <w:p w14:paraId="4C985DCD" w14:textId="77777777" w:rsidR="00426C98" w:rsidRDefault="00000000">
      <w:pPr>
        <w:pStyle w:val="BodyText"/>
        <w:tabs>
          <w:tab w:val="left" w:pos="288"/>
        </w:tabs>
        <w:spacing w:before="0" w:after="120" w:line="228" w:lineRule="auto"/>
        <w:ind w:firstLine="288"/>
        <w:jc w:val="both"/>
        <w:rPr>
          <w:spacing w:val="-1"/>
          <w:sz w:val="20"/>
          <w:szCs w:val="20"/>
          <w:lang w:val="en-US"/>
        </w:rPr>
      </w:pPr>
      <w:r>
        <w:rPr>
          <w:spacing w:val="-1"/>
          <w:sz w:val="20"/>
          <w:szCs w:val="20"/>
          <w:lang w:val="en-US"/>
        </w:rPr>
        <w:t xml:space="preserve">Key performance indicators (KPIs) were defined to </w:t>
      </w:r>
      <w:proofErr w:type="spellStart"/>
      <w:r>
        <w:rPr>
          <w:spacing w:val="-1"/>
          <w:sz w:val="20"/>
          <w:szCs w:val="20"/>
          <w:lang w:val="en-US"/>
        </w:rPr>
        <w:t>evalua</w:t>
      </w:r>
      <w:r>
        <w:rPr>
          <w:sz w:val="20"/>
          <w:szCs w:val="20"/>
        </w:rPr>
        <w:t>te</w:t>
      </w:r>
      <w:proofErr w:type="spellEnd"/>
      <w:r>
        <w:rPr>
          <w:sz w:val="20"/>
          <w:szCs w:val="20"/>
        </w:rPr>
        <w:t xml:space="preserve"> system performance across technical and compliance dimensions. These included transaction latency (median and 95th percentile), throughput (transactions per second), energy per committed transaction (joules per transaction), audit completeness (percentage of events anchored), policy conformance (violations per 1,000 events), privacy loss (measured as cumulative ε in differential privacy), availability (uptime percentage), and cost (USD per 1,000 transactions). These KPIs provide a balanced assess</w:t>
      </w:r>
      <w:proofErr w:type="spellStart"/>
      <w:r>
        <w:rPr>
          <w:spacing w:val="-1"/>
          <w:sz w:val="20"/>
          <w:szCs w:val="20"/>
          <w:lang w:val="en-US"/>
        </w:rPr>
        <w:t>ment</w:t>
      </w:r>
      <w:proofErr w:type="spellEnd"/>
      <w:r>
        <w:rPr>
          <w:spacing w:val="-1"/>
          <w:sz w:val="20"/>
          <w:szCs w:val="20"/>
          <w:lang w:val="en-US"/>
        </w:rPr>
        <w:t xml:space="preserve"> of both system efficiency and its ability to enforce trust and compliance guarantees.</w:t>
      </w:r>
    </w:p>
    <w:p w14:paraId="0C534F54" w14:textId="77777777" w:rsidR="00426C98" w:rsidRDefault="00000000">
      <w:pPr>
        <w:pStyle w:val="BodyText"/>
        <w:tabs>
          <w:tab w:val="left" w:pos="288"/>
        </w:tabs>
        <w:spacing w:before="0" w:after="120" w:line="228" w:lineRule="auto"/>
        <w:ind w:firstLine="288"/>
        <w:jc w:val="both"/>
        <w:rPr>
          <w:spacing w:val="-1"/>
          <w:sz w:val="20"/>
          <w:szCs w:val="20"/>
          <w:lang w:val="en-US"/>
        </w:rPr>
      </w:pPr>
      <w:r>
        <w:rPr>
          <w:spacing w:val="-1"/>
          <w:sz w:val="20"/>
          <w:szCs w:val="20"/>
          <w:lang w:val="en-US"/>
        </w:rPr>
        <w:t>In Figure 3, Each workload was executed across multiple scenarios: (S0) baseline without blockchain, (S1) direct on-chain execution, (S2) edge anchoring with Merkle tree commitments, and (S3) rollup-style batching with validity proofs. Experiments were repeated across validator sizes and WAN profiles, with results aggregated over five independent runs to ensure statistical significance. Energy measurements were captured using Intel RAPL counters at node level and normalized per transaction. Privacy metrics were evaluated by tracking attempted versus successful queries under DP budgets and ZK verification constraints.</w:t>
      </w:r>
    </w:p>
    <w:p w14:paraId="7316F26C" w14:textId="77777777" w:rsidR="00426C98" w:rsidRDefault="00000000">
      <w:pPr>
        <w:pStyle w:val="BodyText"/>
        <w:tabs>
          <w:tab w:val="left" w:pos="288"/>
        </w:tabs>
        <w:spacing w:before="0" w:after="120" w:line="228" w:lineRule="auto"/>
        <w:ind w:firstLine="288"/>
        <w:jc w:val="both"/>
        <w:rPr>
          <w:spacing w:val="-1"/>
          <w:sz w:val="20"/>
          <w:szCs w:val="20"/>
          <w:lang w:val="en-US"/>
        </w:rPr>
      </w:pPr>
      <w:r>
        <w:rPr>
          <w:spacing w:val="-1"/>
          <w:sz w:val="20"/>
          <w:szCs w:val="20"/>
          <w:lang w:val="en-US"/>
        </w:rPr>
        <w:t xml:space="preserve">In addition to technical evaluation, ethical and </w:t>
      </w:r>
      <w:proofErr w:type="spellStart"/>
      <w:r>
        <w:rPr>
          <w:spacing w:val="-1"/>
          <w:sz w:val="20"/>
          <w:szCs w:val="20"/>
          <w:lang w:val="en-US"/>
        </w:rPr>
        <w:t>regulato</w:t>
      </w:r>
      <w:r>
        <w:rPr>
          <w:sz w:val="20"/>
          <w:szCs w:val="20"/>
        </w:rPr>
        <w:t>ry</w:t>
      </w:r>
      <w:proofErr w:type="spellEnd"/>
      <w:r>
        <w:rPr>
          <w:sz w:val="20"/>
          <w:szCs w:val="20"/>
        </w:rPr>
        <w:t xml:space="preserve"> concerns were integrated into the methodology. Data used in experiments was synthetic or anonymized to prevent privacy breaches. Policy compliance tests were informed by regulatory frameworks such as GDPR, HIPAA, and NIST Privacy Framework [18]. This ensured that the design and </w:t>
      </w:r>
      <w:proofErr w:type="spellStart"/>
      <w:r>
        <w:rPr>
          <w:sz w:val="20"/>
          <w:szCs w:val="20"/>
        </w:rPr>
        <w:t>evaluatio</w:t>
      </w:r>
      <w:proofErr w:type="spellEnd"/>
      <w:r>
        <w:rPr>
          <w:spacing w:val="-1"/>
          <w:sz w:val="20"/>
          <w:szCs w:val="20"/>
          <w:lang w:val="en-US"/>
        </w:rPr>
        <w:t>n were aligned with real-world compliance requirements [19].</w:t>
      </w:r>
    </w:p>
    <w:p w14:paraId="525F202E" w14:textId="77777777" w:rsidR="00426C98" w:rsidRDefault="00000000">
      <w:pPr>
        <w:pStyle w:val="BodyText"/>
        <w:tabs>
          <w:tab w:val="left" w:pos="288"/>
        </w:tabs>
        <w:spacing w:before="0" w:after="120" w:line="228" w:lineRule="auto"/>
        <w:ind w:firstLine="288"/>
        <w:jc w:val="both"/>
        <w:rPr>
          <w:sz w:val="20"/>
          <w:szCs w:val="20"/>
        </w:rPr>
      </w:pPr>
      <w:r>
        <w:rPr>
          <w:spacing w:val="-1"/>
          <w:sz w:val="20"/>
          <w:szCs w:val="20"/>
          <w:lang w:val="en-US"/>
        </w:rPr>
        <w:t xml:space="preserve">By combining design-science principles with rigorous experimental validation, the methodology provides both </w:t>
      </w:r>
      <w:proofErr w:type="spellStart"/>
      <w:r>
        <w:rPr>
          <w:spacing w:val="-1"/>
          <w:sz w:val="20"/>
          <w:szCs w:val="20"/>
          <w:lang w:val="en-US"/>
        </w:rPr>
        <w:t>pra</w:t>
      </w:r>
      <w:r>
        <w:rPr>
          <w:sz w:val="20"/>
          <w:szCs w:val="20"/>
        </w:rPr>
        <w:t>ctical</w:t>
      </w:r>
      <w:proofErr w:type="spellEnd"/>
      <w:r>
        <w:rPr>
          <w:sz w:val="20"/>
          <w:szCs w:val="20"/>
        </w:rPr>
        <w:t xml:space="preserve"> solutions and theoretical insights into blockchain-enabled trust in next-generation information networks</w:t>
      </w:r>
      <w:r>
        <w:rPr>
          <w:sz w:val="20"/>
          <w:szCs w:val="20"/>
          <w:lang w:val="en-US"/>
        </w:rPr>
        <w:t xml:space="preserve"> [20]</w:t>
      </w:r>
      <w:r>
        <w:rPr>
          <w:sz w:val="20"/>
          <w:szCs w:val="20"/>
        </w:rPr>
        <w:t>.</w:t>
      </w:r>
    </w:p>
    <w:p w14:paraId="266263CC" w14:textId="77777777" w:rsidR="00426C98" w:rsidRDefault="00000000">
      <w:pPr>
        <w:pStyle w:val="IETParagraph"/>
        <w:spacing w:line="240" w:lineRule="auto"/>
        <w:ind w:firstLine="0"/>
        <w:jc w:val="center"/>
      </w:pPr>
      <w:r>
        <w:rPr>
          <w:noProof/>
        </w:rPr>
        <w:drawing>
          <wp:inline distT="0" distB="0" distL="114300" distR="114300" wp14:anchorId="3D688FDB" wp14:editId="6F63976D">
            <wp:extent cx="1796415" cy="2727960"/>
            <wp:effectExtent l="0" t="0" r="6985" b="25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1796415" cy="2727960"/>
                    </a:xfrm>
                    <a:prstGeom prst="rect">
                      <a:avLst/>
                    </a:prstGeom>
                    <a:noFill/>
                    <a:ln>
                      <a:noFill/>
                    </a:ln>
                  </pic:spPr>
                </pic:pic>
              </a:graphicData>
            </a:graphic>
          </wp:inline>
        </w:drawing>
      </w:r>
    </w:p>
    <w:p w14:paraId="279B4FD8" w14:textId="77777777" w:rsidR="00426C98" w:rsidRDefault="00426C98">
      <w:pPr>
        <w:pStyle w:val="IETParagraph"/>
        <w:spacing w:line="240" w:lineRule="auto"/>
        <w:ind w:firstLine="0"/>
        <w:jc w:val="center"/>
        <w:rPr>
          <w:sz w:val="16"/>
          <w:szCs w:val="16"/>
        </w:rPr>
      </w:pPr>
    </w:p>
    <w:p w14:paraId="0C52D6EE" w14:textId="77777777" w:rsidR="00426C98" w:rsidRDefault="00000000">
      <w:pPr>
        <w:pStyle w:val="IETParagraph"/>
        <w:spacing w:line="240" w:lineRule="auto"/>
        <w:ind w:firstLine="0"/>
        <w:jc w:val="center"/>
        <w:rPr>
          <w:sz w:val="16"/>
          <w:szCs w:val="16"/>
        </w:rPr>
      </w:pPr>
      <w:r>
        <w:rPr>
          <w:sz w:val="16"/>
          <w:szCs w:val="16"/>
        </w:rPr>
        <w:t>Fig</w:t>
      </w:r>
      <w:r>
        <w:rPr>
          <w:sz w:val="16"/>
          <w:szCs w:val="16"/>
          <w:lang w:val="en-US"/>
        </w:rPr>
        <w:t>.</w:t>
      </w:r>
      <w:r>
        <w:rPr>
          <w:sz w:val="16"/>
          <w:szCs w:val="16"/>
        </w:rPr>
        <w:t xml:space="preserve"> 3</w:t>
      </w:r>
      <w:r>
        <w:rPr>
          <w:sz w:val="16"/>
          <w:szCs w:val="16"/>
          <w:lang w:val="en-US"/>
        </w:rPr>
        <w:t>.</w:t>
      </w:r>
      <w:r>
        <w:rPr>
          <w:sz w:val="16"/>
          <w:szCs w:val="16"/>
        </w:rPr>
        <w:t xml:space="preserve"> Edge Anchoring and Rollup Workflow</w:t>
      </w:r>
    </w:p>
    <w:p w14:paraId="610C2A8C" w14:textId="77777777" w:rsidR="00426C98" w:rsidRDefault="00000000">
      <w:pPr>
        <w:pStyle w:val="Heading1"/>
        <w:keepLines/>
        <w:numPr>
          <w:ilvl w:val="0"/>
          <w:numId w:val="7"/>
        </w:numPr>
        <w:tabs>
          <w:tab w:val="clear" w:pos="425"/>
          <w:tab w:val="left" w:pos="216"/>
        </w:tabs>
        <w:spacing w:before="160" w:after="80"/>
        <w:jc w:val="center"/>
        <w:rPr>
          <w:rFonts w:ascii="Times New Roman" w:hAnsi="Times New Roman" w:cs="Times New Roman"/>
          <w:b w:val="0"/>
          <w:bCs w:val="0"/>
          <w:smallCaps/>
          <w:kern w:val="0"/>
          <w:sz w:val="20"/>
          <w:szCs w:val="20"/>
          <w:lang w:val="en-US" w:eastAsia="en-US"/>
        </w:rPr>
      </w:pPr>
      <w:r>
        <w:rPr>
          <w:rFonts w:ascii="Times New Roman" w:hAnsi="Times New Roman" w:cs="Times New Roman"/>
          <w:b w:val="0"/>
          <w:bCs w:val="0"/>
          <w:smallCaps/>
          <w:kern w:val="0"/>
          <w:sz w:val="20"/>
          <w:szCs w:val="20"/>
          <w:lang w:val="en-US" w:eastAsia="en-US"/>
        </w:rPr>
        <w:t>Results</w:t>
      </w:r>
    </w:p>
    <w:p w14:paraId="2AC91EA4" w14:textId="77777777" w:rsidR="00426C98" w:rsidRDefault="00000000">
      <w:pPr>
        <w:pStyle w:val="BodyText"/>
        <w:tabs>
          <w:tab w:val="left" w:pos="288"/>
        </w:tabs>
        <w:spacing w:before="0" w:after="120" w:line="228" w:lineRule="auto"/>
        <w:ind w:firstLine="288"/>
        <w:jc w:val="both"/>
        <w:rPr>
          <w:spacing w:val="-1"/>
          <w:sz w:val="20"/>
          <w:szCs w:val="20"/>
          <w:lang w:val="en-US"/>
        </w:rPr>
      </w:pPr>
      <w:r>
        <w:rPr>
          <w:spacing w:val="-1"/>
          <w:sz w:val="20"/>
          <w:szCs w:val="20"/>
          <w:lang w:val="en-US"/>
        </w:rPr>
        <w:t xml:space="preserve">This section presents the experimental results obtained from evaluating blockchain-enabled trust models across three representative workloads—smart city telemetry, healthcare event logs, and energy meter readings—executed on Fabric, Quorum, and </w:t>
      </w:r>
      <w:proofErr w:type="spellStart"/>
      <w:r>
        <w:rPr>
          <w:spacing w:val="-1"/>
          <w:sz w:val="20"/>
          <w:szCs w:val="20"/>
          <w:lang w:val="en-US"/>
        </w:rPr>
        <w:t>Tendermint</w:t>
      </w:r>
      <w:proofErr w:type="spellEnd"/>
      <w:r>
        <w:rPr>
          <w:spacing w:val="-1"/>
          <w:sz w:val="20"/>
          <w:szCs w:val="20"/>
          <w:lang w:val="en-US"/>
        </w:rPr>
        <w:t xml:space="preserve"> testbeds. Results are reported across four scenarios: (S0) non-blockchain baseline, (S1) direct on-chain execution, (S2) edge anchoring, and (S3) rollup-style batching. Performance metrics include latency, throughput, energy efficiency, auditability, compliance, privacy, and availability.</w:t>
      </w:r>
    </w:p>
    <w:p w14:paraId="00A954FF" w14:textId="77777777" w:rsidR="00426C98" w:rsidRDefault="00000000">
      <w:pPr>
        <w:pStyle w:val="BodyText"/>
        <w:tabs>
          <w:tab w:val="left" w:pos="288"/>
        </w:tabs>
        <w:spacing w:before="0" w:after="120" w:line="228" w:lineRule="auto"/>
        <w:jc w:val="both"/>
        <w:rPr>
          <w:sz w:val="20"/>
          <w:szCs w:val="20"/>
        </w:rPr>
      </w:pPr>
      <w:r>
        <w:rPr>
          <w:noProof/>
          <w:sz w:val="20"/>
          <w:szCs w:val="20"/>
        </w:rPr>
        <w:drawing>
          <wp:inline distT="0" distB="0" distL="114300" distR="114300" wp14:anchorId="5AB52CC1" wp14:editId="7382C133">
            <wp:extent cx="3085465" cy="1726565"/>
            <wp:effectExtent l="0" t="0" r="635" b="63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3085465" cy="1726565"/>
                    </a:xfrm>
                    <a:prstGeom prst="rect">
                      <a:avLst/>
                    </a:prstGeom>
                    <a:noFill/>
                    <a:ln>
                      <a:noFill/>
                    </a:ln>
                  </pic:spPr>
                </pic:pic>
              </a:graphicData>
            </a:graphic>
          </wp:inline>
        </w:drawing>
      </w:r>
    </w:p>
    <w:p w14:paraId="7B2E5ED3" w14:textId="77777777" w:rsidR="00426C98" w:rsidRDefault="00000000">
      <w:pPr>
        <w:pStyle w:val="BodyText"/>
        <w:tabs>
          <w:tab w:val="left" w:pos="288"/>
        </w:tabs>
        <w:spacing w:before="0" w:after="120" w:line="228" w:lineRule="auto"/>
        <w:ind w:firstLine="288"/>
        <w:jc w:val="center"/>
        <w:rPr>
          <w:sz w:val="16"/>
          <w:szCs w:val="16"/>
        </w:rPr>
      </w:pPr>
      <w:r>
        <w:rPr>
          <w:sz w:val="16"/>
          <w:szCs w:val="16"/>
        </w:rPr>
        <w:t>Fig</w:t>
      </w:r>
      <w:r>
        <w:rPr>
          <w:sz w:val="16"/>
          <w:szCs w:val="16"/>
          <w:lang w:val="en-US"/>
        </w:rPr>
        <w:t>.</w:t>
      </w:r>
      <w:r>
        <w:rPr>
          <w:sz w:val="16"/>
          <w:szCs w:val="16"/>
        </w:rPr>
        <w:t xml:space="preserve"> </w:t>
      </w:r>
      <w:r>
        <w:rPr>
          <w:sz w:val="16"/>
          <w:szCs w:val="16"/>
          <w:lang w:val="en-US"/>
        </w:rPr>
        <w:t>4</w:t>
      </w:r>
      <w:r>
        <w:rPr>
          <w:sz w:val="16"/>
          <w:szCs w:val="16"/>
        </w:rPr>
        <w:t>. Latency CDFs Across Scenarios (S0–S3, metro/regional/inter-continental WAN).</w:t>
      </w:r>
    </w:p>
    <w:p w14:paraId="3CF8BA97" w14:textId="77777777" w:rsidR="00426C98" w:rsidRDefault="00000000">
      <w:pPr>
        <w:pStyle w:val="BodyText"/>
        <w:tabs>
          <w:tab w:val="left" w:pos="288"/>
        </w:tabs>
        <w:spacing w:before="0" w:after="120" w:line="228" w:lineRule="auto"/>
        <w:ind w:firstLine="288"/>
        <w:jc w:val="both"/>
        <w:rPr>
          <w:sz w:val="20"/>
          <w:szCs w:val="20"/>
        </w:rPr>
      </w:pPr>
      <w:r>
        <w:rPr>
          <w:sz w:val="20"/>
          <w:szCs w:val="20"/>
          <w:lang w:val="en-US"/>
        </w:rPr>
        <w:t xml:space="preserve">In Figure 4, results demonstrate that direct on-chain execution (S1) introduces significant latency compared to the baseline (S0), with p95 latencies reaching 420–680 </w:t>
      </w:r>
      <w:proofErr w:type="spellStart"/>
      <w:r>
        <w:rPr>
          <w:sz w:val="20"/>
          <w:szCs w:val="20"/>
          <w:lang w:val="en-US"/>
        </w:rPr>
        <w:t>ms</w:t>
      </w:r>
      <w:proofErr w:type="spellEnd"/>
      <w:r>
        <w:rPr>
          <w:sz w:val="20"/>
          <w:szCs w:val="20"/>
          <w:lang w:val="en-US"/>
        </w:rPr>
        <w:t xml:space="preserve"> under 64-no</w:t>
      </w:r>
      <w:r>
        <w:rPr>
          <w:spacing w:val="-1"/>
          <w:sz w:val="20"/>
          <w:szCs w:val="20"/>
          <w:lang w:val="en-US"/>
        </w:rPr>
        <w:t>de deployments. However, when edge anchoring (S2) was app</w:t>
      </w:r>
      <w:r>
        <w:rPr>
          <w:sz w:val="20"/>
          <w:szCs w:val="20"/>
        </w:rPr>
        <w:t xml:space="preserve">lied, latencies were reduced to 148–320 </w:t>
      </w:r>
      <w:proofErr w:type="spellStart"/>
      <w:r>
        <w:rPr>
          <w:sz w:val="20"/>
          <w:szCs w:val="20"/>
        </w:rPr>
        <w:t>ms</w:t>
      </w:r>
      <w:proofErr w:type="spellEnd"/>
      <w:r>
        <w:rPr>
          <w:sz w:val="20"/>
          <w:szCs w:val="20"/>
        </w:rPr>
        <w:t xml:space="preserve"> in metro and regional WAN profiles. Rollup-style batching (S3) further improved performance, enabling throughput above 10,000 transactions per second while keeping p95 latency below 250 </w:t>
      </w:r>
      <w:proofErr w:type="spellStart"/>
      <w:r>
        <w:rPr>
          <w:sz w:val="20"/>
          <w:szCs w:val="20"/>
        </w:rPr>
        <w:t>ms</w:t>
      </w:r>
      <w:proofErr w:type="spellEnd"/>
      <w:r>
        <w:rPr>
          <w:sz w:val="20"/>
          <w:szCs w:val="20"/>
        </w:rPr>
        <w:t xml:space="preserve">. </w:t>
      </w:r>
      <w:r>
        <w:rPr>
          <w:sz w:val="20"/>
          <w:szCs w:val="20"/>
          <w:lang w:val="en-US"/>
        </w:rPr>
        <w:t xml:space="preserve"> In Figure 5, t</w:t>
      </w:r>
      <w:proofErr w:type="spellStart"/>
      <w:r>
        <w:rPr>
          <w:sz w:val="20"/>
          <w:szCs w:val="20"/>
        </w:rPr>
        <w:t>hese</w:t>
      </w:r>
      <w:proofErr w:type="spellEnd"/>
      <w:r>
        <w:rPr>
          <w:sz w:val="20"/>
          <w:szCs w:val="20"/>
        </w:rPr>
        <w:t xml:space="preserve"> findings highlight that blockchain-based trust can be integrated into next-</w:t>
      </w:r>
      <w:r>
        <w:rPr>
          <w:sz w:val="20"/>
          <w:szCs w:val="20"/>
        </w:rPr>
        <w:lastRenderedPageBreak/>
        <w:t>generation information networks without violating real-time service-level agreements (SLAs), provided batching and aggregation techniques are used.</w:t>
      </w:r>
    </w:p>
    <w:p w14:paraId="2D1B147D" w14:textId="77777777" w:rsidR="00426C98" w:rsidRDefault="00426C98">
      <w:pPr>
        <w:pStyle w:val="IETParagraph"/>
        <w:spacing w:line="240" w:lineRule="auto"/>
        <w:rPr>
          <w:sz w:val="20"/>
          <w:szCs w:val="20"/>
        </w:rPr>
      </w:pPr>
    </w:p>
    <w:p w14:paraId="02EDCCE4" w14:textId="77777777" w:rsidR="00426C98" w:rsidRDefault="00000000">
      <w:pPr>
        <w:pStyle w:val="IETParagraph"/>
        <w:spacing w:line="240" w:lineRule="auto"/>
        <w:ind w:firstLine="0"/>
      </w:pPr>
      <w:r>
        <w:rPr>
          <w:noProof/>
        </w:rPr>
        <w:drawing>
          <wp:inline distT="0" distB="0" distL="114300" distR="114300" wp14:anchorId="7A3AC09A" wp14:editId="3AFBD68C">
            <wp:extent cx="3091815" cy="2010410"/>
            <wp:effectExtent l="0" t="0" r="6985"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14"/>
                    <a:stretch>
                      <a:fillRect/>
                    </a:stretch>
                  </pic:blipFill>
                  <pic:spPr>
                    <a:xfrm>
                      <a:off x="0" y="0"/>
                      <a:ext cx="3091815" cy="2010410"/>
                    </a:xfrm>
                    <a:prstGeom prst="rect">
                      <a:avLst/>
                    </a:prstGeom>
                    <a:noFill/>
                    <a:ln>
                      <a:noFill/>
                    </a:ln>
                  </pic:spPr>
                </pic:pic>
              </a:graphicData>
            </a:graphic>
          </wp:inline>
        </w:drawing>
      </w:r>
    </w:p>
    <w:p w14:paraId="77D9F342" w14:textId="77777777" w:rsidR="00426C98" w:rsidRDefault="00000000">
      <w:pPr>
        <w:pStyle w:val="BodyText"/>
        <w:tabs>
          <w:tab w:val="left" w:pos="288"/>
        </w:tabs>
        <w:spacing w:before="0" w:after="120" w:line="228" w:lineRule="auto"/>
        <w:ind w:firstLine="288"/>
        <w:jc w:val="center"/>
        <w:rPr>
          <w:spacing w:val="-1"/>
          <w:sz w:val="16"/>
          <w:szCs w:val="16"/>
          <w:lang w:val="en-US"/>
        </w:rPr>
      </w:pPr>
      <w:r>
        <w:rPr>
          <w:sz w:val="16"/>
          <w:szCs w:val="16"/>
          <w:lang w:val="en-US" w:eastAsia="en-US"/>
        </w:rPr>
        <w:t>Fig.</w:t>
      </w:r>
      <w:r>
        <w:rPr>
          <w:rFonts w:hint="eastAsia"/>
          <w:sz w:val="16"/>
          <w:szCs w:val="16"/>
          <w:lang w:val="en-US"/>
        </w:rPr>
        <w:t xml:space="preserve"> </w:t>
      </w:r>
      <w:r>
        <w:rPr>
          <w:sz w:val="16"/>
          <w:szCs w:val="16"/>
          <w:lang w:val="en-US" w:eastAsia="en-US"/>
        </w:rPr>
        <w:t xml:space="preserve">5. </w:t>
      </w:r>
      <w:r>
        <w:rPr>
          <w:sz w:val="16"/>
          <w:szCs w:val="16"/>
        </w:rPr>
        <w:t xml:space="preserve">Throughput vs. Validator Count (24/64/128 nodes </w:t>
      </w:r>
      <w:r>
        <w:rPr>
          <w:spacing w:val="-1"/>
          <w:sz w:val="16"/>
          <w:szCs w:val="16"/>
          <w:lang w:val="en-US"/>
        </w:rPr>
        <w:t>across blockchain frameworks).</w:t>
      </w:r>
    </w:p>
    <w:p w14:paraId="7F56202A" w14:textId="77777777" w:rsidR="00426C98" w:rsidRDefault="00000000">
      <w:pPr>
        <w:pStyle w:val="BodyText"/>
        <w:tabs>
          <w:tab w:val="left" w:pos="288"/>
        </w:tabs>
        <w:spacing w:before="0" w:after="120" w:line="228" w:lineRule="auto"/>
        <w:ind w:firstLine="288"/>
        <w:jc w:val="both"/>
        <w:rPr>
          <w:sz w:val="20"/>
          <w:szCs w:val="20"/>
        </w:rPr>
      </w:pPr>
      <w:r>
        <w:rPr>
          <w:spacing w:val="-1"/>
          <w:sz w:val="20"/>
          <w:szCs w:val="20"/>
          <w:lang w:val="en-US"/>
        </w:rPr>
        <w:t>The baseline system (S0) achieved only partial auditability, with 27–41% of events anchored using signed logs and Kafka storage. In contrast, blockchain-enabled scenario</w:t>
      </w:r>
      <w:r>
        <w:rPr>
          <w:sz w:val="20"/>
          <w:szCs w:val="20"/>
        </w:rPr>
        <w:t>s (S2 and S3) achieved audit completeness above 95%. Moreover, the time required to verify compliance obligations—such as consent validity, retention rules, and locality constraints—was reduced by an average of 8.9× compared to S0. This demonstrates the potential of blockchain to transform compliance auditing from a retrospective, document-based process into an automated, real-time activity.</w:t>
      </w:r>
    </w:p>
    <w:p w14:paraId="261CDF79" w14:textId="1A03410B" w:rsidR="00426C98" w:rsidRDefault="00426C98">
      <w:pPr>
        <w:pStyle w:val="IETParagraph"/>
        <w:spacing w:line="240" w:lineRule="auto"/>
        <w:ind w:firstLine="0"/>
      </w:pPr>
    </w:p>
    <w:p w14:paraId="3CB5F44E" w14:textId="1C621D3F" w:rsidR="00426C98" w:rsidRDefault="00000000">
      <w:pPr>
        <w:pStyle w:val="BodyText"/>
        <w:tabs>
          <w:tab w:val="left" w:pos="288"/>
        </w:tabs>
        <w:spacing w:before="0" w:after="120" w:line="228" w:lineRule="auto"/>
        <w:ind w:firstLine="288"/>
        <w:jc w:val="center"/>
        <w:rPr>
          <w:spacing w:val="-1"/>
          <w:sz w:val="16"/>
          <w:szCs w:val="16"/>
          <w:lang w:val="en-US"/>
        </w:rPr>
      </w:pPr>
      <w:r>
        <w:rPr>
          <w:spacing w:val="-1"/>
          <w:sz w:val="16"/>
          <w:szCs w:val="16"/>
          <w:lang w:val="en-US"/>
        </w:rPr>
        <w:t>Fig. 6. Energy per Committed Transaction (box plots across workloads and</w:t>
      </w:r>
      <w:r w:rsidR="006F576F">
        <w:rPr>
          <w:noProof/>
        </w:rPr>
        <w:drawing>
          <wp:inline distT="0" distB="0" distL="114300" distR="114300" wp14:anchorId="7B08ABDC" wp14:editId="597B490E">
            <wp:extent cx="3094990" cy="1750060"/>
            <wp:effectExtent l="0" t="0" r="3810" b="2540"/>
            <wp:docPr id="9" name="Picture 7" descr="A diagram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A diagram of different colored squares&#10;&#10;AI-generated content may be incorrect."/>
                    <pic:cNvPicPr>
                      <a:picLocks noChangeAspect="1"/>
                    </pic:cNvPicPr>
                  </pic:nvPicPr>
                  <pic:blipFill>
                    <a:blip r:embed="rId15"/>
                    <a:stretch>
                      <a:fillRect/>
                    </a:stretch>
                  </pic:blipFill>
                  <pic:spPr>
                    <a:xfrm>
                      <a:off x="0" y="0"/>
                      <a:ext cx="3094990" cy="1750060"/>
                    </a:xfrm>
                    <a:prstGeom prst="rect">
                      <a:avLst/>
                    </a:prstGeom>
                    <a:noFill/>
                    <a:ln>
                      <a:noFill/>
                    </a:ln>
                  </pic:spPr>
                </pic:pic>
              </a:graphicData>
            </a:graphic>
          </wp:inline>
        </w:drawing>
      </w:r>
      <w:r>
        <w:rPr>
          <w:spacing w:val="-1"/>
          <w:sz w:val="16"/>
          <w:szCs w:val="16"/>
          <w:lang w:val="en-US"/>
        </w:rPr>
        <w:t xml:space="preserve"> scenarios).</w:t>
      </w:r>
    </w:p>
    <w:p w14:paraId="2B6A3BE3" w14:textId="77777777" w:rsidR="00426C98" w:rsidRDefault="00000000">
      <w:pPr>
        <w:pStyle w:val="BodyText"/>
        <w:tabs>
          <w:tab w:val="left" w:pos="288"/>
        </w:tabs>
        <w:spacing w:before="0" w:after="120" w:line="228" w:lineRule="auto"/>
        <w:ind w:firstLine="288"/>
        <w:jc w:val="both"/>
        <w:rPr>
          <w:sz w:val="20"/>
          <w:szCs w:val="20"/>
        </w:rPr>
      </w:pPr>
      <w:r>
        <w:rPr>
          <w:spacing w:val="-1"/>
          <w:sz w:val="20"/>
          <w:szCs w:val="20"/>
          <w:lang w:val="en-US"/>
        </w:rPr>
        <w:t>In Figure 6, Blockchain scenarios incur higher energy costs compared to the baseline. Energy per transaction increased by 12–22% for direct on-chain execution (S1). With</w:t>
      </w:r>
      <w:r>
        <w:rPr>
          <w:sz w:val="20"/>
          <w:szCs w:val="20"/>
        </w:rPr>
        <w:t xml:space="preserve"> edge anchoring and batching, the overhead was reduced to below 15%, even under workloads exceeding 5,000 transactions per second. These findings indicate that while blockchain introduces additional energy costs, optimizations such as signature aggregation (e.g., BLS) and rollups can mitigate the overhead, maintaining sustainability goals for NGIN deployments.</w:t>
      </w:r>
    </w:p>
    <w:p w14:paraId="25884E5B" w14:textId="77777777" w:rsidR="00426C98" w:rsidRDefault="00000000">
      <w:pPr>
        <w:pStyle w:val="IETParagraph"/>
        <w:spacing w:line="240" w:lineRule="auto"/>
        <w:ind w:firstLine="0"/>
        <w:jc w:val="center"/>
        <w:rPr>
          <w:smallCaps/>
          <w:sz w:val="16"/>
          <w:szCs w:val="16"/>
          <w:lang w:val="en-US" w:eastAsia="en-US"/>
        </w:rPr>
      </w:pPr>
      <w:r>
        <w:rPr>
          <w:smallCaps/>
          <w:sz w:val="16"/>
          <w:szCs w:val="16"/>
          <w:lang w:val="en-US" w:eastAsia="en-US"/>
        </w:rPr>
        <w:t>TABLE 1. Privacy/Compliance Outcomes (DP budgets, ZK verifier timings, blocked queries)</w:t>
      </w:r>
    </w:p>
    <w:p w14:paraId="7932B932" w14:textId="77777777" w:rsidR="00426C98" w:rsidRDefault="00426C98">
      <w:pPr>
        <w:pStyle w:val="IETParagraph"/>
        <w:spacing w:line="240" w:lineRule="auto"/>
        <w:ind w:firstLine="0"/>
        <w:jc w:val="center"/>
        <w:rPr>
          <w:smallCaps/>
          <w:sz w:val="16"/>
          <w:szCs w:val="16"/>
          <w:lang w:val="en-US" w:eastAsia="en-US"/>
        </w:rPr>
      </w:pPr>
    </w:p>
    <w:tbl>
      <w:tblPr>
        <w:tblW w:w="4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080"/>
        <w:gridCol w:w="1080"/>
        <w:gridCol w:w="1080"/>
      </w:tblGrid>
      <w:tr w:rsidR="00426C98" w14:paraId="24E6C73B" w14:textId="77777777">
        <w:trPr>
          <w:trHeight w:val="290"/>
          <w:jc w:val="center"/>
        </w:trPr>
        <w:tc>
          <w:tcPr>
            <w:tcW w:w="1447" w:type="dxa"/>
            <w:noWrap/>
            <w:vAlign w:val="center"/>
          </w:tcPr>
          <w:p w14:paraId="29F79F96" w14:textId="77777777" w:rsidR="00426C98" w:rsidRDefault="00000000">
            <w:pPr>
              <w:textAlignment w:val="center"/>
              <w:rPr>
                <w:color w:val="000000"/>
                <w:sz w:val="16"/>
                <w:szCs w:val="16"/>
              </w:rPr>
            </w:pPr>
            <w:r>
              <w:rPr>
                <w:color w:val="000000"/>
                <w:sz w:val="16"/>
                <w:szCs w:val="16"/>
                <w:lang w:val="en-US" w:bidi="ar"/>
              </w:rPr>
              <w:t>Scenario</w:t>
            </w:r>
          </w:p>
        </w:tc>
        <w:tc>
          <w:tcPr>
            <w:tcW w:w="1080" w:type="dxa"/>
            <w:noWrap/>
            <w:vAlign w:val="center"/>
          </w:tcPr>
          <w:p w14:paraId="1BB2110A" w14:textId="77777777" w:rsidR="00426C98" w:rsidRDefault="00000000">
            <w:pPr>
              <w:textAlignment w:val="center"/>
              <w:rPr>
                <w:b/>
                <w:bCs/>
                <w:color w:val="000000"/>
                <w:sz w:val="16"/>
                <w:szCs w:val="16"/>
              </w:rPr>
            </w:pPr>
            <w:r>
              <w:rPr>
                <w:b/>
                <w:bCs/>
                <w:color w:val="000000"/>
                <w:sz w:val="16"/>
                <w:szCs w:val="16"/>
                <w:lang w:val="en-US" w:bidi="ar"/>
              </w:rPr>
              <w:t>DP Budget (ɛ)</w:t>
            </w:r>
          </w:p>
        </w:tc>
        <w:tc>
          <w:tcPr>
            <w:tcW w:w="1080" w:type="dxa"/>
            <w:noWrap/>
            <w:vAlign w:val="center"/>
          </w:tcPr>
          <w:p w14:paraId="1944746B" w14:textId="77777777" w:rsidR="00426C98" w:rsidRDefault="00000000">
            <w:pPr>
              <w:textAlignment w:val="center"/>
              <w:rPr>
                <w:b/>
                <w:bCs/>
                <w:color w:val="000000"/>
                <w:sz w:val="16"/>
                <w:szCs w:val="16"/>
              </w:rPr>
            </w:pPr>
            <w:r>
              <w:rPr>
                <w:b/>
                <w:bCs/>
                <w:color w:val="000000"/>
                <w:sz w:val="16"/>
                <w:szCs w:val="16"/>
                <w:lang w:val="en-US" w:bidi="ar"/>
              </w:rPr>
              <w:t>ZK Verifier Time (</w:t>
            </w:r>
            <w:proofErr w:type="spellStart"/>
            <w:r>
              <w:rPr>
                <w:b/>
                <w:bCs/>
                <w:color w:val="000000"/>
                <w:sz w:val="16"/>
                <w:szCs w:val="16"/>
                <w:lang w:val="en-US" w:bidi="ar"/>
              </w:rPr>
              <w:t>ms</w:t>
            </w:r>
            <w:proofErr w:type="spellEnd"/>
            <w:r>
              <w:rPr>
                <w:b/>
                <w:bCs/>
                <w:color w:val="000000"/>
                <w:sz w:val="16"/>
                <w:szCs w:val="16"/>
                <w:lang w:val="en-US" w:bidi="ar"/>
              </w:rPr>
              <w:t>)</w:t>
            </w:r>
          </w:p>
        </w:tc>
        <w:tc>
          <w:tcPr>
            <w:tcW w:w="1080" w:type="dxa"/>
            <w:noWrap/>
            <w:vAlign w:val="center"/>
          </w:tcPr>
          <w:p w14:paraId="7232E0CB" w14:textId="77777777" w:rsidR="00426C98" w:rsidRDefault="00000000">
            <w:pPr>
              <w:textAlignment w:val="center"/>
              <w:rPr>
                <w:b/>
                <w:bCs/>
                <w:color w:val="000000"/>
                <w:sz w:val="16"/>
                <w:szCs w:val="16"/>
              </w:rPr>
            </w:pPr>
            <w:r>
              <w:rPr>
                <w:b/>
                <w:bCs/>
                <w:color w:val="000000"/>
                <w:sz w:val="16"/>
                <w:szCs w:val="16"/>
                <w:lang w:val="en-US" w:bidi="ar"/>
              </w:rPr>
              <w:t>Blocked Queries (%)</w:t>
            </w:r>
          </w:p>
        </w:tc>
      </w:tr>
      <w:tr w:rsidR="00426C98" w14:paraId="05CFA1BD" w14:textId="77777777">
        <w:trPr>
          <w:trHeight w:val="290"/>
          <w:jc w:val="center"/>
        </w:trPr>
        <w:tc>
          <w:tcPr>
            <w:tcW w:w="1447" w:type="dxa"/>
            <w:noWrap/>
            <w:vAlign w:val="center"/>
          </w:tcPr>
          <w:p w14:paraId="4475E319" w14:textId="77777777" w:rsidR="00426C98" w:rsidRDefault="00000000">
            <w:pPr>
              <w:textAlignment w:val="center"/>
              <w:rPr>
                <w:color w:val="000000"/>
                <w:sz w:val="16"/>
                <w:szCs w:val="16"/>
              </w:rPr>
            </w:pPr>
            <w:r>
              <w:rPr>
                <w:color w:val="000000"/>
                <w:sz w:val="16"/>
                <w:szCs w:val="16"/>
                <w:lang w:val="en-US" w:bidi="ar"/>
              </w:rPr>
              <w:t>S1 Direct On-chain</w:t>
            </w:r>
          </w:p>
        </w:tc>
        <w:tc>
          <w:tcPr>
            <w:tcW w:w="1080" w:type="dxa"/>
            <w:noWrap/>
            <w:vAlign w:val="center"/>
          </w:tcPr>
          <w:p w14:paraId="7996068D" w14:textId="77777777" w:rsidR="00426C98" w:rsidRDefault="00000000">
            <w:pPr>
              <w:jc w:val="right"/>
              <w:textAlignment w:val="center"/>
              <w:rPr>
                <w:color w:val="000000"/>
                <w:sz w:val="16"/>
                <w:szCs w:val="16"/>
              </w:rPr>
            </w:pPr>
            <w:r>
              <w:rPr>
                <w:color w:val="000000"/>
                <w:sz w:val="16"/>
                <w:szCs w:val="16"/>
                <w:lang w:val="en-US" w:bidi="ar"/>
              </w:rPr>
              <w:t>8.5</w:t>
            </w:r>
          </w:p>
        </w:tc>
        <w:tc>
          <w:tcPr>
            <w:tcW w:w="1080" w:type="dxa"/>
            <w:noWrap/>
            <w:vAlign w:val="center"/>
          </w:tcPr>
          <w:p w14:paraId="0B865293" w14:textId="77777777" w:rsidR="00426C98" w:rsidRDefault="00000000">
            <w:pPr>
              <w:jc w:val="right"/>
              <w:textAlignment w:val="center"/>
              <w:rPr>
                <w:color w:val="000000"/>
                <w:sz w:val="16"/>
                <w:szCs w:val="16"/>
              </w:rPr>
            </w:pPr>
            <w:r>
              <w:rPr>
                <w:color w:val="000000"/>
                <w:sz w:val="16"/>
                <w:szCs w:val="16"/>
                <w:lang w:val="en-US" w:bidi="ar"/>
              </w:rPr>
              <w:t>35</w:t>
            </w:r>
          </w:p>
        </w:tc>
        <w:tc>
          <w:tcPr>
            <w:tcW w:w="1080" w:type="dxa"/>
            <w:noWrap/>
            <w:vAlign w:val="center"/>
          </w:tcPr>
          <w:p w14:paraId="3B1A94EA" w14:textId="77777777" w:rsidR="00426C98" w:rsidRDefault="00000000">
            <w:pPr>
              <w:jc w:val="right"/>
              <w:textAlignment w:val="center"/>
              <w:rPr>
                <w:color w:val="000000"/>
                <w:sz w:val="16"/>
                <w:szCs w:val="16"/>
              </w:rPr>
            </w:pPr>
            <w:r>
              <w:rPr>
                <w:color w:val="000000"/>
                <w:sz w:val="16"/>
                <w:szCs w:val="16"/>
                <w:lang w:val="en-US" w:bidi="ar"/>
              </w:rPr>
              <w:t>97.8</w:t>
            </w:r>
          </w:p>
        </w:tc>
      </w:tr>
      <w:tr w:rsidR="00426C98" w14:paraId="359E7346" w14:textId="77777777">
        <w:trPr>
          <w:trHeight w:val="290"/>
          <w:jc w:val="center"/>
        </w:trPr>
        <w:tc>
          <w:tcPr>
            <w:tcW w:w="1447" w:type="dxa"/>
            <w:noWrap/>
            <w:vAlign w:val="center"/>
          </w:tcPr>
          <w:p w14:paraId="097C8324" w14:textId="77777777" w:rsidR="00426C98" w:rsidRDefault="00000000">
            <w:pPr>
              <w:textAlignment w:val="center"/>
              <w:rPr>
                <w:color w:val="000000"/>
                <w:sz w:val="16"/>
                <w:szCs w:val="16"/>
              </w:rPr>
            </w:pPr>
            <w:r>
              <w:rPr>
                <w:color w:val="000000"/>
                <w:sz w:val="16"/>
                <w:szCs w:val="16"/>
                <w:lang w:val="en-US" w:bidi="ar"/>
              </w:rPr>
              <w:t>S2 Edge Anchoring</w:t>
            </w:r>
          </w:p>
        </w:tc>
        <w:tc>
          <w:tcPr>
            <w:tcW w:w="1080" w:type="dxa"/>
            <w:noWrap/>
            <w:vAlign w:val="center"/>
          </w:tcPr>
          <w:p w14:paraId="08BFA764" w14:textId="77777777" w:rsidR="00426C98" w:rsidRDefault="00000000">
            <w:pPr>
              <w:jc w:val="right"/>
              <w:textAlignment w:val="center"/>
              <w:rPr>
                <w:color w:val="000000"/>
                <w:sz w:val="16"/>
                <w:szCs w:val="16"/>
              </w:rPr>
            </w:pPr>
            <w:r>
              <w:rPr>
                <w:color w:val="000000"/>
                <w:sz w:val="16"/>
                <w:szCs w:val="16"/>
                <w:lang w:val="en-US" w:bidi="ar"/>
              </w:rPr>
              <w:t>6.2</w:t>
            </w:r>
          </w:p>
        </w:tc>
        <w:tc>
          <w:tcPr>
            <w:tcW w:w="1080" w:type="dxa"/>
            <w:noWrap/>
            <w:vAlign w:val="center"/>
          </w:tcPr>
          <w:p w14:paraId="3B855A5B" w14:textId="77777777" w:rsidR="00426C98" w:rsidRDefault="00000000">
            <w:pPr>
              <w:jc w:val="right"/>
              <w:textAlignment w:val="center"/>
              <w:rPr>
                <w:color w:val="000000"/>
                <w:sz w:val="16"/>
                <w:szCs w:val="16"/>
              </w:rPr>
            </w:pPr>
            <w:r>
              <w:rPr>
                <w:color w:val="000000"/>
                <w:sz w:val="16"/>
                <w:szCs w:val="16"/>
                <w:lang w:val="en-US" w:bidi="ar"/>
              </w:rPr>
              <w:t>28</w:t>
            </w:r>
          </w:p>
        </w:tc>
        <w:tc>
          <w:tcPr>
            <w:tcW w:w="1080" w:type="dxa"/>
            <w:noWrap/>
            <w:vAlign w:val="center"/>
          </w:tcPr>
          <w:p w14:paraId="05E8234A" w14:textId="77777777" w:rsidR="00426C98" w:rsidRDefault="00000000">
            <w:pPr>
              <w:jc w:val="right"/>
              <w:textAlignment w:val="center"/>
              <w:rPr>
                <w:color w:val="000000"/>
                <w:sz w:val="16"/>
                <w:szCs w:val="16"/>
              </w:rPr>
            </w:pPr>
            <w:r>
              <w:rPr>
                <w:color w:val="000000"/>
                <w:sz w:val="16"/>
                <w:szCs w:val="16"/>
                <w:lang w:val="en-US" w:bidi="ar"/>
              </w:rPr>
              <w:t>99.2</w:t>
            </w:r>
          </w:p>
        </w:tc>
      </w:tr>
      <w:tr w:rsidR="00426C98" w14:paraId="058824C5" w14:textId="77777777">
        <w:trPr>
          <w:trHeight w:val="290"/>
          <w:jc w:val="center"/>
        </w:trPr>
        <w:tc>
          <w:tcPr>
            <w:tcW w:w="1447" w:type="dxa"/>
            <w:noWrap/>
            <w:vAlign w:val="center"/>
          </w:tcPr>
          <w:p w14:paraId="1AB91069" w14:textId="77777777" w:rsidR="00426C98" w:rsidRDefault="00000000">
            <w:pPr>
              <w:textAlignment w:val="center"/>
              <w:rPr>
                <w:color w:val="000000"/>
                <w:sz w:val="16"/>
                <w:szCs w:val="16"/>
              </w:rPr>
            </w:pPr>
            <w:r>
              <w:rPr>
                <w:color w:val="000000"/>
                <w:sz w:val="16"/>
                <w:szCs w:val="16"/>
                <w:lang w:val="en-US" w:bidi="ar"/>
              </w:rPr>
              <w:t>S3 Rollups</w:t>
            </w:r>
          </w:p>
        </w:tc>
        <w:tc>
          <w:tcPr>
            <w:tcW w:w="1080" w:type="dxa"/>
            <w:noWrap/>
            <w:vAlign w:val="center"/>
          </w:tcPr>
          <w:p w14:paraId="48B746AA" w14:textId="77777777" w:rsidR="00426C98" w:rsidRDefault="00000000">
            <w:pPr>
              <w:jc w:val="right"/>
              <w:textAlignment w:val="center"/>
              <w:rPr>
                <w:color w:val="000000"/>
                <w:sz w:val="16"/>
                <w:szCs w:val="16"/>
              </w:rPr>
            </w:pPr>
            <w:r>
              <w:rPr>
                <w:color w:val="000000"/>
                <w:sz w:val="16"/>
                <w:szCs w:val="16"/>
                <w:lang w:val="en-US" w:bidi="ar"/>
              </w:rPr>
              <w:t>5.8</w:t>
            </w:r>
          </w:p>
        </w:tc>
        <w:tc>
          <w:tcPr>
            <w:tcW w:w="1080" w:type="dxa"/>
            <w:noWrap/>
            <w:vAlign w:val="center"/>
          </w:tcPr>
          <w:p w14:paraId="3A1EBC47" w14:textId="77777777" w:rsidR="00426C98" w:rsidRDefault="00000000">
            <w:pPr>
              <w:jc w:val="right"/>
              <w:textAlignment w:val="center"/>
              <w:rPr>
                <w:color w:val="000000"/>
                <w:sz w:val="16"/>
                <w:szCs w:val="16"/>
              </w:rPr>
            </w:pPr>
            <w:r>
              <w:rPr>
                <w:color w:val="000000"/>
                <w:sz w:val="16"/>
                <w:szCs w:val="16"/>
                <w:lang w:val="en-US" w:bidi="ar"/>
              </w:rPr>
              <w:t>25</w:t>
            </w:r>
          </w:p>
        </w:tc>
        <w:tc>
          <w:tcPr>
            <w:tcW w:w="1080" w:type="dxa"/>
            <w:noWrap/>
            <w:vAlign w:val="center"/>
          </w:tcPr>
          <w:p w14:paraId="4829C570" w14:textId="77777777" w:rsidR="00426C98" w:rsidRDefault="00000000">
            <w:pPr>
              <w:jc w:val="right"/>
              <w:textAlignment w:val="center"/>
              <w:rPr>
                <w:color w:val="000000"/>
                <w:sz w:val="16"/>
                <w:szCs w:val="16"/>
              </w:rPr>
            </w:pPr>
            <w:r>
              <w:rPr>
                <w:color w:val="000000"/>
                <w:sz w:val="16"/>
                <w:szCs w:val="16"/>
                <w:lang w:val="en-US" w:bidi="ar"/>
              </w:rPr>
              <w:t>99.5</w:t>
            </w:r>
          </w:p>
        </w:tc>
      </w:tr>
    </w:tbl>
    <w:p w14:paraId="52F74D31" w14:textId="77777777" w:rsidR="00426C98" w:rsidRDefault="00426C98">
      <w:pPr>
        <w:pStyle w:val="BodyText"/>
        <w:tabs>
          <w:tab w:val="left" w:pos="288"/>
        </w:tabs>
        <w:spacing w:before="0" w:after="120" w:line="228" w:lineRule="auto"/>
        <w:ind w:firstLine="288"/>
        <w:jc w:val="both"/>
        <w:rPr>
          <w:spacing w:val="-1"/>
          <w:sz w:val="20"/>
          <w:szCs w:val="20"/>
          <w:lang w:val="en-US"/>
        </w:rPr>
      </w:pPr>
    </w:p>
    <w:p w14:paraId="74593068" w14:textId="77777777" w:rsidR="00426C98" w:rsidRDefault="00000000">
      <w:pPr>
        <w:pStyle w:val="BodyText"/>
        <w:tabs>
          <w:tab w:val="left" w:pos="288"/>
        </w:tabs>
        <w:spacing w:before="0" w:after="120" w:line="228" w:lineRule="auto"/>
        <w:ind w:firstLine="288"/>
        <w:jc w:val="both"/>
        <w:rPr>
          <w:sz w:val="20"/>
          <w:szCs w:val="20"/>
        </w:rPr>
      </w:pPr>
      <w:r>
        <w:rPr>
          <w:spacing w:val="-1"/>
          <w:sz w:val="20"/>
          <w:szCs w:val="20"/>
          <w:lang w:val="en-US"/>
        </w:rPr>
        <w:t xml:space="preserve">In Table 1, results showed that privacy-preserving mechanisms integrated into the trust model were effective. Differential privacy budgets successfully blocked over 99.5% of over-query attempts across healthcare workloads, preventing potential privacy leaks. Zero-knowledge verifiers added an average of 15–40 </w:t>
      </w:r>
      <w:proofErr w:type="spellStart"/>
      <w:r>
        <w:rPr>
          <w:spacing w:val="-1"/>
          <w:sz w:val="20"/>
          <w:szCs w:val="20"/>
          <w:lang w:val="en-US"/>
        </w:rPr>
        <w:t>ms</w:t>
      </w:r>
      <w:proofErr w:type="spellEnd"/>
      <w:r>
        <w:rPr>
          <w:spacing w:val="-1"/>
          <w:sz w:val="20"/>
          <w:szCs w:val="20"/>
          <w:lang w:val="en-US"/>
        </w:rPr>
        <w:t xml:space="preserve"> per query but remained within acceptable latency budgets. These outcomes confirm that </w:t>
      </w:r>
      <w:r>
        <w:rPr>
          <w:sz w:val="20"/>
          <w:szCs w:val="20"/>
        </w:rPr>
        <w:t>privacy and compliance guarantees can be enforced at scale without prohibitive performance trade-offs.</w:t>
      </w:r>
    </w:p>
    <w:p w14:paraId="1CA2FD4B" w14:textId="77777777" w:rsidR="00426C98" w:rsidRDefault="00426C98">
      <w:pPr>
        <w:pStyle w:val="IETParagraph"/>
        <w:spacing w:line="240" w:lineRule="auto"/>
        <w:ind w:firstLine="0"/>
        <w:rPr>
          <w:sz w:val="20"/>
          <w:szCs w:val="20"/>
        </w:rPr>
      </w:pPr>
    </w:p>
    <w:p w14:paraId="33DBF54C" w14:textId="77777777" w:rsidR="00426C98" w:rsidRDefault="00000000">
      <w:pPr>
        <w:pStyle w:val="IETParagraph"/>
        <w:spacing w:line="240" w:lineRule="auto"/>
        <w:ind w:firstLine="0"/>
        <w:jc w:val="center"/>
        <w:rPr>
          <w:smallCaps/>
          <w:sz w:val="16"/>
          <w:szCs w:val="16"/>
          <w:lang w:val="en-US" w:eastAsia="en-US"/>
        </w:rPr>
      </w:pPr>
      <w:r>
        <w:rPr>
          <w:smallCaps/>
          <w:sz w:val="16"/>
          <w:szCs w:val="16"/>
          <w:lang w:val="en-US" w:eastAsia="en-US"/>
        </w:rPr>
        <w:t xml:space="preserve">TABLE 2. Failure Injection Outcomes (Byzantine </w:t>
      </w:r>
      <w:r>
        <w:rPr>
          <w:sz w:val="16"/>
          <w:szCs w:val="16"/>
          <w:lang w:val="en-US" w:eastAsia="en-US"/>
        </w:rPr>
        <w:t>V</w:t>
      </w:r>
      <w:r>
        <w:rPr>
          <w:smallCaps/>
          <w:sz w:val="16"/>
          <w:szCs w:val="16"/>
          <w:lang w:val="en-US" w:eastAsia="en-US"/>
        </w:rPr>
        <w:t xml:space="preserve">alidators, </w:t>
      </w:r>
      <w:r>
        <w:rPr>
          <w:sz w:val="16"/>
          <w:szCs w:val="16"/>
          <w:lang w:val="en-US" w:eastAsia="en-US"/>
        </w:rPr>
        <w:t>P</w:t>
      </w:r>
      <w:r>
        <w:rPr>
          <w:smallCaps/>
          <w:sz w:val="16"/>
          <w:szCs w:val="16"/>
          <w:lang w:val="en-US" w:eastAsia="en-US"/>
        </w:rPr>
        <w:t xml:space="preserve">acket loss, </w:t>
      </w:r>
      <w:r>
        <w:rPr>
          <w:sz w:val="16"/>
          <w:szCs w:val="16"/>
          <w:lang w:val="en-US" w:eastAsia="en-US"/>
        </w:rPr>
        <w:t>A</w:t>
      </w:r>
      <w:r>
        <w:rPr>
          <w:smallCaps/>
          <w:sz w:val="16"/>
          <w:szCs w:val="16"/>
          <w:lang w:val="en-US" w:eastAsia="en-US"/>
        </w:rPr>
        <w:t xml:space="preserve">vailability </w:t>
      </w:r>
      <w:r>
        <w:rPr>
          <w:sz w:val="16"/>
          <w:szCs w:val="16"/>
          <w:lang w:val="en-US" w:eastAsia="en-US"/>
        </w:rPr>
        <w:t>I</w:t>
      </w:r>
      <w:r>
        <w:rPr>
          <w:smallCaps/>
          <w:sz w:val="16"/>
          <w:szCs w:val="16"/>
          <w:lang w:val="en-US" w:eastAsia="en-US"/>
        </w:rPr>
        <w:t>mpact).</w:t>
      </w:r>
    </w:p>
    <w:p w14:paraId="185E304A" w14:textId="77777777" w:rsidR="00426C98" w:rsidRDefault="00426C98">
      <w:pPr>
        <w:pStyle w:val="IETParagraph"/>
        <w:spacing w:line="240" w:lineRule="auto"/>
        <w:ind w:firstLine="0"/>
        <w:jc w:val="center"/>
        <w:rPr>
          <w:smallCaps/>
          <w:sz w:val="16"/>
          <w:szCs w:val="16"/>
          <w:lang w:val="en-US" w:eastAsia="en-US"/>
        </w:rPr>
      </w:pPr>
    </w:p>
    <w:tbl>
      <w:tblPr>
        <w:tblW w:w="4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1080"/>
        <w:gridCol w:w="1080"/>
        <w:gridCol w:w="1080"/>
      </w:tblGrid>
      <w:tr w:rsidR="00426C98" w14:paraId="5425B406" w14:textId="77777777">
        <w:trPr>
          <w:trHeight w:val="290"/>
          <w:jc w:val="center"/>
        </w:trPr>
        <w:tc>
          <w:tcPr>
            <w:tcW w:w="1080" w:type="dxa"/>
            <w:noWrap/>
            <w:vAlign w:val="center"/>
          </w:tcPr>
          <w:p w14:paraId="706F4BE4" w14:textId="77777777" w:rsidR="00426C98" w:rsidRDefault="00000000">
            <w:pPr>
              <w:jc w:val="center"/>
              <w:textAlignment w:val="center"/>
              <w:rPr>
                <w:b/>
                <w:bCs/>
                <w:color w:val="000000"/>
                <w:sz w:val="16"/>
                <w:szCs w:val="16"/>
              </w:rPr>
            </w:pPr>
            <w:r>
              <w:rPr>
                <w:b/>
                <w:bCs/>
                <w:color w:val="000000"/>
                <w:sz w:val="16"/>
                <w:szCs w:val="16"/>
                <w:lang w:val="en-US" w:bidi="ar"/>
              </w:rPr>
              <w:t>Scenario</w:t>
            </w:r>
          </w:p>
        </w:tc>
        <w:tc>
          <w:tcPr>
            <w:tcW w:w="1080" w:type="dxa"/>
            <w:noWrap/>
            <w:vAlign w:val="center"/>
          </w:tcPr>
          <w:p w14:paraId="78BF4ED4" w14:textId="77777777" w:rsidR="00426C98" w:rsidRDefault="00000000">
            <w:pPr>
              <w:jc w:val="center"/>
              <w:textAlignment w:val="center"/>
              <w:rPr>
                <w:b/>
                <w:bCs/>
                <w:color w:val="000000"/>
                <w:sz w:val="16"/>
                <w:szCs w:val="16"/>
              </w:rPr>
            </w:pPr>
            <w:r>
              <w:rPr>
                <w:b/>
                <w:bCs/>
                <w:color w:val="000000"/>
                <w:sz w:val="16"/>
                <w:szCs w:val="16"/>
                <w:lang w:val="en-US" w:bidi="ar"/>
              </w:rPr>
              <w:t>Byzantine Validators (%)</w:t>
            </w:r>
          </w:p>
        </w:tc>
        <w:tc>
          <w:tcPr>
            <w:tcW w:w="1080" w:type="dxa"/>
            <w:noWrap/>
            <w:vAlign w:val="center"/>
          </w:tcPr>
          <w:p w14:paraId="5E401586" w14:textId="77777777" w:rsidR="00426C98" w:rsidRDefault="00000000">
            <w:pPr>
              <w:jc w:val="center"/>
              <w:textAlignment w:val="center"/>
              <w:rPr>
                <w:b/>
                <w:bCs/>
                <w:color w:val="000000"/>
                <w:sz w:val="16"/>
                <w:szCs w:val="16"/>
              </w:rPr>
            </w:pPr>
            <w:r>
              <w:rPr>
                <w:b/>
                <w:bCs/>
                <w:color w:val="000000"/>
                <w:sz w:val="16"/>
                <w:szCs w:val="16"/>
                <w:lang w:val="en-US" w:bidi="ar"/>
              </w:rPr>
              <w:t>Packet Loss (%)</w:t>
            </w:r>
          </w:p>
        </w:tc>
        <w:tc>
          <w:tcPr>
            <w:tcW w:w="1080" w:type="dxa"/>
            <w:noWrap/>
            <w:vAlign w:val="center"/>
          </w:tcPr>
          <w:p w14:paraId="5B868EEB" w14:textId="77777777" w:rsidR="00426C98" w:rsidRDefault="00000000">
            <w:pPr>
              <w:jc w:val="center"/>
              <w:textAlignment w:val="center"/>
              <w:rPr>
                <w:b/>
                <w:bCs/>
                <w:color w:val="000000"/>
                <w:sz w:val="16"/>
                <w:szCs w:val="16"/>
              </w:rPr>
            </w:pPr>
            <w:r>
              <w:rPr>
                <w:b/>
                <w:bCs/>
                <w:color w:val="000000"/>
                <w:sz w:val="16"/>
                <w:szCs w:val="16"/>
                <w:lang w:val="en-US" w:bidi="ar"/>
              </w:rPr>
              <w:t>Availability Impact (%)</w:t>
            </w:r>
          </w:p>
        </w:tc>
      </w:tr>
      <w:tr w:rsidR="00426C98" w14:paraId="24061B26" w14:textId="77777777">
        <w:trPr>
          <w:trHeight w:val="290"/>
          <w:jc w:val="center"/>
        </w:trPr>
        <w:tc>
          <w:tcPr>
            <w:tcW w:w="0" w:type="auto"/>
            <w:noWrap/>
            <w:vAlign w:val="center"/>
          </w:tcPr>
          <w:p w14:paraId="45781E2D" w14:textId="77777777" w:rsidR="00426C98" w:rsidRDefault="00000000">
            <w:pPr>
              <w:jc w:val="center"/>
              <w:textAlignment w:val="center"/>
              <w:rPr>
                <w:color w:val="000000"/>
                <w:sz w:val="16"/>
                <w:szCs w:val="16"/>
              </w:rPr>
            </w:pPr>
            <w:r>
              <w:rPr>
                <w:color w:val="000000"/>
                <w:sz w:val="16"/>
                <w:szCs w:val="16"/>
                <w:lang w:val="en-US" w:bidi="ar"/>
              </w:rPr>
              <w:t>S1 Direct On-chain</w:t>
            </w:r>
          </w:p>
        </w:tc>
        <w:tc>
          <w:tcPr>
            <w:tcW w:w="0" w:type="auto"/>
            <w:noWrap/>
            <w:vAlign w:val="center"/>
          </w:tcPr>
          <w:p w14:paraId="2C2A6F94" w14:textId="77777777" w:rsidR="00426C98" w:rsidRDefault="00000000">
            <w:pPr>
              <w:jc w:val="center"/>
              <w:textAlignment w:val="center"/>
              <w:rPr>
                <w:color w:val="000000"/>
                <w:sz w:val="16"/>
                <w:szCs w:val="16"/>
              </w:rPr>
            </w:pPr>
            <w:r>
              <w:rPr>
                <w:color w:val="000000"/>
                <w:sz w:val="16"/>
                <w:szCs w:val="16"/>
                <w:lang w:val="en-US" w:bidi="ar"/>
              </w:rPr>
              <w:t>10</w:t>
            </w:r>
          </w:p>
        </w:tc>
        <w:tc>
          <w:tcPr>
            <w:tcW w:w="0" w:type="auto"/>
            <w:noWrap/>
            <w:vAlign w:val="center"/>
          </w:tcPr>
          <w:p w14:paraId="73074253" w14:textId="77777777" w:rsidR="00426C98" w:rsidRDefault="00000000">
            <w:pPr>
              <w:jc w:val="center"/>
              <w:textAlignment w:val="center"/>
              <w:rPr>
                <w:color w:val="000000"/>
                <w:sz w:val="16"/>
                <w:szCs w:val="16"/>
              </w:rPr>
            </w:pPr>
            <w:r>
              <w:rPr>
                <w:color w:val="000000"/>
                <w:sz w:val="16"/>
                <w:szCs w:val="16"/>
                <w:lang w:val="en-US" w:bidi="ar"/>
              </w:rPr>
              <w:t>1</w:t>
            </w:r>
          </w:p>
        </w:tc>
        <w:tc>
          <w:tcPr>
            <w:tcW w:w="0" w:type="auto"/>
            <w:noWrap/>
            <w:vAlign w:val="center"/>
          </w:tcPr>
          <w:p w14:paraId="788867E1" w14:textId="77777777" w:rsidR="00426C98" w:rsidRDefault="00000000">
            <w:pPr>
              <w:jc w:val="center"/>
              <w:textAlignment w:val="center"/>
              <w:rPr>
                <w:color w:val="000000"/>
                <w:sz w:val="16"/>
                <w:szCs w:val="16"/>
              </w:rPr>
            </w:pPr>
            <w:r>
              <w:rPr>
                <w:color w:val="000000"/>
                <w:sz w:val="16"/>
                <w:szCs w:val="16"/>
                <w:lang w:val="en-US" w:bidi="ar"/>
              </w:rPr>
              <w:t>99.9</w:t>
            </w:r>
          </w:p>
        </w:tc>
      </w:tr>
      <w:tr w:rsidR="00426C98" w14:paraId="4696F338" w14:textId="77777777">
        <w:trPr>
          <w:trHeight w:val="290"/>
          <w:jc w:val="center"/>
        </w:trPr>
        <w:tc>
          <w:tcPr>
            <w:tcW w:w="0" w:type="auto"/>
            <w:noWrap/>
            <w:vAlign w:val="center"/>
          </w:tcPr>
          <w:p w14:paraId="194C56C0" w14:textId="77777777" w:rsidR="00426C98" w:rsidRDefault="00000000">
            <w:pPr>
              <w:jc w:val="center"/>
              <w:textAlignment w:val="center"/>
              <w:rPr>
                <w:color w:val="000000"/>
                <w:sz w:val="16"/>
                <w:szCs w:val="16"/>
              </w:rPr>
            </w:pPr>
            <w:r>
              <w:rPr>
                <w:color w:val="000000"/>
                <w:sz w:val="16"/>
                <w:szCs w:val="16"/>
                <w:lang w:val="en-US" w:bidi="ar"/>
              </w:rPr>
              <w:t>S2 Edge Anchoring</w:t>
            </w:r>
          </w:p>
        </w:tc>
        <w:tc>
          <w:tcPr>
            <w:tcW w:w="0" w:type="auto"/>
            <w:noWrap/>
            <w:vAlign w:val="center"/>
          </w:tcPr>
          <w:p w14:paraId="20A8C457" w14:textId="77777777" w:rsidR="00426C98" w:rsidRDefault="00000000">
            <w:pPr>
              <w:jc w:val="center"/>
              <w:textAlignment w:val="center"/>
              <w:rPr>
                <w:color w:val="000000"/>
                <w:sz w:val="16"/>
                <w:szCs w:val="16"/>
              </w:rPr>
            </w:pPr>
            <w:r>
              <w:rPr>
                <w:color w:val="000000"/>
                <w:sz w:val="16"/>
                <w:szCs w:val="16"/>
                <w:lang w:val="en-US" w:bidi="ar"/>
              </w:rPr>
              <w:t>20</w:t>
            </w:r>
          </w:p>
        </w:tc>
        <w:tc>
          <w:tcPr>
            <w:tcW w:w="0" w:type="auto"/>
            <w:noWrap/>
            <w:vAlign w:val="center"/>
          </w:tcPr>
          <w:p w14:paraId="0581071D" w14:textId="77777777" w:rsidR="00426C98" w:rsidRDefault="00000000">
            <w:pPr>
              <w:jc w:val="center"/>
              <w:textAlignment w:val="center"/>
              <w:rPr>
                <w:color w:val="000000"/>
                <w:sz w:val="16"/>
                <w:szCs w:val="16"/>
              </w:rPr>
            </w:pPr>
            <w:r>
              <w:rPr>
                <w:color w:val="000000"/>
                <w:sz w:val="16"/>
                <w:szCs w:val="16"/>
                <w:lang w:val="en-US" w:bidi="ar"/>
              </w:rPr>
              <w:t>3</w:t>
            </w:r>
          </w:p>
        </w:tc>
        <w:tc>
          <w:tcPr>
            <w:tcW w:w="0" w:type="auto"/>
            <w:noWrap/>
            <w:vAlign w:val="center"/>
          </w:tcPr>
          <w:p w14:paraId="41FA9E47" w14:textId="77777777" w:rsidR="00426C98" w:rsidRDefault="00000000">
            <w:pPr>
              <w:jc w:val="center"/>
              <w:textAlignment w:val="center"/>
              <w:rPr>
                <w:color w:val="000000"/>
                <w:sz w:val="16"/>
                <w:szCs w:val="16"/>
              </w:rPr>
            </w:pPr>
            <w:r>
              <w:rPr>
                <w:color w:val="000000"/>
                <w:sz w:val="16"/>
                <w:szCs w:val="16"/>
                <w:lang w:val="en-US" w:bidi="ar"/>
              </w:rPr>
              <w:t>99.7</w:t>
            </w:r>
          </w:p>
        </w:tc>
      </w:tr>
      <w:tr w:rsidR="00426C98" w14:paraId="336A0699" w14:textId="77777777">
        <w:trPr>
          <w:trHeight w:val="290"/>
          <w:jc w:val="center"/>
        </w:trPr>
        <w:tc>
          <w:tcPr>
            <w:tcW w:w="0" w:type="auto"/>
            <w:noWrap/>
            <w:vAlign w:val="center"/>
          </w:tcPr>
          <w:p w14:paraId="27FD74A0" w14:textId="77777777" w:rsidR="00426C98" w:rsidRDefault="00000000">
            <w:pPr>
              <w:jc w:val="center"/>
              <w:textAlignment w:val="center"/>
              <w:rPr>
                <w:color w:val="000000"/>
                <w:sz w:val="16"/>
                <w:szCs w:val="16"/>
              </w:rPr>
            </w:pPr>
            <w:r>
              <w:rPr>
                <w:color w:val="000000"/>
                <w:sz w:val="16"/>
                <w:szCs w:val="16"/>
                <w:lang w:val="en-US" w:bidi="ar"/>
              </w:rPr>
              <w:t>S3 Rollups</w:t>
            </w:r>
          </w:p>
        </w:tc>
        <w:tc>
          <w:tcPr>
            <w:tcW w:w="0" w:type="auto"/>
            <w:noWrap/>
            <w:vAlign w:val="center"/>
          </w:tcPr>
          <w:p w14:paraId="416FEA54" w14:textId="77777777" w:rsidR="00426C98" w:rsidRDefault="00000000">
            <w:pPr>
              <w:jc w:val="center"/>
              <w:textAlignment w:val="center"/>
              <w:rPr>
                <w:color w:val="000000"/>
                <w:sz w:val="16"/>
                <w:szCs w:val="16"/>
              </w:rPr>
            </w:pPr>
            <w:r>
              <w:rPr>
                <w:color w:val="000000"/>
                <w:sz w:val="16"/>
                <w:szCs w:val="16"/>
                <w:lang w:val="en-US" w:bidi="ar"/>
              </w:rPr>
              <w:t>30</w:t>
            </w:r>
          </w:p>
        </w:tc>
        <w:tc>
          <w:tcPr>
            <w:tcW w:w="0" w:type="auto"/>
            <w:noWrap/>
            <w:vAlign w:val="center"/>
          </w:tcPr>
          <w:p w14:paraId="7D7D67F0" w14:textId="77777777" w:rsidR="00426C98" w:rsidRDefault="00000000">
            <w:pPr>
              <w:jc w:val="center"/>
              <w:textAlignment w:val="center"/>
              <w:rPr>
                <w:color w:val="000000"/>
                <w:sz w:val="16"/>
                <w:szCs w:val="16"/>
              </w:rPr>
            </w:pPr>
            <w:r>
              <w:rPr>
                <w:color w:val="000000"/>
                <w:sz w:val="16"/>
                <w:szCs w:val="16"/>
                <w:lang w:val="en-US" w:bidi="ar"/>
              </w:rPr>
              <w:t>5</w:t>
            </w:r>
          </w:p>
        </w:tc>
        <w:tc>
          <w:tcPr>
            <w:tcW w:w="0" w:type="auto"/>
            <w:noWrap/>
            <w:vAlign w:val="center"/>
          </w:tcPr>
          <w:p w14:paraId="4F0950B5" w14:textId="77777777" w:rsidR="00426C98" w:rsidRDefault="00000000">
            <w:pPr>
              <w:jc w:val="center"/>
              <w:textAlignment w:val="center"/>
              <w:rPr>
                <w:color w:val="000000"/>
                <w:sz w:val="16"/>
                <w:szCs w:val="16"/>
              </w:rPr>
            </w:pPr>
            <w:r>
              <w:rPr>
                <w:color w:val="000000"/>
                <w:sz w:val="16"/>
                <w:szCs w:val="16"/>
                <w:lang w:val="en-US" w:bidi="ar"/>
              </w:rPr>
              <w:t>99.5</w:t>
            </w:r>
          </w:p>
        </w:tc>
      </w:tr>
    </w:tbl>
    <w:p w14:paraId="058BE311" w14:textId="77777777" w:rsidR="00426C98" w:rsidRDefault="00426C98">
      <w:pPr>
        <w:pStyle w:val="BodyText"/>
        <w:tabs>
          <w:tab w:val="left" w:pos="288"/>
        </w:tabs>
        <w:spacing w:before="0" w:after="120" w:line="228" w:lineRule="auto"/>
        <w:ind w:firstLine="288"/>
        <w:jc w:val="both"/>
        <w:rPr>
          <w:spacing w:val="-1"/>
          <w:sz w:val="20"/>
          <w:szCs w:val="20"/>
          <w:lang w:val="zh-CN"/>
        </w:rPr>
      </w:pPr>
    </w:p>
    <w:p w14:paraId="6292C197" w14:textId="77777777" w:rsidR="00426C98" w:rsidRDefault="00000000">
      <w:pPr>
        <w:pStyle w:val="BodyText"/>
        <w:tabs>
          <w:tab w:val="left" w:pos="288"/>
        </w:tabs>
        <w:spacing w:before="0" w:after="120" w:line="228" w:lineRule="auto"/>
        <w:ind w:firstLine="288"/>
        <w:jc w:val="both"/>
        <w:rPr>
          <w:sz w:val="20"/>
          <w:szCs w:val="20"/>
        </w:rPr>
      </w:pPr>
      <w:r>
        <w:rPr>
          <w:spacing w:val="-1"/>
          <w:sz w:val="20"/>
          <w:szCs w:val="20"/>
          <w:lang w:val="en-US"/>
        </w:rPr>
        <w:t>In Table 2, t</w:t>
      </w:r>
      <w:r w:rsidRPr="006F576F">
        <w:rPr>
          <w:spacing w:val="-1"/>
          <w:sz w:val="20"/>
          <w:szCs w:val="20"/>
          <w:lang w:val="en-US"/>
        </w:rPr>
        <w:t>he systems were stress-tested under conditions of validator failures and network degradation.  Byzantine nodes injected into the validator pool, all three block</w:t>
      </w:r>
      <w:r>
        <w:rPr>
          <w:sz w:val="20"/>
          <w:szCs w:val="20"/>
        </w:rPr>
        <w:t xml:space="preserve">chain frameworks maintained safety properties, ensuring no invalid state transitions occurred. Availability remained above 99.95% in metro and regional WAN profiles, though slight liveness degradation was observed at packet loss rates of 5%. </w:t>
      </w:r>
      <w:proofErr w:type="spellStart"/>
      <w:r>
        <w:rPr>
          <w:sz w:val="20"/>
          <w:szCs w:val="20"/>
        </w:rPr>
        <w:t>Tendermint</w:t>
      </w:r>
      <w:proofErr w:type="spellEnd"/>
      <w:r>
        <w:rPr>
          <w:sz w:val="20"/>
          <w:szCs w:val="20"/>
        </w:rPr>
        <w:t xml:space="preserve"> demonstrated the most stable availability under high-latency intercontinental WAN scenarios, while Fabric and Quorum required tuning of batch intervals and timeouts to sustain liveness.</w:t>
      </w:r>
    </w:p>
    <w:p w14:paraId="3319A376" w14:textId="77777777" w:rsidR="00426C98" w:rsidRDefault="00000000">
      <w:pPr>
        <w:pStyle w:val="IETParagraph"/>
        <w:spacing w:line="240" w:lineRule="auto"/>
        <w:jc w:val="center"/>
        <w:rPr>
          <w:smallCaps/>
          <w:sz w:val="16"/>
          <w:szCs w:val="16"/>
          <w:lang w:val="en-US" w:eastAsia="en-US"/>
        </w:rPr>
      </w:pPr>
      <w:r>
        <w:rPr>
          <w:sz w:val="16"/>
          <w:szCs w:val="16"/>
          <w:lang w:val="en-US" w:eastAsia="en-US"/>
        </w:rPr>
        <w:t>TABLE</w:t>
      </w:r>
      <w:r>
        <w:rPr>
          <w:smallCaps/>
          <w:sz w:val="16"/>
          <w:szCs w:val="16"/>
          <w:lang w:val="en-US" w:eastAsia="en-US"/>
        </w:rPr>
        <w:t xml:space="preserve"> </w:t>
      </w:r>
      <w:r>
        <w:rPr>
          <w:smallCaps/>
          <w:sz w:val="16"/>
          <w:szCs w:val="16"/>
          <w:lang w:val="en-US"/>
        </w:rPr>
        <w:t>3</w:t>
      </w:r>
      <w:r>
        <w:rPr>
          <w:smallCaps/>
          <w:sz w:val="16"/>
          <w:szCs w:val="16"/>
          <w:lang w:val="en-US" w:eastAsia="en-US"/>
        </w:rPr>
        <w:t>. Sensitivity Analysis</w:t>
      </w:r>
    </w:p>
    <w:p w14:paraId="79A0A507" w14:textId="77777777" w:rsidR="00426C98" w:rsidRDefault="00426C98">
      <w:pPr>
        <w:pStyle w:val="IETParagraph"/>
        <w:spacing w:line="240" w:lineRule="auto"/>
        <w:jc w:val="center"/>
        <w:rPr>
          <w:smallCaps/>
          <w:sz w:val="16"/>
          <w:szCs w:val="16"/>
          <w:lang w:val="en-US" w:eastAsia="en-US"/>
        </w:rPr>
      </w:pPr>
    </w:p>
    <w:tbl>
      <w:tblPr>
        <w:tblW w:w="5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792"/>
        <w:gridCol w:w="616"/>
        <w:gridCol w:w="772"/>
        <w:gridCol w:w="737"/>
        <w:gridCol w:w="708"/>
        <w:gridCol w:w="1000"/>
      </w:tblGrid>
      <w:tr w:rsidR="00426C98" w14:paraId="33CAFD8A" w14:textId="77777777">
        <w:trPr>
          <w:trHeight w:val="290"/>
        </w:trPr>
        <w:tc>
          <w:tcPr>
            <w:tcW w:w="641" w:type="dxa"/>
            <w:noWrap/>
            <w:vAlign w:val="center"/>
          </w:tcPr>
          <w:p w14:paraId="22E80278" w14:textId="77777777" w:rsidR="00426C98" w:rsidRDefault="00000000">
            <w:pPr>
              <w:jc w:val="center"/>
              <w:textAlignment w:val="center"/>
              <w:rPr>
                <w:b/>
                <w:bCs/>
                <w:color w:val="000000"/>
                <w:sz w:val="15"/>
                <w:szCs w:val="15"/>
              </w:rPr>
            </w:pPr>
            <w:r>
              <w:rPr>
                <w:b/>
                <w:bCs/>
                <w:color w:val="000000"/>
                <w:sz w:val="15"/>
                <w:szCs w:val="15"/>
                <w:lang w:val="en-US" w:bidi="ar"/>
              </w:rPr>
              <w:t>Batch Size</w:t>
            </w:r>
          </w:p>
        </w:tc>
        <w:tc>
          <w:tcPr>
            <w:tcW w:w="792" w:type="dxa"/>
            <w:noWrap/>
            <w:vAlign w:val="center"/>
          </w:tcPr>
          <w:p w14:paraId="39B37210" w14:textId="77777777" w:rsidR="00426C98" w:rsidRDefault="00000000">
            <w:pPr>
              <w:jc w:val="center"/>
              <w:textAlignment w:val="center"/>
              <w:rPr>
                <w:b/>
                <w:bCs/>
                <w:color w:val="000000"/>
                <w:sz w:val="15"/>
                <w:szCs w:val="15"/>
              </w:rPr>
            </w:pPr>
            <w:r>
              <w:rPr>
                <w:b/>
                <w:bCs/>
                <w:color w:val="000000"/>
                <w:sz w:val="15"/>
                <w:szCs w:val="15"/>
                <w:lang w:val="en-US" w:bidi="ar"/>
              </w:rPr>
              <w:t>Block Interval (</w:t>
            </w:r>
            <w:proofErr w:type="spellStart"/>
            <w:r>
              <w:rPr>
                <w:b/>
                <w:bCs/>
                <w:color w:val="000000"/>
                <w:sz w:val="15"/>
                <w:szCs w:val="15"/>
                <w:lang w:val="en-US" w:bidi="ar"/>
              </w:rPr>
              <w:t>ms</w:t>
            </w:r>
            <w:proofErr w:type="spellEnd"/>
            <w:r>
              <w:rPr>
                <w:b/>
                <w:bCs/>
                <w:color w:val="000000"/>
                <w:sz w:val="15"/>
                <w:szCs w:val="15"/>
                <w:lang w:val="en-US" w:bidi="ar"/>
              </w:rPr>
              <w:t>)</w:t>
            </w:r>
          </w:p>
        </w:tc>
        <w:tc>
          <w:tcPr>
            <w:tcW w:w="616" w:type="dxa"/>
            <w:noWrap/>
            <w:vAlign w:val="center"/>
          </w:tcPr>
          <w:p w14:paraId="342B99B1" w14:textId="77777777" w:rsidR="00426C98" w:rsidRDefault="00000000">
            <w:pPr>
              <w:jc w:val="center"/>
              <w:textAlignment w:val="center"/>
              <w:rPr>
                <w:b/>
                <w:bCs/>
                <w:color w:val="000000"/>
                <w:sz w:val="15"/>
                <w:szCs w:val="15"/>
              </w:rPr>
            </w:pPr>
            <w:r>
              <w:rPr>
                <w:b/>
                <w:bCs/>
                <w:color w:val="000000"/>
                <w:sz w:val="15"/>
                <w:szCs w:val="15"/>
                <w:lang w:val="en-US" w:bidi="ar"/>
              </w:rPr>
              <w:t>WAN RTT (</w:t>
            </w:r>
            <w:proofErr w:type="spellStart"/>
            <w:r>
              <w:rPr>
                <w:b/>
                <w:bCs/>
                <w:color w:val="000000"/>
                <w:sz w:val="15"/>
                <w:szCs w:val="15"/>
                <w:lang w:val="en-US" w:bidi="ar"/>
              </w:rPr>
              <w:t>ms</w:t>
            </w:r>
            <w:proofErr w:type="spellEnd"/>
            <w:r>
              <w:rPr>
                <w:b/>
                <w:bCs/>
                <w:color w:val="000000"/>
                <w:sz w:val="15"/>
                <w:szCs w:val="15"/>
                <w:lang w:val="en-US" w:bidi="ar"/>
              </w:rPr>
              <w:t>)</w:t>
            </w:r>
          </w:p>
        </w:tc>
        <w:tc>
          <w:tcPr>
            <w:tcW w:w="772" w:type="dxa"/>
            <w:noWrap/>
            <w:vAlign w:val="center"/>
          </w:tcPr>
          <w:p w14:paraId="07B3F8E4" w14:textId="77777777" w:rsidR="00426C98" w:rsidRDefault="00000000">
            <w:pPr>
              <w:jc w:val="center"/>
              <w:textAlignment w:val="center"/>
              <w:rPr>
                <w:b/>
                <w:bCs/>
                <w:color w:val="000000"/>
                <w:sz w:val="15"/>
                <w:szCs w:val="15"/>
              </w:rPr>
            </w:pPr>
            <w:r>
              <w:rPr>
                <w:b/>
                <w:bCs/>
                <w:color w:val="000000"/>
                <w:sz w:val="15"/>
                <w:szCs w:val="15"/>
                <w:lang w:val="en-US" w:bidi="ar"/>
              </w:rPr>
              <w:t>Latency p95 (</w:t>
            </w:r>
            <w:proofErr w:type="spellStart"/>
            <w:r>
              <w:rPr>
                <w:b/>
                <w:bCs/>
                <w:color w:val="000000"/>
                <w:sz w:val="15"/>
                <w:szCs w:val="15"/>
                <w:lang w:val="en-US" w:bidi="ar"/>
              </w:rPr>
              <w:t>ms</w:t>
            </w:r>
            <w:proofErr w:type="spellEnd"/>
            <w:r>
              <w:rPr>
                <w:b/>
                <w:bCs/>
                <w:color w:val="000000"/>
                <w:sz w:val="15"/>
                <w:szCs w:val="15"/>
                <w:lang w:val="en-US" w:bidi="ar"/>
              </w:rPr>
              <w:t>)</w:t>
            </w:r>
          </w:p>
        </w:tc>
        <w:tc>
          <w:tcPr>
            <w:tcW w:w="737" w:type="dxa"/>
            <w:noWrap/>
            <w:vAlign w:val="center"/>
          </w:tcPr>
          <w:p w14:paraId="1E5FF149" w14:textId="77777777" w:rsidR="00426C98" w:rsidRDefault="00000000">
            <w:pPr>
              <w:jc w:val="center"/>
              <w:textAlignment w:val="center"/>
              <w:rPr>
                <w:b/>
                <w:bCs/>
                <w:color w:val="000000"/>
                <w:sz w:val="15"/>
                <w:szCs w:val="15"/>
              </w:rPr>
            </w:pPr>
            <w:r>
              <w:rPr>
                <w:b/>
                <w:bCs/>
                <w:color w:val="000000"/>
                <w:sz w:val="15"/>
                <w:szCs w:val="15"/>
                <w:lang w:val="en-US" w:bidi="ar"/>
              </w:rPr>
              <w:t>Throughput (</w:t>
            </w:r>
            <w:proofErr w:type="spellStart"/>
            <w:r>
              <w:rPr>
                <w:b/>
                <w:bCs/>
                <w:color w:val="000000"/>
                <w:sz w:val="15"/>
                <w:szCs w:val="15"/>
                <w:lang w:val="en-US" w:bidi="ar"/>
              </w:rPr>
              <w:t>tx</w:t>
            </w:r>
            <w:proofErr w:type="spellEnd"/>
            <w:r>
              <w:rPr>
                <w:b/>
                <w:bCs/>
                <w:color w:val="000000"/>
                <w:sz w:val="15"/>
                <w:szCs w:val="15"/>
                <w:lang w:val="en-US" w:bidi="ar"/>
              </w:rPr>
              <w:t>/s)</w:t>
            </w:r>
          </w:p>
        </w:tc>
        <w:tc>
          <w:tcPr>
            <w:tcW w:w="708" w:type="dxa"/>
            <w:noWrap/>
            <w:vAlign w:val="center"/>
          </w:tcPr>
          <w:p w14:paraId="61B848AC" w14:textId="77777777" w:rsidR="00426C98" w:rsidRDefault="00000000">
            <w:pPr>
              <w:jc w:val="center"/>
              <w:textAlignment w:val="center"/>
              <w:rPr>
                <w:b/>
                <w:bCs/>
                <w:color w:val="000000"/>
                <w:sz w:val="15"/>
                <w:szCs w:val="15"/>
              </w:rPr>
            </w:pPr>
            <w:r>
              <w:rPr>
                <w:b/>
                <w:bCs/>
                <w:color w:val="000000"/>
                <w:sz w:val="15"/>
                <w:szCs w:val="15"/>
                <w:lang w:val="en-US" w:bidi="ar"/>
              </w:rPr>
              <w:t>Energy per Tx (J)</w:t>
            </w:r>
          </w:p>
        </w:tc>
        <w:tc>
          <w:tcPr>
            <w:tcW w:w="1000" w:type="dxa"/>
            <w:noWrap/>
            <w:vAlign w:val="center"/>
          </w:tcPr>
          <w:p w14:paraId="75C8CF70" w14:textId="77777777" w:rsidR="00426C98" w:rsidRDefault="00000000">
            <w:pPr>
              <w:jc w:val="center"/>
              <w:textAlignment w:val="center"/>
              <w:rPr>
                <w:b/>
                <w:bCs/>
                <w:color w:val="000000"/>
                <w:sz w:val="15"/>
                <w:szCs w:val="15"/>
              </w:rPr>
            </w:pPr>
            <w:r>
              <w:rPr>
                <w:b/>
                <w:bCs/>
                <w:color w:val="000000"/>
                <w:sz w:val="15"/>
                <w:szCs w:val="15"/>
                <w:lang w:val="en-US" w:bidi="ar"/>
              </w:rPr>
              <w:t>Compliance Score (%)</w:t>
            </w:r>
          </w:p>
        </w:tc>
      </w:tr>
      <w:tr w:rsidR="00426C98" w14:paraId="4B6A0596" w14:textId="77777777">
        <w:trPr>
          <w:trHeight w:val="290"/>
        </w:trPr>
        <w:tc>
          <w:tcPr>
            <w:tcW w:w="641" w:type="dxa"/>
            <w:noWrap/>
            <w:vAlign w:val="center"/>
          </w:tcPr>
          <w:p w14:paraId="0D6D68BC" w14:textId="77777777" w:rsidR="00426C98" w:rsidRDefault="00000000">
            <w:pPr>
              <w:jc w:val="center"/>
              <w:textAlignment w:val="center"/>
              <w:rPr>
                <w:color w:val="000000"/>
                <w:sz w:val="18"/>
                <w:szCs w:val="18"/>
              </w:rPr>
            </w:pPr>
            <w:r>
              <w:rPr>
                <w:color w:val="000000"/>
                <w:sz w:val="18"/>
                <w:szCs w:val="18"/>
                <w:lang w:val="en-US" w:bidi="ar"/>
              </w:rPr>
              <w:t>100</w:t>
            </w:r>
          </w:p>
        </w:tc>
        <w:tc>
          <w:tcPr>
            <w:tcW w:w="792" w:type="dxa"/>
            <w:noWrap/>
            <w:vAlign w:val="center"/>
          </w:tcPr>
          <w:p w14:paraId="3957A05B" w14:textId="77777777" w:rsidR="00426C98" w:rsidRDefault="00000000">
            <w:pPr>
              <w:jc w:val="center"/>
              <w:textAlignment w:val="center"/>
              <w:rPr>
                <w:color w:val="000000"/>
                <w:sz w:val="18"/>
                <w:szCs w:val="18"/>
              </w:rPr>
            </w:pPr>
            <w:r>
              <w:rPr>
                <w:color w:val="000000"/>
                <w:sz w:val="18"/>
                <w:szCs w:val="18"/>
                <w:lang w:val="en-US" w:bidi="ar"/>
              </w:rPr>
              <w:t>200</w:t>
            </w:r>
          </w:p>
        </w:tc>
        <w:tc>
          <w:tcPr>
            <w:tcW w:w="616" w:type="dxa"/>
            <w:noWrap/>
            <w:vAlign w:val="center"/>
          </w:tcPr>
          <w:p w14:paraId="71AF9567" w14:textId="77777777" w:rsidR="00426C98" w:rsidRDefault="00000000">
            <w:pPr>
              <w:jc w:val="center"/>
              <w:textAlignment w:val="center"/>
              <w:rPr>
                <w:color w:val="000000"/>
                <w:sz w:val="18"/>
                <w:szCs w:val="18"/>
              </w:rPr>
            </w:pPr>
            <w:r>
              <w:rPr>
                <w:color w:val="000000"/>
                <w:sz w:val="18"/>
                <w:szCs w:val="18"/>
                <w:lang w:val="en-US" w:bidi="ar"/>
              </w:rPr>
              <w:t>10</w:t>
            </w:r>
          </w:p>
        </w:tc>
        <w:tc>
          <w:tcPr>
            <w:tcW w:w="772" w:type="dxa"/>
            <w:noWrap/>
            <w:vAlign w:val="center"/>
          </w:tcPr>
          <w:p w14:paraId="78038228" w14:textId="77777777" w:rsidR="00426C98" w:rsidRDefault="00000000">
            <w:pPr>
              <w:jc w:val="center"/>
              <w:textAlignment w:val="center"/>
              <w:rPr>
                <w:color w:val="000000"/>
                <w:sz w:val="18"/>
                <w:szCs w:val="18"/>
              </w:rPr>
            </w:pPr>
            <w:r>
              <w:rPr>
                <w:color w:val="000000"/>
                <w:sz w:val="18"/>
                <w:szCs w:val="18"/>
                <w:lang w:val="en-US" w:bidi="ar"/>
              </w:rPr>
              <w:t>180</w:t>
            </w:r>
          </w:p>
        </w:tc>
        <w:tc>
          <w:tcPr>
            <w:tcW w:w="737" w:type="dxa"/>
            <w:noWrap/>
            <w:vAlign w:val="center"/>
          </w:tcPr>
          <w:p w14:paraId="39A52E8B" w14:textId="77777777" w:rsidR="00426C98" w:rsidRDefault="00000000">
            <w:pPr>
              <w:jc w:val="center"/>
              <w:textAlignment w:val="center"/>
              <w:rPr>
                <w:color w:val="000000"/>
                <w:sz w:val="18"/>
                <w:szCs w:val="18"/>
              </w:rPr>
            </w:pPr>
            <w:r>
              <w:rPr>
                <w:color w:val="000000"/>
                <w:sz w:val="18"/>
                <w:szCs w:val="18"/>
                <w:lang w:val="en-US" w:bidi="ar"/>
              </w:rPr>
              <w:t>11000</w:t>
            </w:r>
          </w:p>
        </w:tc>
        <w:tc>
          <w:tcPr>
            <w:tcW w:w="708" w:type="dxa"/>
            <w:noWrap/>
            <w:vAlign w:val="center"/>
          </w:tcPr>
          <w:p w14:paraId="10F767A3" w14:textId="77777777" w:rsidR="00426C98" w:rsidRDefault="00000000">
            <w:pPr>
              <w:jc w:val="center"/>
              <w:textAlignment w:val="center"/>
              <w:rPr>
                <w:color w:val="000000"/>
                <w:sz w:val="18"/>
                <w:szCs w:val="18"/>
              </w:rPr>
            </w:pPr>
            <w:r>
              <w:rPr>
                <w:color w:val="000000"/>
                <w:sz w:val="18"/>
                <w:szCs w:val="18"/>
                <w:lang w:val="en-US" w:bidi="ar"/>
              </w:rPr>
              <w:t>1.25</w:t>
            </w:r>
          </w:p>
        </w:tc>
        <w:tc>
          <w:tcPr>
            <w:tcW w:w="1000" w:type="dxa"/>
            <w:noWrap/>
            <w:vAlign w:val="center"/>
          </w:tcPr>
          <w:p w14:paraId="7E4F8338" w14:textId="77777777" w:rsidR="00426C98" w:rsidRDefault="00000000">
            <w:pPr>
              <w:jc w:val="center"/>
              <w:textAlignment w:val="center"/>
              <w:rPr>
                <w:color w:val="000000"/>
                <w:sz w:val="18"/>
                <w:szCs w:val="18"/>
              </w:rPr>
            </w:pPr>
            <w:r>
              <w:rPr>
                <w:color w:val="000000"/>
                <w:sz w:val="18"/>
                <w:szCs w:val="18"/>
                <w:lang w:val="en-US" w:bidi="ar"/>
              </w:rPr>
              <w:t>98</w:t>
            </w:r>
          </w:p>
        </w:tc>
      </w:tr>
      <w:tr w:rsidR="00426C98" w14:paraId="41EFC48B" w14:textId="77777777">
        <w:trPr>
          <w:trHeight w:val="290"/>
        </w:trPr>
        <w:tc>
          <w:tcPr>
            <w:tcW w:w="641" w:type="dxa"/>
            <w:noWrap/>
            <w:vAlign w:val="center"/>
          </w:tcPr>
          <w:p w14:paraId="3D652A47" w14:textId="77777777" w:rsidR="00426C98" w:rsidRDefault="00000000">
            <w:pPr>
              <w:jc w:val="center"/>
              <w:textAlignment w:val="center"/>
              <w:rPr>
                <w:color w:val="000000"/>
                <w:sz w:val="18"/>
                <w:szCs w:val="18"/>
              </w:rPr>
            </w:pPr>
            <w:r>
              <w:rPr>
                <w:color w:val="000000"/>
                <w:sz w:val="18"/>
                <w:szCs w:val="18"/>
                <w:lang w:val="en-US" w:bidi="ar"/>
              </w:rPr>
              <w:t>500</w:t>
            </w:r>
          </w:p>
        </w:tc>
        <w:tc>
          <w:tcPr>
            <w:tcW w:w="792" w:type="dxa"/>
            <w:noWrap/>
            <w:vAlign w:val="center"/>
          </w:tcPr>
          <w:p w14:paraId="6D13B703" w14:textId="77777777" w:rsidR="00426C98" w:rsidRDefault="00000000">
            <w:pPr>
              <w:jc w:val="center"/>
              <w:textAlignment w:val="center"/>
              <w:rPr>
                <w:color w:val="000000"/>
                <w:sz w:val="18"/>
                <w:szCs w:val="18"/>
              </w:rPr>
            </w:pPr>
            <w:r>
              <w:rPr>
                <w:color w:val="000000"/>
                <w:sz w:val="18"/>
                <w:szCs w:val="18"/>
                <w:lang w:val="en-US" w:bidi="ar"/>
              </w:rPr>
              <w:t>500</w:t>
            </w:r>
          </w:p>
        </w:tc>
        <w:tc>
          <w:tcPr>
            <w:tcW w:w="616" w:type="dxa"/>
            <w:noWrap/>
            <w:vAlign w:val="center"/>
          </w:tcPr>
          <w:p w14:paraId="2860EA66" w14:textId="77777777" w:rsidR="00426C98" w:rsidRDefault="00000000">
            <w:pPr>
              <w:jc w:val="center"/>
              <w:textAlignment w:val="center"/>
              <w:rPr>
                <w:color w:val="000000"/>
                <w:sz w:val="18"/>
                <w:szCs w:val="18"/>
              </w:rPr>
            </w:pPr>
            <w:r>
              <w:rPr>
                <w:color w:val="000000"/>
                <w:sz w:val="18"/>
                <w:szCs w:val="18"/>
                <w:lang w:val="en-US" w:bidi="ar"/>
              </w:rPr>
              <w:t>40</w:t>
            </w:r>
          </w:p>
        </w:tc>
        <w:tc>
          <w:tcPr>
            <w:tcW w:w="772" w:type="dxa"/>
            <w:noWrap/>
            <w:vAlign w:val="center"/>
          </w:tcPr>
          <w:p w14:paraId="290D0BB8" w14:textId="77777777" w:rsidR="00426C98" w:rsidRDefault="00000000">
            <w:pPr>
              <w:jc w:val="center"/>
              <w:textAlignment w:val="center"/>
              <w:rPr>
                <w:color w:val="000000"/>
                <w:sz w:val="18"/>
                <w:szCs w:val="18"/>
              </w:rPr>
            </w:pPr>
            <w:r>
              <w:rPr>
                <w:color w:val="000000"/>
                <w:sz w:val="18"/>
                <w:szCs w:val="18"/>
                <w:lang w:val="en-US" w:bidi="ar"/>
              </w:rPr>
              <w:t>220</w:t>
            </w:r>
          </w:p>
        </w:tc>
        <w:tc>
          <w:tcPr>
            <w:tcW w:w="737" w:type="dxa"/>
            <w:noWrap/>
            <w:vAlign w:val="center"/>
          </w:tcPr>
          <w:p w14:paraId="74876250" w14:textId="77777777" w:rsidR="00426C98" w:rsidRDefault="00000000">
            <w:pPr>
              <w:jc w:val="center"/>
              <w:textAlignment w:val="center"/>
              <w:rPr>
                <w:color w:val="000000"/>
                <w:sz w:val="18"/>
                <w:szCs w:val="18"/>
              </w:rPr>
            </w:pPr>
            <w:r>
              <w:rPr>
                <w:color w:val="000000"/>
                <w:sz w:val="18"/>
                <w:szCs w:val="18"/>
                <w:lang w:val="en-US" w:bidi="ar"/>
              </w:rPr>
              <w:t>9500</w:t>
            </w:r>
          </w:p>
        </w:tc>
        <w:tc>
          <w:tcPr>
            <w:tcW w:w="708" w:type="dxa"/>
            <w:noWrap/>
            <w:vAlign w:val="center"/>
          </w:tcPr>
          <w:p w14:paraId="08D39A6A" w14:textId="77777777" w:rsidR="00426C98" w:rsidRDefault="00000000">
            <w:pPr>
              <w:jc w:val="center"/>
              <w:textAlignment w:val="center"/>
              <w:rPr>
                <w:color w:val="000000"/>
                <w:sz w:val="18"/>
                <w:szCs w:val="18"/>
              </w:rPr>
            </w:pPr>
            <w:r>
              <w:rPr>
                <w:color w:val="000000"/>
                <w:sz w:val="18"/>
                <w:szCs w:val="18"/>
                <w:lang w:val="en-US" w:bidi="ar"/>
              </w:rPr>
              <w:t>1.3</w:t>
            </w:r>
          </w:p>
        </w:tc>
        <w:tc>
          <w:tcPr>
            <w:tcW w:w="1000" w:type="dxa"/>
            <w:noWrap/>
            <w:vAlign w:val="center"/>
          </w:tcPr>
          <w:p w14:paraId="38D79805" w14:textId="77777777" w:rsidR="00426C98" w:rsidRDefault="00000000">
            <w:pPr>
              <w:jc w:val="center"/>
              <w:textAlignment w:val="center"/>
              <w:rPr>
                <w:color w:val="000000"/>
                <w:sz w:val="18"/>
                <w:szCs w:val="18"/>
              </w:rPr>
            </w:pPr>
            <w:r>
              <w:rPr>
                <w:color w:val="000000"/>
                <w:sz w:val="18"/>
                <w:szCs w:val="18"/>
                <w:lang w:val="en-US" w:bidi="ar"/>
              </w:rPr>
              <w:t>97</w:t>
            </w:r>
          </w:p>
        </w:tc>
      </w:tr>
      <w:tr w:rsidR="00426C98" w14:paraId="594B1FD4" w14:textId="77777777">
        <w:trPr>
          <w:trHeight w:val="290"/>
        </w:trPr>
        <w:tc>
          <w:tcPr>
            <w:tcW w:w="641" w:type="dxa"/>
            <w:noWrap/>
            <w:vAlign w:val="center"/>
          </w:tcPr>
          <w:p w14:paraId="2653E256" w14:textId="77777777" w:rsidR="00426C98" w:rsidRDefault="00000000">
            <w:pPr>
              <w:jc w:val="center"/>
              <w:textAlignment w:val="center"/>
              <w:rPr>
                <w:color w:val="000000"/>
                <w:sz w:val="18"/>
                <w:szCs w:val="18"/>
              </w:rPr>
            </w:pPr>
            <w:r>
              <w:rPr>
                <w:color w:val="000000"/>
                <w:sz w:val="18"/>
                <w:szCs w:val="18"/>
                <w:lang w:val="en-US" w:bidi="ar"/>
              </w:rPr>
              <w:t>1000</w:t>
            </w:r>
          </w:p>
        </w:tc>
        <w:tc>
          <w:tcPr>
            <w:tcW w:w="792" w:type="dxa"/>
            <w:noWrap/>
            <w:vAlign w:val="center"/>
          </w:tcPr>
          <w:p w14:paraId="7B1ECEE9" w14:textId="77777777" w:rsidR="00426C98" w:rsidRDefault="00000000">
            <w:pPr>
              <w:jc w:val="center"/>
              <w:textAlignment w:val="center"/>
              <w:rPr>
                <w:color w:val="000000"/>
                <w:sz w:val="18"/>
                <w:szCs w:val="18"/>
              </w:rPr>
            </w:pPr>
            <w:r>
              <w:rPr>
                <w:color w:val="000000"/>
                <w:sz w:val="18"/>
                <w:szCs w:val="18"/>
                <w:lang w:val="en-US" w:bidi="ar"/>
              </w:rPr>
              <w:t>1000</w:t>
            </w:r>
          </w:p>
        </w:tc>
        <w:tc>
          <w:tcPr>
            <w:tcW w:w="616" w:type="dxa"/>
            <w:noWrap/>
            <w:vAlign w:val="center"/>
          </w:tcPr>
          <w:p w14:paraId="67F4C065" w14:textId="77777777" w:rsidR="00426C98" w:rsidRDefault="00000000">
            <w:pPr>
              <w:jc w:val="center"/>
              <w:textAlignment w:val="center"/>
              <w:rPr>
                <w:color w:val="000000"/>
                <w:sz w:val="18"/>
                <w:szCs w:val="18"/>
              </w:rPr>
            </w:pPr>
            <w:r>
              <w:rPr>
                <w:color w:val="000000"/>
                <w:sz w:val="18"/>
                <w:szCs w:val="18"/>
                <w:lang w:val="en-US" w:bidi="ar"/>
              </w:rPr>
              <w:t>80</w:t>
            </w:r>
          </w:p>
        </w:tc>
        <w:tc>
          <w:tcPr>
            <w:tcW w:w="772" w:type="dxa"/>
            <w:noWrap/>
            <w:vAlign w:val="center"/>
          </w:tcPr>
          <w:p w14:paraId="3385D75B" w14:textId="77777777" w:rsidR="00426C98" w:rsidRDefault="00000000">
            <w:pPr>
              <w:jc w:val="center"/>
              <w:textAlignment w:val="center"/>
              <w:rPr>
                <w:color w:val="000000"/>
                <w:sz w:val="18"/>
                <w:szCs w:val="18"/>
              </w:rPr>
            </w:pPr>
            <w:r>
              <w:rPr>
                <w:color w:val="000000"/>
                <w:sz w:val="18"/>
                <w:szCs w:val="18"/>
                <w:lang w:val="en-US" w:bidi="ar"/>
              </w:rPr>
              <w:t>300</w:t>
            </w:r>
          </w:p>
        </w:tc>
        <w:tc>
          <w:tcPr>
            <w:tcW w:w="737" w:type="dxa"/>
            <w:noWrap/>
            <w:vAlign w:val="center"/>
          </w:tcPr>
          <w:p w14:paraId="30A390C8" w14:textId="77777777" w:rsidR="00426C98" w:rsidRDefault="00000000">
            <w:pPr>
              <w:jc w:val="center"/>
              <w:textAlignment w:val="center"/>
              <w:rPr>
                <w:color w:val="000000"/>
                <w:sz w:val="18"/>
                <w:szCs w:val="18"/>
              </w:rPr>
            </w:pPr>
            <w:r>
              <w:rPr>
                <w:color w:val="000000"/>
                <w:sz w:val="18"/>
                <w:szCs w:val="18"/>
                <w:lang w:val="en-US" w:bidi="ar"/>
              </w:rPr>
              <w:t>8000</w:t>
            </w:r>
          </w:p>
        </w:tc>
        <w:tc>
          <w:tcPr>
            <w:tcW w:w="708" w:type="dxa"/>
            <w:noWrap/>
            <w:vAlign w:val="center"/>
          </w:tcPr>
          <w:p w14:paraId="0DF61084" w14:textId="77777777" w:rsidR="00426C98" w:rsidRDefault="00000000">
            <w:pPr>
              <w:jc w:val="center"/>
              <w:textAlignment w:val="center"/>
              <w:rPr>
                <w:color w:val="000000"/>
                <w:sz w:val="18"/>
                <w:szCs w:val="18"/>
              </w:rPr>
            </w:pPr>
            <w:r>
              <w:rPr>
                <w:color w:val="000000"/>
                <w:sz w:val="18"/>
                <w:szCs w:val="18"/>
                <w:lang w:val="en-US" w:bidi="ar"/>
              </w:rPr>
              <w:t>1.4</w:t>
            </w:r>
          </w:p>
        </w:tc>
        <w:tc>
          <w:tcPr>
            <w:tcW w:w="1000" w:type="dxa"/>
            <w:noWrap/>
            <w:vAlign w:val="center"/>
          </w:tcPr>
          <w:p w14:paraId="33E452D9" w14:textId="77777777" w:rsidR="00426C98" w:rsidRDefault="00000000">
            <w:pPr>
              <w:jc w:val="center"/>
              <w:textAlignment w:val="center"/>
              <w:rPr>
                <w:color w:val="000000"/>
                <w:sz w:val="18"/>
                <w:szCs w:val="18"/>
              </w:rPr>
            </w:pPr>
            <w:r>
              <w:rPr>
                <w:color w:val="000000"/>
                <w:sz w:val="18"/>
                <w:szCs w:val="18"/>
                <w:lang w:val="en-US" w:bidi="ar"/>
              </w:rPr>
              <w:t>95</w:t>
            </w:r>
          </w:p>
        </w:tc>
      </w:tr>
      <w:tr w:rsidR="00426C98" w14:paraId="3D9A8C9A" w14:textId="77777777">
        <w:trPr>
          <w:trHeight w:val="290"/>
        </w:trPr>
        <w:tc>
          <w:tcPr>
            <w:tcW w:w="641" w:type="dxa"/>
            <w:noWrap/>
            <w:vAlign w:val="center"/>
          </w:tcPr>
          <w:p w14:paraId="3210EF6B" w14:textId="77777777" w:rsidR="00426C98" w:rsidRDefault="00000000">
            <w:pPr>
              <w:jc w:val="center"/>
              <w:textAlignment w:val="center"/>
              <w:rPr>
                <w:color w:val="000000"/>
                <w:sz w:val="18"/>
                <w:szCs w:val="18"/>
              </w:rPr>
            </w:pPr>
            <w:r>
              <w:rPr>
                <w:color w:val="000000"/>
                <w:sz w:val="18"/>
                <w:szCs w:val="18"/>
                <w:lang w:val="en-US" w:bidi="ar"/>
              </w:rPr>
              <w:t>5000</w:t>
            </w:r>
          </w:p>
        </w:tc>
        <w:tc>
          <w:tcPr>
            <w:tcW w:w="792" w:type="dxa"/>
            <w:noWrap/>
            <w:vAlign w:val="center"/>
          </w:tcPr>
          <w:p w14:paraId="4EBDA8D2" w14:textId="77777777" w:rsidR="00426C98" w:rsidRDefault="00000000">
            <w:pPr>
              <w:jc w:val="center"/>
              <w:textAlignment w:val="center"/>
              <w:rPr>
                <w:color w:val="000000"/>
                <w:sz w:val="18"/>
                <w:szCs w:val="18"/>
              </w:rPr>
            </w:pPr>
            <w:r>
              <w:rPr>
                <w:color w:val="000000"/>
                <w:sz w:val="18"/>
                <w:szCs w:val="18"/>
                <w:lang w:val="en-US" w:bidi="ar"/>
              </w:rPr>
              <w:t>2000</w:t>
            </w:r>
          </w:p>
        </w:tc>
        <w:tc>
          <w:tcPr>
            <w:tcW w:w="616" w:type="dxa"/>
            <w:noWrap/>
            <w:vAlign w:val="center"/>
          </w:tcPr>
          <w:p w14:paraId="5D026F08" w14:textId="77777777" w:rsidR="00426C98" w:rsidRDefault="00000000">
            <w:pPr>
              <w:jc w:val="center"/>
              <w:textAlignment w:val="center"/>
              <w:rPr>
                <w:color w:val="000000"/>
                <w:sz w:val="18"/>
                <w:szCs w:val="18"/>
              </w:rPr>
            </w:pPr>
            <w:r>
              <w:rPr>
                <w:color w:val="000000"/>
                <w:sz w:val="18"/>
                <w:szCs w:val="18"/>
                <w:lang w:val="en-US" w:bidi="ar"/>
              </w:rPr>
              <w:t>120</w:t>
            </w:r>
          </w:p>
        </w:tc>
        <w:tc>
          <w:tcPr>
            <w:tcW w:w="772" w:type="dxa"/>
            <w:noWrap/>
            <w:vAlign w:val="center"/>
          </w:tcPr>
          <w:p w14:paraId="416A7194" w14:textId="77777777" w:rsidR="00426C98" w:rsidRDefault="00000000">
            <w:pPr>
              <w:jc w:val="center"/>
              <w:textAlignment w:val="center"/>
              <w:rPr>
                <w:color w:val="000000"/>
                <w:sz w:val="18"/>
                <w:szCs w:val="18"/>
              </w:rPr>
            </w:pPr>
            <w:r>
              <w:rPr>
                <w:color w:val="000000"/>
                <w:sz w:val="18"/>
                <w:szCs w:val="18"/>
                <w:lang w:val="en-US" w:bidi="ar"/>
              </w:rPr>
              <w:t>450</w:t>
            </w:r>
          </w:p>
        </w:tc>
        <w:tc>
          <w:tcPr>
            <w:tcW w:w="737" w:type="dxa"/>
            <w:noWrap/>
            <w:vAlign w:val="center"/>
          </w:tcPr>
          <w:p w14:paraId="2B941548" w14:textId="77777777" w:rsidR="00426C98" w:rsidRDefault="00000000">
            <w:pPr>
              <w:jc w:val="center"/>
              <w:textAlignment w:val="center"/>
              <w:rPr>
                <w:color w:val="000000"/>
                <w:sz w:val="18"/>
                <w:szCs w:val="18"/>
              </w:rPr>
            </w:pPr>
            <w:r>
              <w:rPr>
                <w:color w:val="000000"/>
                <w:sz w:val="18"/>
                <w:szCs w:val="18"/>
                <w:lang w:val="en-US" w:bidi="ar"/>
              </w:rPr>
              <w:t>6000</w:t>
            </w:r>
          </w:p>
        </w:tc>
        <w:tc>
          <w:tcPr>
            <w:tcW w:w="708" w:type="dxa"/>
            <w:noWrap/>
            <w:vAlign w:val="center"/>
          </w:tcPr>
          <w:p w14:paraId="6B012ED0" w14:textId="77777777" w:rsidR="00426C98" w:rsidRDefault="00000000">
            <w:pPr>
              <w:jc w:val="center"/>
              <w:textAlignment w:val="center"/>
              <w:rPr>
                <w:color w:val="000000"/>
                <w:sz w:val="18"/>
                <w:szCs w:val="18"/>
              </w:rPr>
            </w:pPr>
            <w:r>
              <w:rPr>
                <w:color w:val="000000"/>
                <w:sz w:val="18"/>
                <w:szCs w:val="18"/>
                <w:lang w:val="en-US" w:bidi="ar"/>
              </w:rPr>
              <w:t>1.6</w:t>
            </w:r>
          </w:p>
        </w:tc>
        <w:tc>
          <w:tcPr>
            <w:tcW w:w="1000" w:type="dxa"/>
            <w:noWrap/>
            <w:vAlign w:val="center"/>
          </w:tcPr>
          <w:p w14:paraId="276DE297" w14:textId="77777777" w:rsidR="00426C98" w:rsidRDefault="00000000">
            <w:pPr>
              <w:jc w:val="center"/>
              <w:textAlignment w:val="center"/>
              <w:rPr>
                <w:color w:val="000000"/>
                <w:sz w:val="18"/>
                <w:szCs w:val="18"/>
              </w:rPr>
            </w:pPr>
            <w:r>
              <w:rPr>
                <w:color w:val="000000"/>
                <w:sz w:val="18"/>
                <w:szCs w:val="18"/>
                <w:lang w:val="en-US" w:bidi="ar"/>
              </w:rPr>
              <w:t>92</w:t>
            </w:r>
          </w:p>
        </w:tc>
      </w:tr>
    </w:tbl>
    <w:p w14:paraId="6D10D04D" w14:textId="77777777" w:rsidR="00426C98" w:rsidRDefault="00426C98">
      <w:pPr>
        <w:pStyle w:val="BodyText"/>
        <w:tabs>
          <w:tab w:val="left" w:pos="288"/>
        </w:tabs>
        <w:spacing w:before="0" w:after="120" w:line="228" w:lineRule="auto"/>
        <w:ind w:firstLine="288"/>
        <w:jc w:val="both"/>
        <w:rPr>
          <w:spacing w:val="-1"/>
          <w:sz w:val="20"/>
          <w:szCs w:val="20"/>
          <w:lang w:val="zh-CN"/>
        </w:rPr>
      </w:pPr>
    </w:p>
    <w:p w14:paraId="39140A71" w14:textId="77777777" w:rsidR="00426C98" w:rsidRDefault="00000000">
      <w:pPr>
        <w:pStyle w:val="BodyText"/>
        <w:tabs>
          <w:tab w:val="left" w:pos="288"/>
        </w:tabs>
        <w:spacing w:before="0" w:after="120" w:line="228" w:lineRule="auto"/>
        <w:ind w:firstLine="288"/>
        <w:jc w:val="both"/>
        <w:rPr>
          <w:sz w:val="20"/>
          <w:szCs w:val="20"/>
        </w:rPr>
      </w:pPr>
      <w:r>
        <w:rPr>
          <w:spacing w:val="-1"/>
          <w:sz w:val="20"/>
          <w:szCs w:val="20"/>
          <w:lang w:val="en-US"/>
        </w:rPr>
        <w:t>In Table 3, the c</w:t>
      </w:r>
      <w:r w:rsidRPr="006F576F">
        <w:rPr>
          <w:spacing w:val="-1"/>
          <w:sz w:val="20"/>
          <w:szCs w:val="20"/>
          <w:lang w:val="en-US"/>
        </w:rPr>
        <w:t xml:space="preserve">omparative analysis across workloads showed that mobility telemetry (W1) was most sensitive to latency overheads, requiring sub-200 </w:t>
      </w:r>
      <w:proofErr w:type="spellStart"/>
      <w:r w:rsidRPr="006F576F">
        <w:rPr>
          <w:spacing w:val="-1"/>
          <w:sz w:val="20"/>
          <w:szCs w:val="20"/>
          <w:lang w:val="en-US"/>
        </w:rPr>
        <w:t>ms</w:t>
      </w:r>
      <w:proofErr w:type="spellEnd"/>
      <w:r w:rsidRPr="006F576F">
        <w:rPr>
          <w:spacing w:val="-1"/>
          <w:sz w:val="20"/>
          <w:szCs w:val="20"/>
          <w:lang w:val="en-US"/>
        </w:rPr>
        <w:t xml:space="preserve"> p95 latencies for real-time traffic management. Healthcare event logs (W2) tolerated higher latencies but required strict </w:t>
      </w:r>
      <w:proofErr w:type="spellStart"/>
      <w:r w:rsidRPr="006F576F">
        <w:rPr>
          <w:spacing w:val="-1"/>
          <w:sz w:val="20"/>
          <w:szCs w:val="20"/>
          <w:lang w:val="en-US"/>
        </w:rPr>
        <w:t>priva</w:t>
      </w:r>
      <w:proofErr w:type="spellEnd"/>
      <w:r>
        <w:rPr>
          <w:sz w:val="20"/>
          <w:szCs w:val="20"/>
        </w:rPr>
        <w:t>cy enforcement. Energy meter readings (W3) were the most tolerant to delays but sensitive to energy efficiency. These findings emphasize the need for workload-specific tuning of blockchain-enabled trust mechanisms.</w:t>
      </w:r>
    </w:p>
    <w:p w14:paraId="50E15D41" w14:textId="77777777" w:rsidR="00426C98" w:rsidRDefault="00426C98">
      <w:pPr>
        <w:pStyle w:val="IETParagraph"/>
        <w:spacing w:line="240" w:lineRule="auto"/>
        <w:rPr>
          <w:sz w:val="20"/>
          <w:szCs w:val="20"/>
        </w:rPr>
      </w:pPr>
    </w:p>
    <w:p w14:paraId="70C35609" w14:textId="77777777" w:rsidR="00426C98" w:rsidRDefault="00000000">
      <w:pPr>
        <w:pStyle w:val="IETParagraph"/>
        <w:spacing w:line="240" w:lineRule="auto"/>
        <w:ind w:firstLine="0"/>
        <w:jc w:val="center"/>
        <w:rPr>
          <w:smallCaps/>
          <w:sz w:val="16"/>
          <w:szCs w:val="16"/>
          <w:lang w:val="en-US" w:eastAsia="en-US"/>
        </w:rPr>
      </w:pPr>
      <w:r>
        <w:rPr>
          <w:smallCaps/>
          <w:sz w:val="16"/>
          <w:szCs w:val="16"/>
          <w:lang w:val="en-US" w:eastAsia="en-US"/>
        </w:rPr>
        <w:t>TABLE 4. Results Summary by Scenario (median and p95 values for latency, throughput, energy, compliance)</w:t>
      </w:r>
    </w:p>
    <w:p w14:paraId="10C885CB" w14:textId="77777777" w:rsidR="00426C98" w:rsidRDefault="00426C98">
      <w:pPr>
        <w:pStyle w:val="IETParagraph"/>
        <w:spacing w:line="240" w:lineRule="auto"/>
        <w:ind w:firstLine="0"/>
        <w:jc w:val="center"/>
        <w:rPr>
          <w:smallCaps/>
          <w:sz w:val="16"/>
          <w:szCs w:val="16"/>
          <w:lang w:val="en-US" w:eastAsia="en-US"/>
        </w:rPr>
      </w:pPr>
    </w:p>
    <w:tbl>
      <w:tblPr>
        <w:tblW w:w="4821"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8"/>
        <w:gridCol w:w="750"/>
        <w:gridCol w:w="708"/>
        <w:gridCol w:w="758"/>
        <w:gridCol w:w="867"/>
        <w:gridCol w:w="950"/>
      </w:tblGrid>
      <w:tr w:rsidR="00426C98" w14:paraId="608FE3DC" w14:textId="77777777">
        <w:trPr>
          <w:trHeight w:val="290"/>
        </w:trPr>
        <w:tc>
          <w:tcPr>
            <w:tcW w:w="788" w:type="dxa"/>
            <w:noWrap/>
            <w:vAlign w:val="center"/>
          </w:tcPr>
          <w:p w14:paraId="77C16D39" w14:textId="77777777" w:rsidR="00426C98" w:rsidRDefault="00000000">
            <w:pPr>
              <w:ind w:rightChars="-8" w:right="-19"/>
              <w:textAlignment w:val="center"/>
              <w:rPr>
                <w:sz w:val="15"/>
                <w:szCs w:val="15"/>
              </w:rPr>
            </w:pPr>
            <w:r>
              <w:rPr>
                <w:sz w:val="15"/>
                <w:szCs w:val="15"/>
                <w:lang w:val="en-US"/>
              </w:rPr>
              <w:t>Scenario</w:t>
            </w:r>
          </w:p>
        </w:tc>
        <w:tc>
          <w:tcPr>
            <w:tcW w:w="750" w:type="dxa"/>
            <w:noWrap/>
            <w:vAlign w:val="center"/>
          </w:tcPr>
          <w:p w14:paraId="5288118D" w14:textId="77777777" w:rsidR="00426C98" w:rsidRDefault="00000000">
            <w:pPr>
              <w:textAlignment w:val="center"/>
              <w:rPr>
                <w:sz w:val="15"/>
                <w:szCs w:val="15"/>
              </w:rPr>
            </w:pPr>
            <w:r>
              <w:rPr>
                <w:sz w:val="15"/>
                <w:szCs w:val="15"/>
                <w:lang w:val="en-US"/>
              </w:rPr>
              <w:t>Latency Median (</w:t>
            </w:r>
            <w:proofErr w:type="spellStart"/>
            <w:r>
              <w:rPr>
                <w:sz w:val="15"/>
                <w:szCs w:val="15"/>
                <w:lang w:val="en-US"/>
              </w:rPr>
              <w:t>ms</w:t>
            </w:r>
            <w:proofErr w:type="spellEnd"/>
            <w:r>
              <w:rPr>
                <w:sz w:val="15"/>
                <w:szCs w:val="15"/>
                <w:lang w:val="en-US"/>
              </w:rPr>
              <w:t>)</w:t>
            </w:r>
          </w:p>
        </w:tc>
        <w:tc>
          <w:tcPr>
            <w:tcW w:w="708" w:type="dxa"/>
            <w:noWrap/>
            <w:vAlign w:val="center"/>
          </w:tcPr>
          <w:p w14:paraId="49163327" w14:textId="77777777" w:rsidR="00426C98" w:rsidRDefault="00000000">
            <w:pPr>
              <w:textAlignment w:val="center"/>
              <w:rPr>
                <w:sz w:val="15"/>
                <w:szCs w:val="15"/>
              </w:rPr>
            </w:pPr>
            <w:r>
              <w:rPr>
                <w:sz w:val="15"/>
                <w:szCs w:val="15"/>
                <w:lang w:val="en-US"/>
              </w:rPr>
              <w:t>Latency p95 (</w:t>
            </w:r>
            <w:proofErr w:type="spellStart"/>
            <w:r>
              <w:rPr>
                <w:sz w:val="15"/>
                <w:szCs w:val="15"/>
                <w:lang w:val="en-US"/>
              </w:rPr>
              <w:t>ms</w:t>
            </w:r>
            <w:proofErr w:type="spellEnd"/>
            <w:r>
              <w:rPr>
                <w:sz w:val="15"/>
                <w:szCs w:val="15"/>
                <w:lang w:val="en-US"/>
              </w:rPr>
              <w:t>)</w:t>
            </w:r>
          </w:p>
        </w:tc>
        <w:tc>
          <w:tcPr>
            <w:tcW w:w="758" w:type="dxa"/>
            <w:noWrap/>
            <w:vAlign w:val="center"/>
          </w:tcPr>
          <w:p w14:paraId="73B52C57" w14:textId="77777777" w:rsidR="00426C98" w:rsidRDefault="00000000">
            <w:pPr>
              <w:textAlignment w:val="center"/>
              <w:rPr>
                <w:sz w:val="15"/>
                <w:szCs w:val="15"/>
                <w:lang w:val="en-US"/>
              </w:rPr>
            </w:pPr>
            <w:r>
              <w:rPr>
                <w:sz w:val="15"/>
                <w:szCs w:val="15"/>
                <w:lang w:val="en-US"/>
              </w:rPr>
              <w:t>Through</w:t>
            </w:r>
          </w:p>
          <w:p w14:paraId="08730942" w14:textId="77777777" w:rsidR="00426C98" w:rsidRDefault="00000000">
            <w:pPr>
              <w:textAlignment w:val="center"/>
              <w:rPr>
                <w:sz w:val="15"/>
                <w:szCs w:val="15"/>
              </w:rPr>
            </w:pPr>
            <w:r>
              <w:rPr>
                <w:sz w:val="15"/>
                <w:szCs w:val="15"/>
                <w:lang w:val="en-US"/>
              </w:rPr>
              <w:t>put</w:t>
            </w:r>
            <w:r>
              <w:rPr>
                <w:rFonts w:hint="eastAsia"/>
                <w:sz w:val="15"/>
                <w:szCs w:val="15"/>
                <w:lang w:val="en-US"/>
              </w:rPr>
              <w:t xml:space="preserve"> </w:t>
            </w:r>
            <w:r>
              <w:rPr>
                <w:sz w:val="15"/>
                <w:szCs w:val="15"/>
                <w:lang w:val="en-US"/>
              </w:rPr>
              <w:t xml:space="preserve"> (</w:t>
            </w:r>
            <w:proofErr w:type="spellStart"/>
            <w:r>
              <w:rPr>
                <w:sz w:val="15"/>
                <w:szCs w:val="15"/>
                <w:lang w:val="en-US"/>
              </w:rPr>
              <w:t>tx</w:t>
            </w:r>
            <w:proofErr w:type="spellEnd"/>
            <w:r>
              <w:rPr>
                <w:sz w:val="15"/>
                <w:szCs w:val="15"/>
                <w:lang w:val="en-US"/>
              </w:rPr>
              <w:t>/s)</w:t>
            </w:r>
          </w:p>
        </w:tc>
        <w:tc>
          <w:tcPr>
            <w:tcW w:w="867" w:type="dxa"/>
            <w:noWrap/>
            <w:vAlign w:val="center"/>
          </w:tcPr>
          <w:p w14:paraId="4036E1FF" w14:textId="77777777" w:rsidR="00426C98" w:rsidRDefault="00000000">
            <w:pPr>
              <w:textAlignment w:val="center"/>
              <w:rPr>
                <w:sz w:val="15"/>
                <w:szCs w:val="15"/>
              </w:rPr>
            </w:pPr>
            <w:r>
              <w:rPr>
                <w:sz w:val="15"/>
                <w:szCs w:val="15"/>
                <w:lang w:val="en-US"/>
              </w:rPr>
              <w:t>Energy per Tx (J)</w:t>
            </w:r>
          </w:p>
        </w:tc>
        <w:tc>
          <w:tcPr>
            <w:tcW w:w="950" w:type="dxa"/>
            <w:noWrap/>
            <w:vAlign w:val="center"/>
          </w:tcPr>
          <w:p w14:paraId="1488D63F" w14:textId="77777777" w:rsidR="00426C98" w:rsidRDefault="00000000">
            <w:pPr>
              <w:textAlignment w:val="center"/>
              <w:rPr>
                <w:sz w:val="15"/>
                <w:szCs w:val="15"/>
                <w:lang w:val="en-US"/>
              </w:rPr>
            </w:pPr>
            <w:r>
              <w:rPr>
                <w:sz w:val="15"/>
                <w:szCs w:val="15"/>
                <w:lang w:val="en-US"/>
              </w:rPr>
              <w:t>Compliance Score (%)</w:t>
            </w:r>
          </w:p>
        </w:tc>
      </w:tr>
      <w:tr w:rsidR="00426C98" w14:paraId="1D51F480" w14:textId="77777777">
        <w:trPr>
          <w:trHeight w:val="290"/>
        </w:trPr>
        <w:tc>
          <w:tcPr>
            <w:tcW w:w="788" w:type="dxa"/>
            <w:noWrap/>
            <w:vAlign w:val="center"/>
          </w:tcPr>
          <w:p w14:paraId="0B2558E0" w14:textId="77777777" w:rsidR="00426C98" w:rsidRDefault="00000000">
            <w:pPr>
              <w:textAlignment w:val="center"/>
              <w:rPr>
                <w:sz w:val="16"/>
                <w:szCs w:val="16"/>
              </w:rPr>
            </w:pPr>
            <w:r>
              <w:rPr>
                <w:sz w:val="16"/>
                <w:szCs w:val="16"/>
                <w:lang w:val="en-US"/>
              </w:rPr>
              <w:t>S0 Baseline</w:t>
            </w:r>
          </w:p>
        </w:tc>
        <w:tc>
          <w:tcPr>
            <w:tcW w:w="750" w:type="dxa"/>
            <w:noWrap/>
            <w:vAlign w:val="center"/>
          </w:tcPr>
          <w:p w14:paraId="32CF36B5" w14:textId="77777777" w:rsidR="00426C98" w:rsidRDefault="00000000">
            <w:pPr>
              <w:jc w:val="right"/>
              <w:textAlignment w:val="center"/>
              <w:rPr>
                <w:sz w:val="16"/>
                <w:szCs w:val="16"/>
              </w:rPr>
            </w:pPr>
            <w:r>
              <w:rPr>
                <w:sz w:val="16"/>
                <w:szCs w:val="16"/>
                <w:lang w:val="en-US"/>
              </w:rPr>
              <w:t>45</w:t>
            </w:r>
          </w:p>
        </w:tc>
        <w:tc>
          <w:tcPr>
            <w:tcW w:w="708" w:type="dxa"/>
            <w:noWrap/>
            <w:vAlign w:val="center"/>
          </w:tcPr>
          <w:p w14:paraId="52729379" w14:textId="77777777" w:rsidR="00426C98" w:rsidRDefault="00000000">
            <w:pPr>
              <w:jc w:val="right"/>
              <w:textAlignment w:val="center"/>
              <w:rPr>
                <w:sz w:val="16"/>
                <w:szCs w:val="16"/>
              </w:rPr>
            </w:pPr>
            <w:r>
              <w:rPr>
                <w:sz w:val="16"/>
                <w:szCs w:val="16"/>
                <w:lang w:val="en-US"/>
              </w:rPr>
              <w:t>70</w:t>
            </w:r>
          </w:p>
        </w:tc>
        <w:tc>
          <w:tcPr>
            <w:tcW w:w="758" w:type="dxa"/>
            <w:noWrap/>
            <w:vAlign w:val="center"/>
          </w:tcPr>
          <w:p w14:paraId="10905B02" w14:textId="77777777" w:rsidR="00426C98" w:rsidRDefault="00000000">
            <w:pPr>
              <w:jc w:val="right"/>
              <w:textAlignment w:val="center"/>
              <w:rPr>
                <w:sz w:val="16"/>
                <w:szCs w:val="16"/>
              </w:rPr>
            </w:pPr>
            <w:r>
              <w:rPr>
                <w:sz w:val="16"/>
                <w:szCs w:val="16"/>
                <w:lang w:val="en-US"/>
              </w:rPr>
              <w:t>12000</w:t>
            </w:r>
          </w:p>
        </w:tc>
        <w:tc>
          <w:tcPr>
            <w:tcW w:w="867" w:type="dxa"/>
            <w:noWrap/>
            <w:vAlign w:val="center"/>
          </w:tcPr>
          <w:p w14:paraId="0D000B3C" w14:textId="77777777" w:rsidR="00426C98" w:rsidRDefault="00000000">
            <w:pPr>
              <w:jc w:val="right"/>
              <w:textAlignment w:val="center"/>
              <w:rPr>
                <w:sz w:val="16"/>
                <w:szCs w:val="16"/>
              </w:rPr>
            </w:pPr>
            <w:r>
              <w:rPr>
                <w:sz w:val="16"/>
                <w:szCs w:val="16"/>
                <w:lang w:val="en-US"/>
              </w:rPr>
              <w:t>1.2</w:t>
            </w:r>
          </w:p>
        </w:tc>
        <w:tc>
          <w:tcPr>
            <w:tcW w:w="950" w:type="dxa"/>
            <w:noWrap/>
            <w:vAlign w:val="center"/>
          </w:tcPr>
          <w:p w14:paraId="55BBB66A" w14:textId="77777777" w:rsidR="00426C98" w:rsidRDefault="00000000">
            <w:pPr>
              <w:tabs>
                <w:tab w:val="left" w:pos="720"/>
              </w:tabs>
              <w:jc w:val="right"/>
              <w:textAlignment w:val="center"/>
              <w:rPr>
                <w:sz w:val="16"/>
                <w:szCs w:val="16"/>
                <w:lang w:val="en-US"/>
              </w:rPr>
            </w:pPr>
            <w:r>
              <w:rPr>
                <w:sz w:val="16"/>
                <w:szCs w:val="16"/>
                <w:lang w:val="en-US"/>
              </w:rPr>
              <w:t>41</w:t>
            </w:r>
          </w:p>
        </w:tc>
      </w:tr>
      <w:tr w:rsidR="00426C98" w14:paraId="2FB5CE64" w14:textId="77777777">
        <w:trPr>
          <w:trHeight w:val="290"/>
        </w:trPr>
        <w:tc>
          <w:tcPr>
            <w:tcW w:w="788" w:type="dxa"/>
            <w:noWrap/>
            <w:vAlign w:val="center"/>
          </w:tcPr>
          <w:p w14:paraId="6C1D8CDE" w14:textId="77777777" w:rsidR="00426C98" w:rsidRDefault="00000000">
            <w:pPr>
              <w:textAlignment w:val="center"/>
              <w:rPr>
                <w:sz w:val="16"/>
                <w:szCs w:val="16"/>
              </w:rPr>
            </w:pPr>
            <w:r>
              <w:rPr>
                <w:sz w:val="16"/>
                <w:szCs w:val="16"/>
                <w:lang w:val="en-US"/>
              </w:rPr>
              <w:lastRenderedPageBreak/>
              <w:t>S1 Direct On-chain</w:t>
            </w:r>
          </w:p>
        </w:tc>
        <w:tc>
          <w:tcPr>
            <w:tcW w:w="750" w:type="dxa"/>
            <w:noWrap/>
            <w:vAlign w:val="center"/>
          </w:tcPr>
          <w:p w14:paraId="44B20D98" w14:textId="77777777" w:rsidR="00426C98" w:rsidRDefault="00000000">
            <w:pPr>
              <w:jc w:val="right"/>
              <w:textAlignment w:val="center"/>
              <w:rPr>
                <w:sz w:val="16"/>
                <w:szCs w:val="16"/>
              </w:rPr>
            </w:pPr>
            <w:r>
              <w:rPr>
                <w:sz w:val="16"/>
                <w:szCs w:val="16"/>
                <w:lang w:val="en-US"/>
              </w:rPr>
              <w:t>280</w:t>
            </w:r>
          </w:p>
        </w:tc>
        <w:tc>
          <w:tcPr>
            <w:tcW w:w="708" w:type="dxa"/>
            <w:noWrap/>
            <w:vAlign w:val="center"/>
          </w:tcPr>
          <w:p w14:paraId="7DC05E40" w14:textId="77777777" w:rsidR="00426C98" w:rsidRDefault="00000000">
            <w:pPr>
              <w:jc w:val="right"/>
              <w:textAlignment w:val="center"/>
              <w:rPr>
                <w:sz w:val="16"/>
                <w:szCs w:val="16"/>
              </w:rPr>
            </w:pPr>
            <w:r>
              <w:rPr>
                <w:sz w:val="16"/>
                <w:szCs w:val="16"/>
                <w:lang w:val="en-US"/>
              </w:rPr>
              <w:t>420</w:t>
            </w:r>
          </w:p>
        </w:tc>
        <w:tc>
          <w:tcPr>
            <w:tcW w:w="758" w:type="dxa"/>
            <w:noWrap/>
            <w:vAlign w:val="center"/>
          </w:tcPr>
          <w:p w14:paraId="57ECBBE1" w14:textId="77777777" w:rsidR="00426C98" w:rsidRDefault="00000000">
            <w:pPr>
              <w:jc w:val="right"/>
              <w:textAlignment w:val="center"/>
              <w:rPr>
                <w:sz w:val="16"/>
                <w:szCs w:val="16"/>
              </w:rPr>
            </w:pPr>
            <w:r>
              <w:rPr>
                <w:sz w:val="16"/>
                <w:szCs w:val="16"/>
                <w:lang w:val="en-US"/>
              </w:rPr>
              <w:t>6000</w:t>
            </w:r>
          </w:p>
        </w:tc>
        <w:tc>
          <w:tcPr>
            <w:tcW w:w="867" w:type="dxa"/>
            <w:noWrap/>
            <w:vAlign w:val="center"/>
          </w:tcPr>
          <w:p w14:paraId="2FF07FAE" w14:textId="77777777" w:rsidR="00426C98" w:rsidRDefault="00000000">
            <w:pPr>
              <w:jc w:val="right"/>
              <w:textAlignment w:val="center"/>
              <w:rPr>
                <w:sz w:val="16"/>
                <w:szCs w:val="16"/>
              </w:rPr>
            </w:pPr>
            <w:r>
              <w:rPr>
                <w:sz w:val="16"/>
                <w:szCs w:val="16"/>
                <w:lang w:val="en-US"/>
              </w:rPr>
              <w:t>1.5</w:t>
            </w:r>
          </w:p>
        </w:tc>
        <w:tc>
          <w:tcPr>
            <w:tcW w:w="950" w:type="dxa"/>
            <w:noWrap/>
            <w:vAlign w:val="center"/>
          </w:tcPr>
          <w:p w14:paraId="385F00FD" w14:textId="77777777" w:rsidR="00426C98" w:rsidRDefault="00000000">
            <w:pPr>
              <w:jc w:val="right"/>
              <w:textAlignment w:val="center"/>
              <w:rPr>
                <w:sz w:val="16"/>
                <w:szCs w:val="16"/>
                <w:lang w:val="en-US"/>
              </w:rPr>
            </w:pPr>
            <w:r>
              <w:rPr>
                <w:sz w:val="16"/>
                <w:szCs w:val="16"/>
                <w:lang w:val="en-US"/>
              </w:rPr>
              <w:t>82</w:t>
            </w:r>
          </w:p>
        </w:tc>
      </w:tr>
      <w:tr w:rsidR="00426C98" w14:paraId="1626F8B4" w14:textId="77777777">
        <w:trPr>
          <w:trHeight w:val="290"/>
        </w:trPr>
        <w:tc>
          <w:tcPr>
            <w:tcW w:w="788" w:type="dxa"/>
            <w:noWrap/>
            <w:vAlign w:val="center"/>
          </w:tcPr>
          <w:p w14:paraId="6CBB9C0E" w14:textId="77777777" w:rsidR="00426C98" w:rsidRDefault="00000000">
            <w:pPr>
              <w:textAlignment w:val="center"/>
              <w:rPr>
                <w:sz w:val="16"/>
                <w:szCs w:val="16"/>
              </w:rPr>
            </w:pPr>
            <w:r>
              <w:rPr>
                <w:sz w:val="16"/>
                <w:szCs w:val="16"/>
                <w:lang w:val="en-US"/>
              </w:rPr>
              <w:t>S2 Edge Anchoring</w:t>
            </w:r>
          </w:p>
        </w:tc>
        <w:tc>
          <w:tcPr>
            <w:tcW w:w="750" w:type="dxa"/>
            <w:noWrap/>
            <w:vAlign w:val="center"/>
          </w:tcPr>
          <w:p w14:paraId="745EBB18" w14:textId="77777777" w:rsidR="00426C98" w:rsidRDefault="00000000">
            <w:pPr>
              <w:jc w:val="right"/>
              <w:textAlignment w:val="center"/>
              <w:rPr>
                <w:sz w:val="16"/>
                <w:szCs w:val="16"/>
              </w:rPr>
            </w:pPr>
            <w:r>
              <w:rPr>
                <w:sz w:val="16"/>
                <w:szCs w:val="16"/>
                <w:lang w:val="en-US"/>
              </w:rPr>
              <w:t>160</w:t>
            </w:r>
          </w:p>
        </w:tc>
        <w:tc>
          <w:tcPr>
            <w:tcW w:w="708" w:type="dxa"/>
            <w:noWrap/>
            <w:vAlign w:val="center"/>
          </w:tcPr>
          <w:p w14:paraId="713C8B37" w14:textId="77777777" w:rsidR="00426C98" w:rsidRDefault="00000000">
            <w:pPr>
              <w:jc w:val="right"/>
              <w:textAlignment w:val="center"/>
              <w:rPr>
                <w:sz w:val="16"/>
                <w:szCs w:val="16"/>
              </w:rPr>
            </w:pPr>
            <w:r>
              <w:rPr>
                <w:sz w:val="16"/>
                <w:szCs w:val="16"/>
                <w:lang w:val="en-US"/>
              </w:rPr>
              <w:t>240</w:t>
            </w:r>
          </w:p>
        </w:tc>
        <w:tc>
          <w:tcPr>
            <w:tcW w:w="758" w:type="dxa"/>
            <w:noWrap/>
            <w:vAlign w:val="center"/>
          </w:tcPr>
          <w:p w14:paraId="3AB5B4CB" w14:textId="77777777" w:rsidR="00426C98" w:rsidRDefault="00000000">
            <w:pPr>
              <w:jc w:val="right"/>
              <w:textAlignment w:val="center"/>
              <w:rPr>
                <w:sz w:val="16"/>
                <w:szCs w:val="16"/>
              </w:rPr>
            </w:pPr>
            <w:r>
              <w:rPr>
                <w:sz w:val="16"/>
                <w:szCs w:val="16"/>
                <w:lang w:val="en-US"/>
              </w:rPr>
              <w:t>8500</w:t>
            </w:r>
          </w:p>
        </w:tc>
        <w:tc>
          <w:tcPr>
            <w:tcW w:w="867" w:type="dxa"/>
            <w:noWrap/>
            <w:vAlign w:val="center"/>
          </w:tcPr>
          <w:p w14:paraId="67E5944E" w14:textId="77777777" w:rsidR="00426C98" w:rsidRDefault="00000000">
            <w:pPr>
              <w:jc w:val="right"/>
              <w:textAlignment w:val="center"/>
              <w:rPr>
                <w:sz w:val="16"/>
                <w:szCs w:val="16"/>
              </w:rPr>
            </w:pPr>
            <w:r>
              <w:rPr>
                <w:sz w:val="16"/>
                <w:szCs w:val="16"/>
                <w:lang w:val="en-US"/>
              </w:rPr>
              <w:t>1.35</w:t>
            </w:r>
          </w:p>
        </w:tc>
        <w:tc>
          <w:tcPr>
            <w:tcW w:w="950" w:type="dxa"/>
            <w:noWrap/>
            <w:vAlign w:val="center"/>
          </w:tcPr>
          <w:p w14:paraId="6D7755E4" w14:textId="77777777" w:rsidR="00426C98" w:rsidRDefault="00000000">
            <w:pPr>
              <w:jc w:val="right"/>
              <w:textAlignment w:val="center"/>
              <w:rPr>
                <w:sz w:val="16"/>
                <w:szCs w:val="16"/>
                <w:lang w:val="en-US"/>
              </w:rPr>
            </w:pPr>
            <w:r>
              <w:rPr>
                <w:sz w:val="16"/>
                <w:szCs w:val="16"/>
                <w:lang w:val="en-US"/>
              </w:rPr>
              <w:t>96</w:t>
            </w:r>
          </w:p>
        </w:tc>
      </w:tr>
      <w:tr w:rsidR="00426C98" w14:paraId="59231C0E" w14:textId="77777777">
        <w:trPr>
          <w:trHeight w:val="290"/>
        </w:trPr>
        <w:tc>
          <w:tcPr>
            <w:tcW w:w="788" w:type="dxa"/>
            <w:noWrap/>
            <w:vAlign w:val="center"/>
          </w:tcPr>
          <w:p w14:paraId="701FC204" w14:textId="77777777" w:rsidR="00426C98" w:rsidRDefault="00000000">
            <w:pPr>
              <w:textAlignment w:val="center"/>
              <w:rPr>
                <w:sz w:val="16"/>
                <w:szCs w:val="16"/>
              </w:rPr>
            </w:pPr>
            <w:r>
              <w:rPr>
                <w:sz w:val="16"/>
                <w:szCs w:val="16"/>
                <w:lang w:val="en-US"/>
              </w:rPr>
              <w:t>S3 Rollups</w:t>
            </w:r>
          </w:p>
        </w:tc>
        <w:tc>
          <w:tcPr>
            <w:tcW w:w="750" w:type="dxa"/>
            <w:noWrap/>
            <w:vAlign w:val="center"/>
          </w:tcPr>
          <w:p w14:paraId="0D630F3D" w14:textId="77777777" w:rsidR="00426C98" w:rsidRDefault="00000000">
            <w:pPr>
              <w:jc w:val="right"/>
              <w:textAlignment w:val="center"/>
              <w:rPr>
                <w:sz w:val="16"/>
                <w:szCs w:val="16"/>
              </w:rPr>
            </w:pPr>
            <w:r>
              <w:rPr>
                <w:sz w:val="16"/>
                <w:szCs w:val="16"/>
                <w:lang w:val="en-US"/>
              </w:rPr>
              <w:t>210</w:t>
            </w:r>
          </w:p>
        </w:tc>
        <w:tc>
          <w:tcPr>
            <w:tcW w:w="708" w:type="dxa"/>
            <w:noWrap/>
            <w:vAlign w:val="center"/>
          </w:tcPr>
          <w:p w14:paraId="2C4C4D56" w14:textId="77777777" w:rsidR="00426C98" w:rsidRDefault="00000000">
            <w:pPr>
              <w:jc w:val="right"/>
              <w:textAlignment w:val="center"/>
              <w:rPr>
                <w:sz w:val="16"/>
                <w:szCs w:val="16"/>
              </w:rPr>
            </w:pPr>
            <w:r>
              <w:rPr>
                <w:sz w:val="16"/>
                <w:szCs w:val="16"/>
                <w:lang w:val="en-US"/>
              </w:rPr>
              <w:t>250</w:t>
            </w:r>
          </w:p>
        </w:tc>
        <w:tc>
          <w:tcPr>
            <w:tcW w:w="758" w:type="dxa"/>
            <w:noWrap/>
            <w:vAlign w:val="center"/>
          </w:tcPr>
          <w:p w14:paraId="063F9C3C" w14:textId="77777777" w:rsidR="00426C98" w:rsidRDefault="00000000">
            <w:pPr>
              <w:jc w:val="right"/>
              <w:textAlignment w:val="center"/>
              <w:rPr>
                <w:sz w:val="16"/>
                <w:szCs w:val="16"/>
              </w:rPr>
            </w:pPr>
            <w:r>
              <w:rPr>
                <w:sz w:val="16"/>
                <w:szCs w:val="16"/>
                <w:lang w:val="en-US"/>
              </w:rPr>
              <w:t>10500</w:t>
            </w:r>
          </w:p>
        </w:tc>
        <w:tc>
          <w:tcPr>
            <w:tcW w:w="867" w:type="dxa"/>
            <w:noWrap/>
            <w:vAlign w:val="center"/>
          </w:tcPr>
          <w:p w14:paraId="515961EB" w14:textId="77777777" w:rsidR="00426C98" w:rsidRDefault="00000000">
            <w:pPr>
              <w:jc w:val="right"/>
              <w:textAlignment w:val="center"/>
              <w:rPr>
                <w:sz w:val="16"/>
                <w:szCs w:val="16"/>
              </w:rPr>
            </w:pPr>
            <w:r>
              <w:rPr>
                <w:sz w:val="16"/>
                <w:szCs w:val="16"/>
                <w:lang w:val="en-US"/>
              </w:rPr>
              <w:t>1.4</w:t>
            </w:r>
          </w:p>
        </w:tc>
        <w:tc>
          <w:tcPr>
            <w:tcW w:w="950" w:type="dxa"/>
            <w:noWrap/>
            <w:vAlign w:val="center"/>
          </w:tcPr>
          <w:p w14:paraId="6D0E5015" w14:textId="77777777" w:rsidR="00426C98" w:rsidRDefault="00000000">
            <w:pPr>
              <w:jc w:val="right"/>
              <w:textAlignment w:val="center"/>
              <w:rPr>
                <w:sz w:val="16"/>
                <w:szCs w:val="16"/>
                <w:lang w:val="en-US"/>
              </w:rPr>
            </w:pPr>
            <w:r>
              <w:rPr>
                <w:sz w:val="16"/>
                <w:szCs w:val="16"/>
                <w:lang w:val="en-US"/>
              </w:rPr>
              <w:t>98</w:t>
            </w:r>
          </w:p>
        </w:tc>
      </w:tr>
    </w:tbl>
    <w:p w14:paraId="32F82A9D" w14:textId="77777777" w:rsidR="00426C98" w:rsidRDefault="00426C98">
      <w:pPr>
        <w:pStyle w:val="BodyText"/>
        <w:tabs>
          <w:tab w:val="left" w:pos="288"/>
        </w:tabs>
        <w:spacing w:before="0" w:after="120" w:line="228" w:lineRule="auto"/>
        <w:ind w:firstLine="288"/>
        <w:jc w:val="both"/>
        <w:rPr>
          <w:sz w:val="20"/>
          <w:szCs w:val="20"/>
        </w:rPr>
      </w:pPr>
    </w:p>
    <w:p w14:paraId="7587A797" w14:textId="77777777" w:rsidR="00426C98" w:rsidRDefault="00000000">
      <w:pPr>
        <w:pStyle w:val="BodyText"/>
        <w:tabs>
          <w:tab w:val="left" w:pos="288"/>
        </w:tabs>
        <w:spacing w:before="0" w:after="120" w:line="228" w:lineRule="auto"/>
        <w:ind w:firstLine="288"/>
        <w:jc w:val="both"/>
        <w:rPr>
          <w:sz w:val="20"/>
          <w:szCs w:val="20"/>
        </w:rPr>
      </w:pPr>
      <w:r>
        <w:rPr>
          <w:sz w:val="20"/>
          <w:szCs w:val="20"/>
        </w:rPr>
        <w:t xml:space="preserve">Table </w:t>
      </w:r>
      <w:r>
        <w:rPr>
          <w:sz w:val="20"/>
          <w:szCs w:val="20"/>
          <w:lang w:val="en-US"/>
        </w:rPr>
        <w:t>4</w:t>
      </w:r>
      <w:r>
        <w:rPr>
          <w:sz w:val="20"/>
          <w:szCs w:val="20"/>
        </w:rPr>
        <w:t xml:space="preserve"> summarizes median and p95 performance across all scenarios, while Figures </w:t>
      </w:r>
      <w:r>
        <w:rPr>
          <w:sz w:val="20"/>
          <w:szCs w:val="20"/>
          <w:lang w:val="en-US"/>
        </w:rPr>
        <w:t>4</w:t>
      </w:r>
      <w:r>
        <w:rPr>
          <w:sz w:val="20"/>
          <w:szCs w:val="20"/>
        </w:rPr>
        <w:t xml:space="preserve"> and </w:t>
      </w:r>
      <w:r>
        <w:rPr>
          <w:sz w:val="20"/>
          <w:szCs w:val="20"/>
          <w:lang w:val="en-US"/>
        </w:rPr>
        <w:t>5</w:t>
      </w:r>
      <w:r>
        <w:rPr>
          <w:sz w:val="20"/>
          <w:szCs w:val="20"/>
        </w:rPr>
        <w:t xml:space="preserve"> visualize latency distributions and throughput scaling with validator counts. </w:t>
      </w:r>
      <w:r>
        <w:rPr>
          <w:spacing w:val="-1"/>
          <w:sz w:val="20"/>
          <w:szCs w:val="20"/>
        </w:rPr>
        <w:t xml:space="preserve">Figure </w:t>
      </w:r>
      <w:r>
        <w:rPr>
          <w:sz w:val="20"/>
          <w:szCs w:val="20"/>
          <w:lang w:val="en-US"/>
        </w:rPr>
        <w:t>6</w:t>
      </w:r>
      <w:r>
        <w:rPr>
          <w:sz w:val="20"/>
          <w:szCs w:val="20"/>
        </w:rPr>
        <w:t xml:space="preserve"> presents energy consumption per transaction, and Figure </w:t>
      </w:r>
      <w:r>
        <w:rPr>
          <w:sz w:val="20"/>
          <w:szCs w:val="20"/>
          <w:lang w:val="en-US"/>
        </w:rPr>
        <w:t>7</w:t>
      </w:r>
      <w:r>
        <w:rPr>
          <w:sz w:val="20"/>
          <w:szCs w:val="20"/>
        </w:rPr>
        <w:t xml:space="preserve"> shows an auditability radar chart comparing scenarios. Collectively, these results demonstrate that blockchain-enabled trust models, when combined with edge anchoring and rollups, can achieve near real-time performance, strong auditability, and privacy-preserving compliance with manageable energy overheads.</w:t>
      </w:r>
    </w:p>
    <w:p w14:paraId="703554E6" w14:textId="77777777" w:rsidR="00426C98" w:rsidRDefault="00000000">
      <w:pPr>
        <w:pStyle w:val="IETParagraph"/>
        <w:spacing w:line="240" w:lineRule="auto"/>
        <w:ind w:firstLine="0"/>
      </w:pPr>
      <w:r>
        <w:rPr>
          <w:noProof/>
        </w:rPr>
        <w:drawing>
          <wp:inline distT="0" distB="0" distL="114300" distR="114300" wp14:anchorId="35F880B9" wp14:editId="196F07BC">
            <wp:extent cx="3093085" cy="2642870"/>
            <wp:effectExtent l="0" t="0" r="5715" b="1143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pic:cNvPicPr>
                      <a:picLocks noChangeAspect="1"/>
                    </pic:cNvPicPr>
                  </pic:nvPicPr>
                  <pic:blipFill>
                    <a:blip r:embed="rId16"/>
                    <a:stretch>
                      <a:fillRect/>
                    </a:stretch>
                  </pic:blipFill>
                  <pic:spPr>
                    <a:xfrm>
                      <a:off x="0" y="0"/>
                      <a:ext cx="3093085" cy="2642870"/>
                    </a:xfrm>
                    <a:prstGeom prst="rect">
                      <a:avLst/>
                    </a:prstGeom>
                    <a:noFill/>
                    <a:ln>
                      <a:noFill/>
                    </a:ln>
                  </pic:spPr>
                </pic:pic>
              </a:graphicData>
            </a:graphic>
          </wp:inline>
        </w:drawing>
      </w:r>
    </w:p>
    <w:p w14:paraId="4906DDEF" w14:textId="77777777" w:rsidR="00426C98" w:rsidRDefault="00000000">
      <w:pPr>
        <w:pStyle w:val="IETParagraph"/>
        <w:spacing w:line="240" w:lineRule="auto"/>
        <w:jc w:val="center"/>
        <w:rPr>
          <w:sz w:val="18"/>
          <w:szCs w:val="18"/>
          <w:shd w:val="clear" w:color="auto" w:fill="FFFFFF"/>
        </w:rPr>
      </w:pPr>
      <w:r>
        <w:rPr>
          <w:b/>
          <w:bCs/>
          <w:sz w:val="18"/>
          <w:szCs w:val="18"/>
          <w:shd w:val="clear" w:color="auto" w:fill="FFFFFF"/>
        </w:rPr>
        <w:t>Fig</w:t>
      </w:r>
      <w:r>
        <w:rPr>
          <w:b/>
          <w:bCs/>
          <w:sz w:val="18"/>
          <w:szCs w:val="18"/>
          <w:shd w:val="clear" w:color="auto" w:fill="FFFFFF"/>
          <w:lang w:val="en-US"/>
        </w:rPr>
        <w:t>.</w:t>
      </w:r>
      <w:r>
        <w:rPr>
          <w:b/>
          <w:bCs/>
          <w:sz w:val="18"/>
          <w:szCs w:val="18"/>
          <w:shd w:val="clear" w:color="auto" w:fill="FFFFFF"/>
        </w:rPr>
        <w:t xml:space="preserve"> </w:t>
      </w:r>
      <w:r>
        <w:rPr>
          <w:b/>
          <w:bCs/>
          <w:sz w:val="18"/>
          <w:szCs w:val="18"/>
          <w:shd w:val="clear" w:color="auto" w:fill="FFFFFF"/>
          <w:lang w:val="en-US"/>
        </w:rPr>
        <w:t xml:space="preserve">7. </w:t>
      </w:r>
      <w:r>
        <w:rPr>
          <w:sz w:val="18"/>
          <w:szCs w:val="18"/>
          <w:shd w:val="clear" w:color="auto" w:fill="FFFFFF"/>
        </w:rPr>
        <w:t>Auditability Scorecard Radar</w:t>
      </w:r>
    </w:p>
    <w:p w14:paraId="277D06B2" w14:textId="77777777" w:rsidR="00426C98" w:rsidRDefault="00000000">
      <w:pPr>
        <w:pStyle w:val="Heading1"/>
        <w:keepLines/>
        <w:numPr>
          <w:ilvl w:val="0"/>
          <w:numId w:val="7"/>
        </w:numPr>
        <w:tabs>
          <w:tab w:val="clear" w:pos="425"/>
          <w:tab w:val="left" w:pos="216"/>
        </w:tabs>
        <w:spacing w:before="160" w:after="80"/>
        <w:jc w:val="center"/>
        <w:rPr>
          <w:rFonts w:ascii="Times New Roman" w:hAnsi="Times New Roman" w:cs="Times New Roman"/>
          <w:b w:val="0"/>
          <w:bCs w:val="0"/>
          <w:smallCaps/>
          <w:kern w:val="0"/>
          <w:sz w:val="20"/>
          <w:szCs w:val="20"/>
          <w:lang w:val="en-US" w:eastAsia="en-US"/>
        </w:rPr>
      </w:pPr>
      <w:r>
        <w:rPr>
          <w:rFonts w:ascii="Times New Roman" w:hAnsi="Times New Roman" w:cs="Times New Roman"/>
          <w:b w:val="0"/>
          <w:bCs w:val="0"/>
          <w:smallCaps/>
          <w:kern w:val="0"/>
          <w:sz w:val="20"/>
          <w:szCs w:val="20"/>
          <w:lang w:val="en-US" w:eastAsia="en-US"/>
        </w:rPr>
        <w:t xml:space="preserve"> Discussions</w:t>
      </w:r>
    </w:p>
    <w:p w14:paraId="0276B196" w14:textId="77777777" w:rsidR="00426C98" w:rsidRDefault="00000000">
      <w:pPr>
        <w:pStyle w:val="BodyText"/>
        <w:tabs>
          <w:tab w:val="left" w:pos="288"/>
        </w:tabs>
        <w:spacing w:before="0" w:after="120" w:line="228" w:lineRule="auto"/>
        <w:ind w:firstLine="288"/>
        <w:jc w:val="both"/>
        <w:rPr>
          <w:spacing w:val="-1"/>
          <w:sz w:val="20"/>
          <w:szCs w:val="20"/>
        </w:rPr>
      </w:pPr>
      <w:r w:rsidRPr="006F576F">
        <w:rPr>
          <w:spacing w:val="-1"/>
          <w:sz w:val="20"/>
          <w:szCs w:val="20"/>
          <w:lang w:val="en-US"/>
        </w:rPr>
        <w:t>Th</w:t>
      </w:r>
      <w:r>
        <w:rPr>
          <w:spacing w:val="-1"/>
          <w:sz w:val="20"/>
          <w:szCs w:val="20"/>
        </w:rPr>
        <w:t>e experimental findings provide several insights into the viability and trade-offs of blockchain-enabled trust models in next-generation information networks (NGINs). This section synthesizes results from latency, throughput, energy, auditability, compliance, and availability perspectives while reflecting on broader implications for design, governance, and scalability.</w:t>
      </w:r>
    </w:p>
    <w:p w14:paraId="1E876F95" w14:textId="77777777" w:rsidR="00426C98" w:rsidRDefault="00000000">
      <w:pPr>
        <w:pStyle w:val="BodyText"/>
        <w:tabs>
          <w:tab w:val="left" w:pos="288"/>
        </w:tabs>
        <w:spacing w:before="0" w:after="120" w:line="228" w:lineRule="auto"/>
        <w:ind w:firstLine="288"/>
        <w:jc w:val="both"/>
        <w:rPr>
          <w:sz w:val="20"/>
          <w:szCs w:val="20"/>
          <w:shd w:val="clear" w:color="auto" w:fill="FFFFFF"/>
        </w:rPr>
      </w:pPr>
      <w:r>
        <w:rPr>
          <w:spacing w:val="-1"/>
          <w:sz w:val="20"/>
          <w:szCs w:val="20"/>
        </w:rPr>
        <w:t>Th</w:t>
      </w:r>
      <w:r>
        <w:rPr>
          <w:sz w:val="20"/>
          <w:szCs w:val="20"/>
          <w:shd w:val="clear" w:color="auto" w:fill="FFFFFF"/>
        </w:rPr>
        <w:t xml:space="preserve">e experiments confirm that blockchain introduces additional latency and energy consumption relative to non-blockchain baselines. However, the integration of edge anchoring and rollup-style batching significantly reduced these costs, enabling sub-250 </w:t>
      </w:r>
      <w:proofErr w:type="spellStart"/>
      <w:r>
        <w:rPr>
          <w:sz w:val="20"/>
          <w:szCs w:val="20"/>
          <w:shd w:val="clear" w:color="auto" w:fill="FFFFFF"/>
        </w:rPr>
        <w:t>ms</w:t>
      </w:r>
      <w:proofErr w:type="spellEnd"/>
      <w:r>
        <w:rPr>
          <w:sz w:val="20"/>
          <w:szCs w:val="20"/>
          <w:shd w:val="clear" w:color="auto" w:fill="FFFFFF"/>
        </w:rPr>
        <w:t xml:space="preserve"> p95 latency with throughput exceeding 10,000 transactions per second. These results demonstrate that trust and auditability can be embedded without fundamentally compromising the responsiveness of critical NGIN workloads such as mobility telemetry. Nonetheless, careful configuration of validator set sizes, batch intervals, and consensus protocols remains essential to meet stringent SLAs.</w:t>
      </w:r>
    </w:p>
    <w:p w14:paraId="4CD0616D" w14:textId="77777777" w:rsidR="00426C98" w:rsidRDefault="00000000">
      <w:pPr>
        <w:pStyle w:val="BodyText"/>
        <w:tabs>
          <w:tab w:val="left" w:pos="288"/>
        </w:tabs>
        <w:spacing w:before="0" w:after="120" w:line="228" w:lineRule="auto"/>
        <w:ind w:firstLine="288"/>
        <w:jc w:val="both"/>
        <w:rPr>
          <w:spacing w:val="-1"/>
          <w:sz w:val="20"/>
          <w:szCs w:val="20"/>
        </w:rPr>
      </w:pPr>
      <w:r>
        <w:rPr>
          <w:sz w:val="20"/>
          <w:szCs w:val="20"/>
          <w:shd w:val="clear" w:color="auto" w:fill="FFFFFF"/>
        </w:rPr>
        <w:t xml:space="preserve"> A key contribution of blockchain-enabled trust models is the ability to convert compliance into a real-time, cryptographically verifiable process. Compared to baseline Kafka-based logging, audit completeness improved by more </w:t>
      </w:r>
      <w:r>
        <w:rPr>
          <w:sz w:val="20"/>
          <w:szCs w:val="20"/>
          <w:shd w:val="clear" w:color="auto" w:fill="FFFFFF"/>
        </w:rPr>
        <w:t>than 50 percentage points, and the time-to-prove compliance was reduced by nearly an order of magnitude. This transition has profound implications for sectors such as healthcare and energy, where regulators increasingly dem</w:t>
      </w:r>
      <w:r>
        <w:rPr>
          <w:spacing w:val="-1"/>
          <w:sz w:val="20"/>
          <w:szCs w:val="20"/>
        </w:rPr>
        <w:t>and continuous assurance rather than retrospective audits. Automated compliance enforcement, through OCCAM smart contracts, represents a step toward machine-checkable governance frameworks.</w:t>
      </w:r>
    </w:p>
    <w:p w14:paraId="71366936" w14:textId="77777777" w:rsidR="00426C98" w:rsidRDefault="00000000">
      <w:pPr>
        <w:pStyle w:val="BodyText"/>
        <w:tabs>
          <w:tab w:val="left" w:pos="288"/>
        </w:tabs>
        <w:spacing w:before="0" w:after="120" w:line="228" w:lineRule="auto"/>
        <w:ind w:firstLine="288"/>
        <w:jc w:val="both"/>
        <w:rPr>
          <w:spacing w:val="-1"/>
          <w:sz w:val="20"/>
          <w:szCs w:val="20"/>
        </w:rPr>
      </w:pPr>
      <w:r>
        <w:rPr>
          <w:spacing w:val="-1"/>
          <w:sz w:val="20"/>
          <w:szCs w:val="20"/>
        </w:rPr>
        <w:t>Although blockchain inevitably introduces additional energy costs, optimizations such as signature aggregation and workload batching reduce these overheads to manageable levels (&lt;15%). Given the global push toward sustainable digital infrastructures, this balance between verifiable trust and energy efficiency is critical. Our findings suggest that with appropriate engineering, blockchain-enabled models can align with green ICT goals, though further research into low-energy consensus algorithms (e.g., BFT with post-quantum cryptography) is warranted.</w:t>
      </w:r>
    </w:p>
    <w:p w14:paraId="4F6F3BEB" w14:textId="77777777" w:rsidR="00426C98" w:rsidRDefault="00000000">
      <w:pPr>
        <w:pStyle w:val="BodyText"/>
        <w:tabs>
          <w:tab w:val="left" w:pos="288"/>
        </w:tabs>
        <w:spacing w:before="0" w:after="120" w:line="228" w:lineRule="auto"/>
        <w:ind w:firstLine="288"/>
        <w:jc w:val="both"/>
        <w:rPr>
          <w:spacing w:val="-1"/>
          <w:sz w:val="20"/>
          <w:szCs w:val="20"/>
        </w:rPr>
      </w:pPr>
      <w:r>
        <w:rPr>
          <w:spacing w:val="-1"/>
          <w:sz w:val="20"/>
          <w:szCs w:val="20"/>
        </w:rPr>
        <w:t>The experiments also validate that privacy-preserving analytics are feasible in blockchain-based systems. Differential privacy budgets and zero-knowledge verifiers e</w:t>
      </w:r>
      <w:r>
        <w:rPr>
          <w:sz w:val="20"/>
          <w:szCs w:val="20"/>
          <w:shd w:val="clear" w:color="auto" w:fill="FFFFFF"/>
        </w:rPr>
        <w:t xml:space="preserve">nforced strong privacy guarantees while maintaining performance within SLA limits. This addresses one of the major criticisms of blockchain—that immutability conflicts with privacy obligations—by demonstrating architectures where sensitive data remains off-chain while proofs and commitments are anchored on-chain. Such models allow </w:t>
      </w:r>
      <w:r>
        <w:rPr>
          <w:spacing w:val="-1"/>
          <w:sz w:val="20"/>
          <w:szCs w:val="20"/>
        </w:rPr>
        <w:t>organizations to satisfy regulatory demands like GDPR’s accountability principle without exposing raw datasets.</w:t>
      </w:r>
    </w:p>
    <w:p w14:paraId="795A9796" w14:textId="77777777" w:rsidR="00426C98" w:rsidRDefault="00000000">
      <w:pPr>
        <w:pStyle w:val="BodyText"/>
        <w:tabs>
          <w:tab w:val="left" w:pos="288"/>
        </w:tabs>
        <w:spacing w:before="0" w:after="120" w:line="228" w:lineRule="auto"/>
        <w:ind w:firstLine="288"/>
        <w:jc w:val="both"/>
        <w:rPr>
          <w:spacing w:val="-1"/>
          <w:sz w:val="20"/>
          <w:szCs w:val="20"/>
        </w:rPr>
      </w:pPr>
      <w:r>
        <w:rPr>
          <w:spacing w:val="-1"/>
          <w:sz w:val="20"/>
          <w:szCs w:val="20"/>
        </w:rPr>
        <w:t>The evaluation revealed that different application domains impose distinct constraints. For example, mobility telemetry requires ultra-low latency, healthcare prioritizes privacy and compliance, while energy systems emphasize efficiency and cost. These results underscore that blockchain-enabled trust cannot be applied as a one-size-fits-all solution; rather, deployment strategies must be tuned to the requirements of each workload. Adaptive consensus profiles and policy grammars are needed to achieve sector-specific optimization.</w:t>
      </w:r>
    </w:p>
    <w:p w14:paraId="237640F1" w14:textId="77777777" w:rsidR="00426C98" w:rsidRDefault="00000000">
      <w:pPr>
        <w:pStyle w:val="BodyText"/>
        <w:tabs>
          <w:tab w:val="left" w:pos="288"/>
        </w:tabs>
        <w:spacing w:before="0" w:after="120" w:line="228" w:lineRule="auto"/>
        <w:ind w:firstLine="288"/>
        <w:jc w:val="both"/>
        <w:rPr>
          <w:spacing w:val="-1"/>
          <w:sz w:val="20"/>
          <w:szCs w:val="20"/>
        </w:rPr>
      </w:pPr>
      <w:r>
        <w:rPr>
          <w:spacing w:val="-1"/>
          <w:sz w:val="20"/>
          <w:szCs w:val="20"/>
        </w:rPr>
        <w:t>Beyond technical metrics, the integration of blockchain-enabled trust into NGINs raises governance questions. OCCAM policies help bridge legal obligations and machine-enforceable rules, but human oversight remains critical to prevent policy drift. Interoperability across blockchain platforms and regulatory regimes also remains a challenge. While DIDs and VCs provide a foundation for cross-domain identity, cross-chain bridges and federated governance mechanisms need further research to address fragmentation risks.</w:t>
      </w:r>
    </w:p>
    <w:p w14:paraId="0AA62350" w14:textId="77777777" w:rsidR="00426C98" w:rsidRDefault="00000000">
      <w:pPr>
        <w:pStyle w:val="BodyText"/>
        <w:tabs>
          <w:tab w:val="left" w:pos="288"/>
        </w:tabs>
        <w:spacing w:before="0" w:after="120" w:line="228" w:lineRule="auto"/>
        <w:ind w:firstLine="288"/>
        <w:jc w:val="both"/>
        <w:rPr>
          <w:spacing w:val="-1"/>
          <w:sz w:val="20"/>
          <w:szCs w:val="20"/>
        </w:rPr>
      </w:pPr>
      <w:r>
        <w:rPr>
          <w:spacing w:val="-1"/>
          <w:sz w:val="20"/>
          <w:szCs w:val="20"/>
        </w:rPr>
        <w:t xml:space="preserve">Despite its contributions, this research has limitations. Experiments used synthetic datasets and emulated WAN conditions, </w:t>
      </w:r>
      <w:r>
        <w:rPr>
          <w:sz w:val="20"/>
          <w:szCs w:val="20"/>
          <w:shd w:val="clear" w:color="auto" w:fill="FFFFFF"/>
        </w:rPr>
        <w:t xml:space="preserve">which may not fully capture the unpredictability of real-world environments. Energy measurements, while precise at node level, may not reflect data </w:t>
      </w:r>
      <w:proofErr w:type="spellStart"/>
      <w:r>
        <w:rPr>
          <w:sz w:val="20"/>
          <w:szCs w:val="20"/>
          <w:shd w:val="clear" w:color="auto" w:fill="FFFFFF"/>
        </w:rPr>
        <w:t>center</w:t>
      </w:r>
      <w:proofErr w:type="spellEnd"/>
      <w:r>
        <w:rPr>
          <w:sz w:val="20"/>
          <w:szCs w:val="20"/>
          <w:shd w:val="clear" w:color="auto" w:fill="FFFFFF"/>
        </w:rPr>
        <w:t>-scale optimizations such as hardware acceleration. Moreover, adversarial models considered only Byzantine and network-level faults; nation-state adversaries or legal coercion attacks were beyond scope. Finally, the complexity of implementing advanced privacy-preserving proofs (e.g., Z</w:t>
      </w:r>
      <w:r>
        <w:rPr>
          <w:spacing w:val="-1"/>
          <w:sz w:val="20"/>
          <w:szCs w:val="20"/>
        </w:rPr>
        <w:t>K-SNARKs) in production remains a barrier that was only partially addressed.</w:t>
      </w:r>
    </w:p>
    <w:p w14:paraId="22A56BA9" w14:textId="77777777" w:rsidR="00426C98" w:rsidRDefault="00000000">
      <w:pPr>
        <w:pStyle w:val="BodyText"/>
        <w:tabs>
          <w:tab w:val="left" w:pos="288"/>
        </w:tabs>
        <w:spacing w:before="0" w:after="120" w:line="228" w:lineRule="auto"/>
        <w:ind w:firstLine="288"/>
        <w:jc w:val="both"/>
        <w:rPr>
          <w:sz w:val="20"/>
          <w:szCs w:val="20"/>
          <w:shd w:val="clear" w:color="auto" w:fill="FFFFFF"/>
        </w:rPr>
      </w:pPr>
      <w:r>
        <w:rPr>
          <w:spacing w:val="-1"/>
          <w:sz w:val="20"/>
          <w:szCs w:val="20"/>
        </w:rPr>
        <w:t xml:space="preserve">The integration of verifiable trust models into NGINs paves the way for sovereign, interoperable data spaces where </w:t>
      </w:r>
      <w:r>
        <w:rPr>
          <w:spacing w:val="-1"/>
          <w:sz w:val="20"/>
          <w:szCs w:val="20"/>
        </w:rPr>
        <w:lastRenderedPageBreak/>
        <w:t>compliance and governance are embedded into the technical fabric. Such models could transform how critical sectors manage risk, enabling continuous regulatory oversight,</w:t>
      </w:r>
      <w:r>
        <w:rPr>
          <w:sz w:val="20"/>
          <w:szCs w:val="20"/>
          <w:shd w:val="clear" w:color="auto" w:fill="FFFFFF"/>
        </w:rPr>
        <w:t xml:space="preserve"> transparent cross-border data sharing, and stronger citizen trust in digital infrastructures. However, achieving this vision requires continued collaboration between technologists, policymakers, and industry stakeholders.</w:t>
      </w:r>
    </w:p>
    <w:p w14:paraId="3F2003B1" w14:textId="77777777" w:rsidR="00426C98" w:rsidRDefault="00000000">
      <w:pPr>
        <w:pStyle w:val="Heading1"/>
        <w:keepLines/>
        <w:numPr>
          <w:ilvl w:val="0"/>
          <w:numId w:val="7"/>
        </w:numPr>
        <w:tabs>
          <w:tab w:val="clear" w:pos="425"/>
          <w:tab w:val="left" w:pos="216"/>
        </w:tabs>
        <w:spacing w:before="160" w:after="80"/>
        <w:jc w:val="center"/>
        <w:rPr>
          <w:rFonts w:ascii="Times New Roman" w:hAnsi="Times New Roman" w:cs="Times New Roman"/>
          <w:b w:val="0"/>
          <w:bCs w:val="0"/>
          <w:smallCaps/>
          <w:kern w:val="0"/>
          <w:sz w:val="20"/>
          <w:szCs w:val="20"/>
          <w:lang w:val="en-GB" w:eastAsia="en-US"/>
        </w:rPr>
      </w:pPr>
      <w:r>
        <w:rPr>
          <w:rFonts w:ascii="Times New Roman" w:hAnsi="Times New Roman" w:cs="Times New Roman"/>
          <w:b w:val="0"/>
          <w:bCs w:val="0"/>
          <w:smallCaps/>
          <w:kern w:val="0"/>
          <w:sz w:val="20"/>
          <w:szCs w:val="20"/>
          <w:lang w:val="en-US" w:eastAsia="en-US"/>
        </w:rPr>
        <w:t>Conclusions</w:t>
      </w:r>
    </w:p>
    <w:p w14:paraId="4A3A7A36" w14:textId="77777777" w:rsidR="00426C98" w:rsidRDefault="00000000">
      <w:pPr>
        <w:pStyle w:val="BodyText"/>
        <w:tabs>
          <w:tab w:val="left" w:pos="288"/>
        </w:tabs>
        <w:spacing w:before="0" w:after="120" w:line="228" w:lineRule="auto"/>
        <w:ind w:firstLine="288"/>
        <w:jc w:val="both"/>
        <w:rPr>
          <w:spacing w:val="-1"/>
          <w:sz w:val="20"/>
          <w:szCs w:val="20"/>
        </w:rPr>
      </w:pPr>
      <w:r>
        <w:rPr>
          <w:spacing w:val="-1"/>
          <w:sz w:val="20"/>
          <w:szCs w:val="20"/>
        </w:rPr>
        <w:t>This study has presented a comprehensive framework for blockchain-enabled trust models in next-generation information networks (NGINs). Through the design and evaluation of a multi-layered Trust-by-Design architecture, the research demonstrates how blockchain can transition from a purely transactional technology to a foundational substrate for verifiable trust, compliance, and governance in distributed ecosystems.</w:t>
      </w:r>
      <w:r>
        <w:rPr>
          <w:spacing w:val="-1"/>
          <w:sz w:val="20"/>
          <w:szCs w:val="20"/>
          <w:lang w:val="en-US"/>
        </w:rPr>
        <w:t xml:space="preserve"> </w:t>
      </w:r>
      <w:r>
        <w:rPr>
          <w:spacing w:val="-1"/>
          <w:sz w:val="20"/>
          <w:szCs w:val="20"/>
        </w:rPr>
        <w:t>Experimental results across smart city, healthcare, and energy workloads confirmed that blockchain-enabled trust models significantly improve auditability and compliance verification, achieving audit completeness above 95% with less than 18% additional latency overhead. These outcomes suggest that blockchain can meet the stringent requirements of latency-sensitive and compliance-driven NGIN applications.</w:t>
      </w:r>
    </w:p>
    <w:p w14:paraId="406F4C73" w14:textId="77777777" w:rsidR="00426C98" w:rsidRDefault="00000000">
      <w:pPr>
        <w:pStyle w:val="BodyText"/>
        <w:tabs>
          <w:tab w:val="left" w:pos="288"/>
        </w:tabs>
        <w:spacing w:before="0" w:after="120" w:line="228" w:lineRule="auto"/>
        <w:ind w:firstLine="288"/>
        <w:jc w:val="both"/>
        <w:rPr>
          <w:spacing w:val="-1"/>
          <w:sz w:val="20"/>
          <w:szCs w:val="20"/>
        </w:rPr>
      </w:pPr>
      <w:r>
        <w:rPr>
          <w:spacing w:val="-1"/>
          <w:sz w:val="20"/>
          <w:szCs w:val="20"/>
        </w:rPr>
        <w:t>Several key lessons emerge from the evaluation. First, blockchain introduces unavoidable performance costs, but these can be mitigated through edge anchoring, batching, and optimized consensus mechanisms. Second, automated compliance shifts auditing from retrospective, human-intensive processes to continuous, machine-verifiable checks. Third,</w:t>
      </w:r>
      <w:r>
        <w:rPr>
          <w:sz w:val="20"/>
          <w:szCs w:val="20"/>
          <w:shd w:val="clear" w:color="auto" w:fill="FFFFFF"/>
        </w:rPr>
        <w:t xml:space="preserve"> workload-specific sensitivities necessitate adaptive deployment strategies; no single configuration can satisfy the diverse requirements of healthcare, mobility, and energy </w:t>
      </w:r>
      <w:r>
        <w:rPr>
          <w:spacing w:val="-1"/>
          <w:sz w:val="20"/>
          <w:szCs w:val="20"/>
        </w:rPr>
        <w:t>systems simultaneously. Finally, sustainability remains a critical dimension, and energy-efficient consensus designs are vital to align with global climate goals.</w:t>
      </w:r>
    </w:p>
    <w:p w14:paraId="08D4A1A9" w14:textId="77777777" w:rsidR="00426C98" w:rsidRDefault="00000000">
      <w:pPr>
        <w:pStyle w:val="BodyText"/>
        <w:tabs>
          <w:tab w:val="left" w:pos="288"/>
        </w:tabs>
        <w:spacing w:before="0" w:after="120" w:line="228" w:lineRule="auto"/>
        <w:ind w:firstLine="288"/>
        <w:jc w:val="both"/>
        <w:rPr>
          <w:spacing w:val="-1"/>
          <w:sz w:val="20"/>
          <w:szCs w:val="20"/>
        </w:rPr>
      </w:pPr>
      <w:r>
        <w:rPr>
          <w:spacing w:val="-1"/>
          <w:sz w:val="20"/>
          <w:szCs w:val="20"/>
        </w:rPr>
        <w:t xml:space="preserve">While the study contributes a validated architecture and empirical evidence, limitations exist. Experiments were conducted on synthetic workloads and emulated WAN conditions, which may not fully capture real-world complexities. The adversary model excluded powerful nation-state actors and advanced side-channel threats against trusted execution environments. Moreover, the integration of advanced privacy technologies such as </w:t>
      </w:r>
      <w:proofErr w:type="spellStart"/>
      <w:r>
        <w:rPr>
          <w:spacing w:val="-1"/>
          <w:sz w:val="20"/>
          <w:szCs w:val="20"/>
        </w:rPr>
        <w:t>zk</w:t>
      </w:r>
      <w:proofErr w:type="spellEnd"/>
      <w:r>
        <w:rPr>
          <w:spacing w:val="-1"/>
          <w:sz w:val="20"/>
          <w:szCs w:val="20"/>
        </w:rPr>
        <w:t>-SNARKs remains constrained by circuit complexity and developer tooling. These limitations provide context for interpreting the results and guide areas for future investigation.</w:t>
      </w:r>
    </w:p>
    <w:p w14:paraId="604A879D" w14:textId="77777777" w:rsidR="00426C98" w:rsidRDefault="00000000">
      <w:pPr>
        <w:pStyle w:val="BodyText"/>
        <w:tabs>
          <w:tab w:val="left" w:pos="288"/>
        </w:tabs>
        <w:spacing w:before="0" w:after="120" w:line="228" w:lineRule="auto"/>
        <w:ind w:firstLine="288"/>
        <w:jc w:val="both"/>
        <w:rPr>
          <w:sz w:val="20"/>
          <w:szCs w:val="20"/>
          <w:shd w:val="clear" w:color="auto" w:fill="FFFFFF"/>
        </w:rPr>
      </w:pPr>
      <w:r>
        <w:rPr>
          <w:spacing w:val="-1"/>
          <w:sz w:val="20"/>
          <w:szCs w:val="20"/>
        </w:rPr>
        <w:t>Building on these findings, several avenues for future work are identified</w:t>
      </w:r>
      <w:r>
        <w:rPr>
          <w:spacing w:val="-1"/>
          <w:sz w:val="20"/>
          <w:szCs w:val="20"/>
          <w:lang w:val="en-US"/>
        </w:rPr>
        <w:t>. P</w:t>
      </w:r>
      <w:proofErr w:type="spellStart"/>
      <w:r>
        <w:rPr>
          <w:spacing w:val="-1"/>
          <w:sz w:val="20"/>
          <w:szCs w:val="20"/>
        </w:rPr>
        <w:t>ost</w:t>
      </w:r>
      <w:proofErr w:type="spellEnd"/>
      <w:r>
        <w:rPr>
          <w:spacing w:val="-1"/>
          <w:sz w:val="20"/>
          <w:szCs w:val="20"/>
        </w:rPr>
        <w:t>-quantum consensus and cryptography: Investigating lightweight, quantum-resistant BFT p</w:t>
      </w:r>
      <w:r>
        <w:rPr>
          <w:sz w:val="20"/>
          <w:szCs w:val="20"/>
          <w:shd w:val="clear" w:color="auto" w:fill="FFFFFF"/>
        </w:rPr>
        <w:t>rotocols to safeguard NGINs against future adversaries.</w:t>
      </w:r>
      <w:r>
        <w:rPr>
          <w:sz w:val="20"/>
          <w:szCs w:val="20"/>
          <w:shd w:val="clear" w:color="auto" w:fill="FFFFFF"/>
          <w:lang w:val="en-US"/>
        </w:rPr>
        <w:t xml:space="preserve"> </w:t>
      </w:r>
      <w:r>
        <w:rPr>
          <w:sz w:val="20"/>
          <w:szCs w:val="20"/>
          <w:shd w:val="clear" w:color="auto" w:fill="FFFFFF"/>
        </w:rPr>
        <w:t xml:space="preserve">Verified rollup circuits for data-space policies: Developing </w:t>
      </w:r>
      <w:proofErr w:type="spellStart"/>
      <w:r>
        <w:rPr>
          <w:sz w:val="20"/>
          <w:szCs w:val="20"/>
          <w:shd w:val="clear" w:color="auto" w:fill="FFFFFF"/>
        </w:rPr>
        <w:t>zk</w:t>
      </w:r>
      <w:proofErr w:type="spellEnd"/>
      <w:r>
        <w:rPr>
          <w:sz w:val="20"/>
          <w:szCs w:val="20"/>
          <w:shd w:val="clear" w:color="auto" w:fill="FFFFFF"/>
        </w:rPr>
        <w:t>-based rollup frameworks that encode legal and compliance rules as verifiable circuits.</w:t>
      </w:r>
    </w:p>
    <w:p w14:paraId="26418D38" w14:textId="77777777" w:rsidR="00426C98" w:rsidRDefault="00000000">
      <w:pPr>
        <w:pStyle w:val="BodyText"/>
        <w:tabs>
          <w:tab w:val="left" w:pos="288"/>
        </w:tabs>
        <w:spacing w:before="0" w:after="120" w:line="228" w:lineRule="auto"/>
        <w:ind w:firstLine="288"/>
        <w:jc w:val="both"/>
        <w:rPr>
          <w:spacing w:val="-1"/>
          <w:sz w:val="20"/>
          <w:szCs w:val="20"/>
        </w:rPr>
      </w:pPr>
      <w:r>
        <w:rPr>
          <w:sz w:val="20"/>
          <w:szCs w:val="20"/>
          <w:shd w:val="clear" w:color="auto" w:fill="FFFFFF"/>
        </w:rPr>
        <w:t>Cross-jurisdictional governance frameworks: Designing interoperable policy grammars that reconcile regulatory differences across borders.</w:t>
      </w:r>
      <w:r>
        <w:rPr>
          <w:sz w:val="20"/>
          <w:szCs w:val="20"/>
          <w:shd w:val="clear" w:color="auto" w:fill="FFFFFF"/>
          <w:lang w:val="en-US"/>
        </w:rPr>
        <w:t xml:space="preserve"> </w:t>
      </w:r>
      <w:r>
        <w:rPr>
          <w:sz w:val="20"/>
          <w:szCs w:val="20"/>
          <w:shd w:val="clear" w:color="auto" w:fill="FFFFFF"/>
        </w:rPr>
        <w:t>Hardware acceleration for PETs: Leveraging GPUs, FPGAs, and trusted accelerators to reduce the computational burden of privacy-p</w:t>
      </w:r>
      <w:r>
        <w:rPr>
          <w:spacing w:val="-1"/>
          <w:sz w:val="20"/>
          <w:szCs w:val="20"/>
        </w:rPr>
        <w:t>reserving proofs.</w:t>
      </w:r>
      <w:r>
        <w:rPr>
          <w:spacing w:val="-1"/>
          <w:sz w:val="20"/>
          <w:szCs w:val="20"/>
          <w:lang w:val="en-US"/>
        </w:rPr>
        <w:t xml:space="preserve"> </w:t>
      </w:r>
      <w:r>
        <w:rPr>
          <w:spacing w:val="-1"/>
          <w:sz w:val="20"/>
          <w:szCs w:val="20"/>
        </w:rPr>
        <w:t>Field deployments and longitudinal studies: Conducting pilots in healthcare and energy sectors to validate performance and compliance in real-world settings.</w:t>
      </w:r>
    </w:p>
    <w:p w14:paraId="3BD3687F" w14:textId="77777777" w:rsidR="00426C98" w:rsidRDefault="00000000">
      <w:pPr>
        <w:pStyle w:val="BodyText"/>
        <w:tabs>
          <w:tab w:val="left" w:pos="288"/>
        </w:tabs>
        <w:spacing w:before="0" w:after="120" w:line="228" w:lineRule="auto"/>
        <w:ind w:firstLine="288"/>
        <w:jc w:val="both"/>
      </w:pPr>
      <w:r>
        <w:rPr>
          <w:spacing w:val="-1"/>
          <w:sz w:val="20"/>
          <w:szCs w:val="20"/>
        </w:rPr>
        <w:t>The findings underscore that blockchain, when integrated with privacy technologies and compliance automation, can serve as a cornerstone for trustworthy and sovereign information networks. By embedding governance into the</w:t>
      </w:r>
      <w:r>
        <w:rPr>
          <w:sz w:val="20"/>
          <w:szCs w:val="20"/>
          <w:shd w:val="clear" w:color="auto" w:fill="FFFFFF"/>
        </w:rPr>
        <w:t xml:space="preserve"> technical stack, such systems not only improve security and transparency but also enhance public trust in digital infrastructures. The ongoing evolution of NGINs toward hyper-connected, data-intensive environments makes blockchain-enabled trust models a critical research and development priority. With sustained innovation and cross-sector collaboration, these architectures have the potential to redefine the foundations of digital trust for decades to come.</w:t>
      </w:r>
    </w:p>
    <w:p w14:paraId="385CB118" w14:textId="77777777" w:rsidR="00426C98" w:rsidRDefault="00000000">
      <w:pPr>
        <w:pStyle w:val="IETHeading1"/>
        <w:numPr>
          <w:ilvl w:val="0"/>
          <w:numId w:val="0"/>
        </w:numPr>
        <w:jc w:val="center"/>
        <w:rPr>
          <w:rFonts w:ascii="Times New Roman" w:hAnsi="Times New Roman" w:cs="Times New Roman"/>
          <w:b w:val="0"/>
          <w:bCs w:val="0"/>
          <w:smallCaps/>
          <w:sz w:val="20"/>
          <w:szCs w:val="20"/>
          <w:lang w:val="en-US" w:eastAsia="en-US"/>
        </w:rPr>
      </w:pPr>
      <w:r>
        <w:rPr>
          <w:rFonts w:ascii="Times New Roman" w:hAnsi="Times New Roman" w:cs="Times New Roman"/>
          <w:b w:val="0"/>
          <w:bCs w:val="0"/>
          <w:smallCaps/>
          <w:sz w:val="20"/>
          <w:szCs w:val="20"/>
          <w:lang w:val="en-US" w:eastAsia="en-US"/>
        </w:rPr>
        <w:t>References</w:t>
      </w:r>
    </w:p>
    <w:p w14:paraId="5702C135" w14:textId="77777777" w:rsidR="00426C98" w:rsidRDefault="00000000">
      <w:pPr>
        <w:pStyle w:val="references"/>
        <w:ind w:left="354" w:hanging="354"/>
        <w:rPr>
          <w:lang w:val="en-GB" w:eastAsia="en-GB"/>
        </w:rPr>
      </w:pPr>
      <w:r>
        <w:rPr>
          <w:lang w:val="en-GB" w:eastAsia="en-GB"/>
        </w:rPr>
        <w:t>S. Nakamoto, “Bitcoin: A Peer-to-Peer Electronic Cash System,” 2008.</w:t>
      </w:r>
    </w:p>
    <w:p w14:paraId="1FBADFC7" w14:textId="77777777" w:rsidR="00426C98" w:rsidRDefault="00000000">
      <w:pPr>
        <w:pStyle w:val="references"/>
        <w:ind w:left="354" w:hanging="354"/>
        <w:rPr>
          <w:lang w:val="en-GB" w:eastAsia="en-GB"/>
        </w:rPr>
      </w:pPr>
      <w:r>
        <w:rPr>
          <w:lang w:val="en-GB" w:eastAsia="en-GB"/>
        </w:rPr>
        <w:t>M. Castro and B. Liskov, “Practical Byzantine Fault Tolerance,” in OSDI, 1999.</w:t>
      </w:r>
    </w:p>
    <w:p w14:paraId="5F27A0BF" w14:textId="77777777" w:rsidR="00426C98" w:rsidRDefault="00000000">
      <w:pPr>
        <w:pStyle w:val="references"/>
        <w:ind w:left="354" w:hanging="354"/>
        <w:rPr>
          <w:lang w:val="en-GB" w:eastAsia="en-GB"/>
        </w:rPr>
      </w:pPr>
      <w:r>
        <w:rPr>
          <w:lang w:val="en-GB" w:eastAsia="en-GB"/>
        </w:rPr>
        <w:t xml:space="preserve">M. </w:t>
      </w:r>
      <w:proofErr w:type="spellStart"/>
      <w:r>
        <w:rPr>
          <w:lang w:val="en-GB" w:eastAsia="en-GB"/>
        </w:rPr>
        <w:t>Androulaki</w:t>
      </w:r>
      <w:proofErr w:type="spellEnd"/>
      <w:r>
        <w:rPr>
          <w:lang w:val="en-GB" w:eastAsia="en-GB"/>
        </w:rPr>
        <w:t xml:space="preserve"> et al., “Hyperledger Fabric: A Distributed Operating System for Permissioned Blockchains,” in </w:t>
      </w:r>
      <w:proofErr w:type="spellStart"/>
      <w:r>
        <w:rPr>
          <w:lang w:val="en-GB" w:eastAsia="en-GB"/>
        </w:rPr>
        <w:t>EuroSys</w:t>
      </w:r>
      <w:proofErr w:type="spellEnd"/>
      <w:r>
        <w:rPr>
          <w:lang w:val="en-GB" w:eastAsia="en-GB"/>
        </w:rPr>
        <w:t>, 2018.</w:t>
      </w:r>
    </w:p>
    <w:p w14:paraId="0E4E95DB" w14:textId="77777777" w:rsidR="00426C98" w:rsidRDefault="00000000">
      <w:pPr>
        <w:pStyle w:val="references"/>
        <w:ind w:left="354" w:hanging="354"/>
        <w:rPr>
          <w:lang w:val="en-GB" w:eastAsia="en-GB"/>
        </w:rPr>
      </w:pPr>
      <w:r>
        <w:rPr>
          <w:lang w:val="en-GB" w:eastAsia="en-GB"/>
        </w:rPr>
        <w:t>J. Sousa, A. Bessani, and M. Vukolić, “A Byzantine Fault-Tolerant Ordering Service for the Hyperledger Fabric Blockchain Platform,” in DSN, 2018.</w:t>
      </w:r>
    </w:p>
    <w:p w14:paraId="77D7BD8F" w14:textId="77777777" w:rsidR="00426C98" w:rsidRDefault="00000000">
      <w:pPr>
        <w:pStyle w:val="references"/>
        <w:ind w:left="354" w:hanging="354"/>
        <w:rPr>
          <w:lang w:val="en-GB" w:eastAsia="en-GB"/>
        </w:rPr>
      </w:pPr>
      <w:r>
        <w:rPr>
          <w:lang w:val="en-GB" w:eastAsia="en-GB"/>
        </w:rPr>
        <w:t xml:space="preserve">M. Yin, D. </w:t>
      </w:r>
      <w:proofErr w:type="spellStart"/>
      <w:r>
        <w:rPr>
          <w:lang w:val="en-GB" w:eastAsia="en-GB"/>
        </w:rPr>
        <w:t>Malkhi</w:t>
      </w:r>
      <w:proofErr w:type="spellEnd"/>
      <w:r>
        <w:rPr>
          <w:lang w:val="en-GB" w:eastAsia="en-GB"/>
        </w:rPr>
        <w:t>, M. K. Reiter, G. Golan-Gueta, and I. Abraham, “</w:t>
      </w:r>
      <w:proofErr w:type="spellStart"/>
      <w:r>
        <w:rPr>
          <w:lang w:val="en-GB" w:eastAsia="en-GB"/>
        </w:rPr>
        <w:t>HotStuff</w:t>
      </w:r>
      <w:proofErr w:type="spellEnd"/>
      <w:r>
        <w:rPr>
          <w:lang w:val="en-GB" w:eastAsia="en-GB"/>
        </w:rPr>
        <w:t>: BFT Consensus with Linearity and Responsiveness,” in PODC, 2019.</w:t>
      </w:r>
    </w:p>
    <w:p w14:paraId="2A901056" w14:textId="77777777" w:rsidR="00426C98" w:rsidRDefault="00000000">
      <w:pPr>
        <w:pStyle w:val="references"/>
        <w:ind w:left="354" w:hanging="354"/>
        <w:rPr>
          <w:lang w:val="en-GB" w:eastAsia="en-GB"/>
        </w:rPr>
      </w:pPr>
      <w:r>
        <w:rPr>
          <w:lang w:val="en-GB" w:eastAsia="en-GB"/>
        </w:rPr>
        <w:t>Quorum Team, “Quorum IBFT 2.0: Istanbul Byzantine Fault Tolerance,” Tech. Rep., 2018–2022.</w:t>
      </w:r>
    </w:p>
    <w:p w14:paraId="73CF709B" w14:textId="77777777" w:rsidR="00426C98" w:rsidRDefault="00000000">
      <w:pPr>
        <w:pStyle w:val="references"/>
        <w:ind w:left="354" w:hanging="354"/>
        <w:rPr>
          <w:lang w:val="en-GB" w:eastAsia="en-GB"/>
        </w:rPr>
      </w:pPr>
      <w:r>
        <w:rPr>
          <w:lang w:val="en-GB" w:eastAsia="en-GB"/>
        </w:rPr>
        <w:t>C. Allen, “The Path to Self-Sovereign Identity,” 2016.</w:t>
      </w:r>
    </w:p>
    <w:p w14:paraId="781FE171" w14:textId="77777777" w:rsidR="00426C98" w:rsidRDefault="00000000">
      <w:pPr>
        <w:pStyle w:val="references"/>
        <w:ind w:left="354" w:hanging="354"/>
        <w:rPr>
          <w:lang w:val="en-GB" w:eastAsia="en-GB"/>
        </w:rPr>
      </w:pPr>
      <w:r>
        <w:rPr>
          <w:lang w:val="en-GB" w:eastAsia="en-GB"/>
        </w:rPr>
        <w:t>E. Ben-Sasson et al., “</w:t>
      </w:r>
      <w:proofErr w:type="spellStart"/>
      <w:r>
        <w:rPr>
          <w:lang w:val="en-GB" w:eastAsia="en-GB"/>
        </w:rPr>
        <w:t>Zerocash</w:t>
      </w:r>
      <w:proofErr w:type="spellEnd"/>
      <w:r>
        <w:rPr>
          <w:lang w:val="en-GB" w:eastAsia="en-GB"/>
        </w:rPr>
        <w:t>: Decentralized Anonymous Payments from Bitcoin,” in IEEE S&amp;P, 2014.</w:t>
      </w:r>
    </w:p>
    <w:p w14:paraId="7A18A50F" w14:textId="77777777" w:rsidR="00426C98" w:rsidRDefault="00000000">
      <w:pPr>
        <w:pStyle w:val="references"/>
        <w:ind w:left="354" w:hanging="354"/>
        <w:rPr>
          <w:lang w:val="en-GB" w:eastAsia="en-GB"/>
        </w:rPr>
      </w:pPr>
      <w:r>
        <w:rPr>
          <w:lang w:val="en-GB" w:eastAsia="en-GB"/>
        </w:rPr>
        <w:t xml:space="preserve">J. Camenisch and A. </w:t>
      </w:r>
      <w:proofErr w:type="spellStart"/>
      <w:r>
        <w:rPr>
          <w:lang w:val="en-GB" w:eastAsia="en-GB"/>
        </w:rPr>
        <w:t>Lysyanskaya</w:t>
      </w:r>
      <w:proofErr w:type="spellEnd"/>
      <w:r>
        <w:rPr>
          <w:lang w:val="en-GB" w:eastAsia="en-GB"/>
        </w:rPr>
        <w:t>, “An Efficient System for Non-transferable Anonymous Credentials,” in CRYPTO, 2001.</w:t>
      </w:r>
    </w:p>
    <w:p w14:paraId="1E8117C7" w14:textId="77777777" w:rsidR="00426C98" w:rsidRDefault="00000000">
      <w:pPr>
        <w:pStyle w:val="references"/>
        <w:ind w:left="354" w:hanging="354"/>
        <w:rPr>
          <w:lang w:val="en-GB" w:eastAsia="en-GB"/>
        </w:rPr>
      </w:pPr>
      <w:r>
        <w:rPr>
          <w:lang w:val="en-GB" w:eastAsia="en-GB"/>
        </w:rPr>
        <w:t xml:space="preserve">L. Moreau and P. </w:t>
      </w:r>
      <w:proofErr w:type="spellStart"/>
      <w:r>
        <w:rPr>
          <w:lang w:val="en-GB" w:eastAsia="en-GB"/>
        </w:rPr>
        <w:t>Missier</w:t>
      </w:r>
      <w:proofErr w:type="spellEnd"/>
      <w:r>
        <w:rPr>
          <w:lang w:val="en-GB" w:eastAsia="en-GB"/>
        </w:rPr>
        <w:t xml:space="preserve"> (eds.), “PROV-DM: The PROV Data Model,” W3C Rec., 2013.</w:t>
      </w:r>
    </w:p>
    <w:p w14:paraId="5979F35A" w14:textId="77777777" w:rsidR="00426C98" w:rsidRDefault="00000000">
      <w:pPr>
        <w:pStyle w:val="references"/>
        <w:ind w:left="354" w:hanging="354"/>
        <w:rPr>
          <w:lang w:val="en-GB" w:eastAsia="en-GB"/>
        </w:rPr>
      </w:pPr>
      <w:r>
        <w:rPr>
          <w:lang w:val="en-GB" w:eastAsia="en-GB"/>
        </w:rPr>
        <w:t>International Data Spaces Association (IDSA), “IDS Reference Architecture Model,” v3.0, 2020.</w:t>
      </w:r>
    </w:p>
    <w:p w14:paraId="3679972B" w14:textId="77777777" w:rsidR="00426C98" w:rsidRDefault="00000000">
      <w:pPr>
        <w:pStyle w:val="references"/>
        <w:ind w:left="354" w:hanging="354"/>
        <w:rPr>
          <w:lang w:val="en-GB" w:eastAsia="en-GB"/>
        </w:rPr>
      </w:pPr>
      <w:r>
        <w:rPr>
          <w:lang w:val="en-GB" w:eastAsia="en-GB"/>
        </w:rPr>
        <w:t xml:space="preserve">Eclipse Foundation, “Eclipse </w:t>
      </w:r>
      <w:proofErr w:type="spellStart"/>
      <w:r>
        <w:rPr>
          <w:lang w:val="en-GB" w:eastAsia="en-GB"/>
        </w:rPr>
        <w:t>DataSpace</w:t>
      </w:r>
      <w:proofErr w:type="spellEnd"/>
      <w:r>
        <w:rPr>
          <w:lang w:val="en-GB" w:eastAsia="en-GB"/>
        </w:rPr>
        <w:t xml:space="preserve"> Components (EDC) Whitepaper,” 2022.</w:t>
      </w:r>
    </w:p>
    <w:p w14:paraId="71A90D6E" w14:textId="77777777" w:rsidR="00426C98" w:rsidRDefault="00000000">
      <w:pPr>
        <w:pStyle w:val="references"/>
        <w:ind w:left="354" w:hanging="354"/>
        <w:rPr>
          <w:lang w:val="en-GB" w:eastAsia="en-GB"/>
        </w:rPr>
      </w:pPr>
      <w:r>
        <w:rPr>
          <w:lang w:val="en-GB" w:eastAsia="en-GB"/>
        </w:rPr>
        <w:t>C. Dwork, “Differential Privacy,” in ICALP, 2006.</w:t>
      </w:r>
    </w:p>
    <w:p w14:paraId="7D7539BB" w14:textId="77777777" w:rsidR="00426C98" w:rsidRDefault="00000000">
      <w:pPr>
        <w:pStyle w:val="references"/>
        <w:ind w:left="354" w:hanging="354"/>
        <w:rPr>
          <w:lang w:val="en-GB" w:eastAsia="en-GB"/>
        </w:rPr>
      </w:pPr>
      <w:r>
        <w:rPr>
          <w:lang w:val="en-GB" w:eastAsia="en-GB"/>
        </w:rPr>
        <w:t xml:space="preserve">D. </w:t>
      </w:r>
      <w:proofErr w:type="spellStart"/>
      <w:r>
        <w:rPr>
          <w:lang w:val="en-GB" w:eastAsia="en-GB"/>
        </w:rPr>
        <w:t>Boneh</w:t>
      </w:r>
      <w:proofErr w:type="spellEnd"/>
      <w:r>
        <w:rPr>
          <w:lang w:val="en-GB" w:eastAsia="en-GB"/>
        </w:rPr>
        <w:t xml:space="preserve">, B. Lynn, and H. </w:t>
      </w:r>
      <w:proofErr w:type="spellStart"/>
      <w:r>
        <w:rPr>
          <w:lang w:val="en-GB" w:eastAsia="en-GB"/>
        </w:rPr>
        <w:t>Shacham</w:t>
      </w:r>
      <w:proofErr w:type="spellEnd"/>
      <w:r>
        <w:rPr>
          <w:lang w:val="en-GB" w:eastAsia="en-GB"/>
        </w:rPr>
        <w:t>, “Short Signatures from the Weil Pairing,” in ASIACRYPT, 2001.</w:t>
      </w:r>
    </w:p>
    <w:p w14:paraId="1534B60B" w14:textId="77777777" w:rsidR="00426C98" w:rsidRDefault="00000000">
      <w:pPr>
        <w:pStyle w:val="references"/>
        <w:ind w:left="354" w:hanging="354"/>
        <w:rPr>
          <w:lang w:val="en-GB" w:eastAsia="en-GB"/>
        </w:rPr>
      </w:pPr>
      <w:r>
        <w:rPr>
          <w:lang w:val="en-GB" w:eastAsia="en-GB"/>
        </w:rPr>
        <w:t>A. Hevner, S. March, J. Park, and S. Ram, “Design Science in Information Systems Research,” MIS Quarterly, 2004.</w:t>
      </w:r>
    </w:p>
    <w:p w14:paraId="22388842" w14:textId="77777777" w:rsidR="00426C98" w:rsidRDefault="00000000">
      <w:pPr>
        <w:pStyle w:val="references"/>
        <w:ind w:left="354" w:hanging="354"/>
        <w:rPr>
          <w:lang w:val="en-GB" w:eastAsia="en-GB"/>
        </w:rPr>
      </w:pPr>
      <w:r>
        <w:rPr>
          <w:lang w:val="en-GB" w:eastAsia="en-GB"/>
        </w:rPr>
        <w:t>G. Wood, “Ethereum: A Secure Decentralized Generalised Transaction Ledger,” 2014.</w:t>
      </w:r>
    </w:p>
    <w:p w14:paraId="6DD011A8" w14:textId="77777777" w:rsidR="00426C98" w:rsidRDefault="00000000">
      <w:pPr>
        <w:pStyle w:val="references"/>
        <w:ind w:left="354" w:hanging="354"/>
        <w:rPr>
          <w:lang w:val="en-GB" w:eastAsia="en-GB"/>
        </w:rPr>
      </w:pPr>
      <w:r>
        <w:rPr>
          <w:lang w:val="en-GB" w:eastAsia="en-GB"/>
        </w:rPr>
        <w:t>J. Kwon and E. Buchman, “</w:t>
      </w:r>
      <w:proofErr w:type="spellStart"/>
      <w:r>
        <w:rPr>
          <w:lang w:val="en-GB" w:eastAsia="en-GB"/>
        </w:rPr>
        <w:t>Tendermint</w:t>
      </w:r>
      <w:proofErr w:type="spellEnd"/>
      <w:r>
        <w:rPr>
          <w:lang w:val="en-GB" w:eastAsia="en-GB"/>
        </w:rPr>
        <w:t>: Consensus without Mining,” 2016–2018.</w:t>
      </w:r>
    </w:p>
    <w:p w14:paraId="62425762" w14:textId="77777777" w:rsidR="00426C98" w:rsidRPr="006F576F" w:rsidRDefault="00000000">
      <w:pPr>
        <w:pStyle w:val="references"/>
        <w:ind w:left="354" w:hanging="354"/>
        <w:rPr>
          <w:lang w:eastAsia="zh-CN"/>
        </w:rPr>
      </w:pPr>
      <w:r>
        <w:rPr>
          <w:lang w:val="en-GB" w:eastAsia="en-GB"/>
        </w:rPr>
        <w:t>NIST, “Privacy Framework: A Tool for Improving Privacy through Enterprise Risk Management,” 2020.</w:t>
      </w:r>
    </w:p>
    <w:p w14:paraId="261F4676" w14:textId="77777777" w:rsidR="00426C98" w:rsidRDefault="00000000">
      <w:pPr>
        <w:pStyle w:val="references"/>
        <w:ind w:left="354" w:hanging="354"/>
        <w:rPr>
          <w:lang w:val="en-GB" w:eastAsia="en-GB"/>
        </w:rPr>
      </w:pPr>
      <w:r>
        <w:rPr>
          <w:lang w:val="en-GB" w:eastAsia="en-GB"/>
        </w:rPr>
        <w:t>D. Ongaro and J. Ousterhout, “In Search of an Understandable Consensus Algorithm (Raft),” in USENIX ATC, 2014.</w:t>
      </w:r>
    </w:p>
    <w:p w14:paraId="18DEDA03" w14:textId="77777777" w:rsidR="00426C98" w:rsidRDefault="00426C98">
      <w:pPr>
        <w:pStyle w:val="IETReferences"/>
        <w:jc w:val="both"/>
        <w:rPr>
          <w:sz w:val="20"/>
          <w:szCs w:val="20"/>
        </w:rPr>
      </w:pPr>
    </w:p>
    <w:p w14:paraId="385E60F5" w14:textId="77777777" w:rsidR="00426C98" w:rsidRDefault="00426C98">
      <w:pPr>
        <w:pStyle w:val="IETReferences"/>
        <w:rPr>
          <w:sz w:val="20"/>
          <w:szCs w:val="20"/>
        </w:rPr>
      </w:pPr>
    </w:p>
    <w:p w14:paraId="17BA75DE" w14:textId="77777777" w:rsidR="00426C98" w:rsidRDefault="00426C98">
      <w:pPr>
        <w:pStyle w:val="IETParagraph"/>
        <w:spacing w:line="240" w:lineRule="auto"/>
        <w:rPr>
          <w:sz w:val="20"/>
          <w:szCs w:val="20"/>
        </w:rPr>
      </w:pPr>
    </w:p>
    <w:sectPr w:rsidR="00426C98">
      <w:footerReference w:type="default" r:id="rId17"/>
      <w:type w:val="continuous"/>
      <w:pgSz w:w="11906" w:h="16838"/>
      <w:pgMar w:top="1134" w:right="851" w:bottom="1134" w:left="851" w:header="709" w:footer="709" w:gutter="0"/>
      <w:cols w:num="2"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C9765" w14:textId="77777777" w:rsidR="00535B59" w:rsidRDefault="00535B59">
      <w:r>
        <w:separator/>
      </w:r>
    </w:p>
  </w:endnote>
  <w:endnote w:type="continuationSeparator" w:id="0">
    <w:p w14:paraId="358A29C1" w14:textId="77777777" w:rsidR="00535B59" w:rsidRDefault="00535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4265719"/>
    </w:sdtPr>
    <w:sdtContent>
      <w:p w14:paraId="7E1CFED4" w14:textId="77777777" w:rsidR="00426C98" w:rsidRDefault="00000000">
        <w:pPr>
          <w:pStyle w:val="Footer"/>
          <w:jc w:val="right"/>
        </w:pPr>
        <w:r>
          <w:fldChar w:fldCharType="begin"/>
        </w:r>
        <w:r>
          <w:instrText xml:space="preserve"> PAGE   \* MERGEFORMAT </w:instrText>
        </w:r>
        <w:r>
          <w:fldChar w:fldCharType="separate"/>
        </w:r>
        <w:r>
          <w:t>1</w:t>
        </w:r>
        <w:r>
          <w:fldChar w:fldCharType="end"/>
        </w:r>
      </w:p>
    </w:sdtContent>
  </w:sdt>
  <w:p w14:paraId="3969012E" w14:textId="77777777" w:rsidR="00426C98" w:rsidRDefault="00426C98">
    <w:pPr>
      <w:pStyle w:val="Footer"/>
      <w:tabs>
        <w:tab w:val="clear" w:pos="4513"/>
        <w:tab w:val="left"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6111577"/>
    </w:sdtPr>
    <w:sdtEndPr>
      <w:rPr>
        <w:sz w:val="20"/>
      </w:rPr>
    </w:sdtEndPr>
    <w:sdtContent>
      <w:p w14:paraId="3486265E" w14:textId="77777777" w:rsidR="00426C98" w:rsidRDefault="00000000">
        <w:pPr>
          <w:pStyle w:val="Footer"/>
          <w:jc w:val="right"/>
          <w:rPr>
            <w:sz w:val="20"/>
          </w:rPr>
        </w:pP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p>
    </w:sdtContent>
  </w:sdt>
  <w:p w14:paraId="197AA26B" w14:textId="77777777" w:rsidR="00426C98" w:rsidRDefault="00426C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D8BF9" w14:textId="77777777" w:rsidR="00535B59" w:rsidRDefault="00535B59">
      <w:r>
        <w:separator/>
      </w:r>
    </w:p>
  </w:footnote>
  <w:footnote w:type="continuationSeparator" w:id="0">
    <w:p w14:paraId="0B9FFA9E" w14:textId="77777777" w:rsidR="00535B59" w:rsidRDefault="00535B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855861"/>
    <w:multiLevelType w:val="multilevel"/>
    <w:tmpl w:val="2B855861"/>
    <w:lvl w:ilvl="0">
      <w:start w:val="1"/>
      <w:numFmt w:val="decimal"/>
      <w:lvlText w:val="[%1]"/>
      <w:lvlJc w:val="right"/>
      <w:pPr>
        <w:tabs>
          <w:tab w:val="left" w:pos="432"/>
        </w:tabs>
        <w:ind w:left="432" w:hanging="144"/>
      </w:pPr>
      <w:rPr>
        <w:rFonts w:hint="default"/>
      </w:rPr>
    </w:lvl>
    <w:lvl w:ilvl="1">
      <w:start w:val="1"/>
      <w:numFmt w:val="decimal"/>
      <w:lvlText w:val="%1.%2)"/>
      <w:lvlJc w:val="left"/>
      <w:pPr>
        <w:tabs>
          <w:tab w:val="left" w:pos="936"/>
        </w:tabs>
        <w:ind w:left="936" w:hanging="720"/>
      </w:pPr>
      <w:rPr>
        <w:rFonts w:hint="default"/>
      </w:rPr>
    </w:lvl>
    <w:lvl w:ilvl="2">
      <w:start w:val="1"/>
      <w:numFmt w:val="decimal"/>
      <w:pStyle w:val="Heading3"/>
      <w:lvlText w:val="%3)"/>
      <w:lvlJc w:val="left"/>
      <w:pPr>
        <w:tabs>
          <w:tab w:val="left" w:pos="360"/>
        </w:tabs>
        <w:ind w:left="360" w:hanging="360"/>
      </w:pPr>
      <w:rPr>
        <w:rFonts w:hint="default"/>
      </w:rPr>
    </w:lvl>
    <w:lvl w:ilvl="3">
      <w:start w:val="1"/>
      <w:numFmt w:val="decimal"/>
      <w:lvlText w:val="%1.%2)%3.%4."/>
      <w:lvlJc w:val="left"/>
      <w:pPr>
        <w:tabs>
          <w:tab w:val="left" w:pos="1296"/>
        </w:tabs>
        <w:ind w:left="1296" w:hanging="1080"/>
      </w:pPr>
      <w:rPr>
        <w:rFonts w:hint="default"/>
      </w:rPr>
    </w:lvl>
    <w:lvl w:ilvl="4">
      <w:start w:val="1"/>
      <w:numFmt w:val="decimal"/>
      <w:lvlText w:val="%1.%2)%3.%4.%5."/>
      <w:lvlJc w:val="left"/>
      <w:pPr>
        <w:tabs>
          <w:tab w:val="left" w:pos="1296"/>
        </w:tabs>
        <w:ind w:left="1296" w:hanging="1080"/>
      </w:pPr>
      <w:rPr>
        <w:rFonts w:hint="default"/>
      </w:rPr>
    </w:lvl>
    <w:lvl w:ilvl="5">
      <w:start w:val="1"/>
      <w:numFmt w:val="decimal"/>
      <w:lvlText w:val="%1.%2)%3.%4.%5.%6."/>
      <w:lvlJc w:val="left"/>
      <w:pPr>
        <w:tabs>
          <w:tab w:val="left" w:pos="1656"/>
        </w:tabs>
        <w:ind w:left="1656" w:hanging="1440"/>
      </w:pPr>
      <w:rPr>
        <w:rFonts w:hint="default"/>
      </w:rPr>
    </w:lvl>
    <w:lvl w:ilvl="6">
      <w:start w:val="1"/>
      <w:numFmt w:val="decimal"/>
      <w:lvlText w:val="%1.%2)%3.%4.%5.%6.%7."/>
      <w:lvlJc w:val="left"/>
      <w:pPr>
        <w:tabs>
          <w:tab w:val="left" w:pos="1656"/>
        </w:tabs>
        <w:ind w:left="1656" w:hanging="1440"/>
      </w:pPr>
      <w:rPr>
        <w:rFonts w:hint="default"/>
      </w:rPr>
    </w:lvl>
    <w:lvl w:ilvl="7">
      <w:start w:val="1"/>
      <w:numFmt w:val="decimal"/>
      <w:lvlText w:val="%1.%2)%3.%4.%5.%6.%7.%8."/>
      <w:lvlJc w:val="left"/>
      <w:pPr>
        <w:tabs>
          <w:tab w:val="left" w:pos="2016"/>
        </w:tabs>
        <w:ind w:left="2016" w:hanging="1800"/>
      </w:pPr>
      <w:rPr>
        <w:rFonts w:hint="default"/>
      </w:rPr>
    </w:lvl>
    <w:lvl w:ilvl="8">
      <w:start w:val="1"/>
      <w:numFmt w:val="decimal"/>
      <w:lvlText w:val="%1.%2)%3.%4.%5.%6.%7.%8.%9."/>
      <w:lvlJc w:val="left"/>
      <w:pPr>
        <w:tabs>
          <w:tab w:val="left" w:pos="2016"/>
        </w:tabs>
        <w:ind w:left="2016" w:hanging="1800"/>
      </w:pPr>
      <w:rPr>
        <w:rFonts w:hint="default"/>
      </w:rPr>
    </w:lvl>
  </w:abstractNum>
  <w:abstractNum w:abstractNumId="1" w15:restartNumberingAfterBreak="0">
    <w:nsid w:val="3010060B"/>
    <w:multiLevelType w:val="singleLevel"/>
    <w:tmpl w:val="3010060B"/>
    <w:lvl w:ilvl="0">
      <w:start w:val="1"/>
      <w:numFmt w:val="upperRoman"/>
      <w:lvlText w:val="%1."/>
      <w:lvlJc w:val="left"/>
      <w:pPr>
        <w:tabs>
          <w:tab w:val="left" w:pos="425"/>
        </w:tabs>
        <w:ind w:left="425" w:hanging="425"/>
      </w:pPr>
      <w:rPr>
        <w:rFonts w:hint="default"/>
      </w:rPr>
    </w:lvl>
  </w:abstractNum>
  <w:abstractNum w:abstractNumId="2" w15:restartNumberingAfterBreak="0">
    <w:nsid w:val="3A772DC1"/>
    <w:multiLevelType w:val="multilevel"/>
    <w:tmpl w:val="3A772DC1"/>
    <w:lvl w:ilvl="0">
      <w:start w:val="1"/>
      <w:numFmt w:val="decimal"/>
      <w:pStyle w:val="IETHeading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color w:val="auto"/>
        <w:sz w:val="16"/>
        <w:szCs w:val="16"/>
      </w:rPr>
    </w:lvl>
  </w:abstractNum>
  <w:abstractNum w:abstractNumId="4"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5" w15:restartNumberingAfterBreak="0">
    <w:nsid w:val="6CD32DA8"/>
    <w:multiLevelType w:val="singleLevel"/>
    <w:tmpl w:val="6CD32DA8"/>
    <w:lvl w:ilvl="0">
      <w:start w:val="1"/>
      <w:numFmt w:val="upperRoman"/>
      <w:pStyle w:val="tablehead"/>
      <w:lvlText w:val="TABLE %1. "/>
      <w:lvlJc w:val="left"/>
      <w:pPr>
        <w:tabs>
          <w:tab w:val="left" w:pos="1080"/>
        </w:tabs>
        <w:ind w:left="1000"/>
      </w:pPr>
      <w:rPr>
        <w:rFonts w:ascii="Times New Roman" w:hAnsi="Times New Roman" w:cs="Times New Roman" w:hint="default"/>
        <w:b w:val="0"/>
        <w:bCs w:val="0"/>
        <w:i w:val="0"/>
        <w:iCs w:val="0"/>
        <w:sz w:val="16"/>
        <w:szCs w:val="16"/>
      </w:rPr>
    </w:lvl>
  </w:abstractNum>
  <w:abstractNum w:abstractNumId="6" w15:restartNumberingAfterBreak="0">
    <w:nsid w:val="7FD73CCA"/>
    <w:multiLevelType w:val="multilevel"/>
    <w:tmpl w:val="7FD73CCA"/>
    <w:lvl w:ilvl="0">
      <w:start w:val="1"/>
      <w:numFmt w:val="decimal"/>
      <w:pStyle w:val="IETHeading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86100330">
    <w:abstractNumId w:val="0"/>
  </w:num>
  <w:num w:numId="2" w16cid:durableId="1727333892">
    <w:abstractNumId w:val="6"/>
  </w:num>
  <w:num w:numId="3" w16cid:durableId="1683168919">
    <w:abstractNumId w:val="2"/>
  </w:num>
  <w:num w:numId="4" w16cid:durableId="1374308265">
    <w:abstractNumId w:val="3"/>
  </w:num>
  <w:num w:numId="5" w16cid:durableId="400760858">
    <w:abstractNumId w:val="4"/>
  </w:num>
  <w:num w:numId="6" w16cid:durableId="90636889">
    <w:abstractNumId w:val="5"/>
  </w:num>
  <w:num w:numId="7" w16cid:durableId="1352237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noPunctuationKerning/>
  <w:characterSpacingControl w:val="doNotCompress"/>
  <w:footnotePr>
    <w:footnote w:id="-1"/>
    <w:footnote w:id="0"/>
  </w:footnotePr>
  <w:endnotePr>
    <w:endnote w:id="-1"/>
    <w:endnote w:id="0"/>
  </w:endnotePr>
  <w:compat>
    <w:doNotExpandShiftReturn/>
    <w:applyBreakingRules/>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83662E6"/>
    <w:rsid w:val="000002E1"/>
    <w:rsid w:val="00014653"/>
    <w:rsid w:val="00017719"/>
    <w:rsid w:val="00027F1D"/>
    <w:rsid w:val="00031298"/>
    <w:rsid w:val="0003296C"/>
    <w:rsid w:val="000362F3"/>
    <w:rsid w:val="00054421"/>
    <w:rsid w:val="0006228E"/>
    <w:rsid w:val="00062E46"/>
    <w:rsid w:val="00074AC8"/>
    <w:rsid w:val="00081408"/>
    <w:rsid w:val="00081EBE"/>
    <w:rsid w:val="00082EC9"/>
    <w:rsid w:val="00086EDC"/>
    <w:rsid w:val="000B36A3"/>
    <w:rsid w:val="000B58D0"/>
    <w:rsid w:val="000C013C"/>
    <w:rsid w:val="000C7AEE"/>
    <w:rsid w:val="000E3F84"/>
    <w:rsid w:val="000F534A"/>
    <w:rsid w:val="001016A1"/>
    <w:rsid w:val="001056DF"/>
    <w:rsid w:val="00114025"/>
    <w:rsid w:val="001160D2"/>
    <w:rsid w:val="001348A5"/>
    <w:rsid w:val="00141C83"/>
    <w:rsid w:val="00151B8E"/>
    <w:rsid w:val="001928FB"/>
    <w:rsid w:val="00192A6D"/>
    <w:rsid w:val="00192BC7"/>
    <w:rsid w:val="001A50EA"/>
    <w:rsid w:val="001B4E92"/>
    <w:rsid w:val="001B765C"/>
    <w:rsid w:val="001D7603"/>
    <w:rsid w:val="001E01C0"/>
    <w:rsid w:val="001F16CD"/>
    <w:rsid w:val="001F47D2"/>
    <w:rsid w:val="0022285A"/>
    <w:rsid w:val="00224C61"/>
    <w:rsid w:val="00237698"/>
    <w:rsid w:val="0027227B"/>
    <w:rsid w:val="00273AC7"/>
    <w:rsid w:val="00273BF8"/>
    <w:rsid w:val="00273D2C"/>
    <w:rsid w:val="00285ECD"/>
    <w:rsid w:val="00290E1B"/>
    <w:rsid w:val="00291B17"/>
    <w:rsid w:val="002A6742"/>
    <w:rsid w:val="002B317F"/>
    <w:rsid w:val="002C1A7F"/>
    <w:rsid w:val="002C4239"/>
    <w:rsid w:val="002C559D"/>
    <w:rsid w:val="002D2D42"/>
    <w:rsid w:val="002F72D0"/>
    <w:rsid w:val="003003AB"/>
    <w:rsid w:val="00311C49"/>
    <w:rsid w:val="0031381D"/>
    <w:rsid w:val="00316F83"/>
    <w:rsid w:val="0032119E"/>
    <w:rsid w:val="00321304"/>
    <w:rsid w:val="00331F84"/>
    <w:rsid w:val="00345BD9"/>
    <w:rsid w:val="003950A4"/>
    <w:rsid w:val="003E3577"/>
    <w:rsid w:val="003F17AF"/>
    <w:rsid w:val="003F3A61"/>
    <w:rsid w:val="00410A5D"/>
    <w:rsid w:val="004122B4"/>
    <w:rsid w:val="00412880"/>
    <w:rsid w:val="00414909"/>
    <w:rsid w:val="00424E45"/>
    <w:rsid w:val="00425A6A"/>
    <w:rsid w:val="004267D5"/>
    <w:rsid w:val="00426C98"/>
    <w:rsid w:val="00426FBB"/>
    <w:rsid w:val="00441DB7"/>
    <w:rsid w:val="00465AEB"/>
    <w:rsid w:val="0047429A"/>
    <w:rsid w:val="0048374C"/>
    <w:rsid w:val="0048771D"/>
    <w:rsid w:val="004A096A"/>
    <w:rsid w:val="004A6605"/>
    <w:rsid w:val="004A7494"/>
    <w:rsid w:val="004B090D"/>
    <w:rsid w:val="004B1FC0"/>
    <w:rsid w:val="004C2868"/>
    <w:rsid w:val="004C45FA"/>
    <w:rsid w:val="004D21B3"/>
    <w:rsid w:val="004E1BD8"/>
    <w:rsid w:val="004E452A"/>
    <w:rsid w:val="004E4A9D"/>
    <w:rsid w:val="004E78E3"/>
    <w:rsid w:val="005004BF"/>
    <w:rsid w:val="00502E89"/>
    <w:rsid w:val="00510E95"/>
    <w:rsid w:val="00513751"/>
    <w:rsid w:val="0052014B"/>
    <w:rsid w:val="00527D56"/>
    <w:rsid w:val="0053221F"/>
    <w:rsid w:val="00535B59"/>
    <w:rsid w:val="00536FAE"/>
    <w:rsid w:val="00542C85"/>
    <w:rsid w:val="00553510"/>
    <w:rsid w:val="00554186"/>
    <w:rsid w:val="00562E55"/>
    <w:rsid w:val="00564560"/>
    <w:rsid w:val="00566558"/>
    <w:rsid w:val="00585769"/>
    <w:rsid w:val="00591130"/>
    <w:rsid w:val="00591627"/>
    <w:rsid w:val="005A3F28"/>
    <w:rsid w:val="005A40BE"/>
    <w:rsid w:val="005B13E2"/>
    <w:rsid w:val="005B47D7"/>
    <w:rsid w:val="005B7A07"/>
    <w:rsid w:val="005C40BE"/>
    <w:rsid w:val="005C5526"/>
    <w:rsid w:val="005C62C6"/>
    <w:rsid w:val="005C79D2"/>
    <w:rsid w:val="005D3BCF"/>
    <w:rsid w:val="005D7B9E"/>
    <w:rsid w:val="005F0834"/>
    <w:rsid w:val="005F283D"/>
    <w:rsid w:val="005F6DC3"/>
    <w:rsid w:val="00601A8E"/>
    <w:rsid w:val="006067BA"/>
    <w:rsid w:val="0062033E"/>
    <w:rsid w:val="00624482"/>
    <w:rsid w:val="0064799C"/>
    <w:rsid w:val="0065120C"/>
    <w:rsid w:val="00654156"/>
    <w:rsid w:val="0066346B"/>
    <w:rsid w:val="00684475"/>
    <w:rsid w:val="006B47CA"/>
    <w:rsid w:val="006C7AAA"/>
    <w:rsid w:val="006D1C2A"/>
    <w:rsid w:val="006D264F"/>
    <w:rsid w:val="006D510A"/>
    <w:rsid w:val="006E2A8D"/>
    <w:rsid w:val="006E7574"/>
    <w:rsid w:val="006F4EFC"/>
    <w:rsid w:val="006F576F"/>
    <w:rsid w:val="00703430"/>
    <w:rsid w:val="007069BE"/>
    <w:rsid w:val="0071790D"/>
    <w:rsid w:val="00745C86"/>
    <w:rsid w:val="00761E7D"/>
    <w:rsid w:val="00764603"/>
    <w:rsid w:val="0076604D"/>
    <w:rsid w:val="007764C2"/>
    <w:rsid w:val="00790909"/>
    <w:rsid w:val="007B5A07"/>
    <w:rsid w:val="007C3557"/>
    <w:rsid w:val="007D3E71"/>
    <w:rsid w:val="007E22C3"/>
    <w:rsid w:val="007E5571"/>
    <w:rsid w:val="007E5D6A"/>
    <w:rsid w:val="007E645D"/>
    <w:rsid w:val="007F117A"/>
    <w:rsid w:val="007F4CB4"/>
    <w:rsid w:val="007F75CA"/>
    <w:rsid w:val="0080281D"/>
    <w:rsid w:val="00821E08"/>
    <w:rsid w:val="00834EFD"/>
    <w:rsid w:val="0084199D"/>
    <w:rsid w:val="00843C58"/>
    <w:rsid w:val="00844B24"/>
    <w:rsid w:val="0084515F"/>
    <w:rsid w:val="0085092D"/>
    <w:rsid w:val="00860A77"/>
    <w:rsid w:val="008651AC"/>
    <w:rsid w:val="00877D4C"/>
    <w:rsid w:val="0089763B"/>
    <w:rsid w:val="008B023F"/>
    <w:rsid w:val="008B2B41"/>
    <w:rsid w:val="008B6AE3"/>
    <w:rsid w:val="008D1045"/>
    <w:rsid w:val="008E5996"/>
    <w:rsid w:val="00901AE1"/>
    <w:rsid w:val="00904ACB"/>
    <w:rsid w:val="009205B4"/>
    <w:rsid w:val="00933818"/>
    <w:rsid w:val="00955B59"/>
    <w:rsid w:val="00981F68"/>
    <w:rsid w:val="009871DD"/>
    <w:rsid w:val="00992262"/>
    <w:rsid w:val="009926BC"/>
    <w:rsid w:val="00996099"/>
    <w:rsid w:val="009A3D65"/>
    <w:rsid w:val="009A4319"/>
    <w:rsid w:val="009A6C3F"/>
    <w:rsid w:val="009B30BA"/>
    <w:rsid w:val="009B73F2"/>
    <w:rsid w:val="009C12BD"/>
    <w:rsid w:val="009C50FE"/>
    <w:rsid w:val="009C6D40"/>
    <w:rsid w:val="009C7DC3"/>
    <w:rsid w:val="009D0593"/>
    <w:rsid w:val="009D71A4"/>
    <w:rsid w:val="009F290E"/>
    <w:rsid w:val="00A03E75"/>
    <w:rsid w:val="00A11EAF"/>
    <w:rsid w:val="00A425B2"/>
    <w:rsid w:val="00A45FCE"/>
    <w:rsid w:val="00A65884"/>
    <w:rsid w:val="00A75671"/>
    <w:rsid w:val="00A773CC"/>
    <w:rsid w:val="00A9318B"/>
    <w:rsid w:val="00A94AC1"/>
    <w:rsid w:val="00AA1878"/>
    <w:rsid w:val="00AA219B"/>
    <w:rsid w:val="00AB18B7"/>
    <w:rsid w:val="00AC0288"/>
    <w:rsid w:val="00AC34A1"/>
    <w:rsid w:val="00AD335D"/>
    <w:rsid w:val="00AF792B"/>
    <w:rsid w:val="00B244F5"/>
    <w:rsid w:val="00B26C26"/>
    <w:rsid w:val="00B271C0"/>
    <w:rsid w:val="00B35B2C"/>
    <w:rsid w:val="00B44CA7"/>
    <w:rsid w:val="00B55D5E"/>
    <w:rsid w:val="00B64255"/>
    <w:rsid w:val="00B9261D"/>
    <w:rsid w:val="00B94516"/>
    <w:rsid w:val="00BB2855"/>
    <w:rsid w:val="00BC2EDB"/>
    <w:rsid w:val="00BC5F6F"/>
    <w:rsid w:val="00BD19C1"/>
    <w:rsid w:val="00BD25B8"/>
    <w:rsid w:val="00BE18D9"/>
    <w:rsid w:val="00BE373D"/>
    <w:rsid w:val="00BE3E06"/>
    <w:rsid w:val="00C012E1"/>
    <w:rsid w:val="00C06BB4"/>
    <w:rsid w:val="00C10B80"/>
    <w:rsid w:val="00C10D20"/>
    <w:rsid w:val="00C12E0C"/>
    <w:rsid w:val="00C21916"/>
    <w:rsid w:val="00C457CA"/>
    <w:rsid w:val="00C46E39"/>
    <w:rsid w:val="00C5237C"/>
    <w:rsid w:val="00C57FB7"/>
    <w:rsid w:val="00C658C8"/>
    <w:rsid w:val="00C65F3F"/>
    <w:rsid w:val="00C72414"/>
    <w:rsid w:val="00C8667B"/>
    <w:rsid w:val="00C9695F"/>
    <w:rsid w:val="00CA4CE3"/>
    <w:rsid w:val="00CC5673"/>
    <w:rsid w:val="00CD19A9"/>
    <w:rsid w:val="00CD4F3F"/>
    <w:rsid w:val="00CD6FCB"/>
    <w:rsid w:val="00D01E44"/>
    <w:rsid w:val="00D1124B"/>
    <w:rsid w:val="00D2572E"/>
    <w:rsid w:val="00D311F8"/>
    <w:rsid w:val="00D36B52"/>
    <w:rsid w:val="00D377C8"/>
    <w:rsid w:val="00D41274"/>
    <w:rsid w:val="00D43326"/>
    <w:rsid w:val="00D43BF3"/>
    <w:rsid w:val="00D50F39"/>
    <w:rsid w:val="00D767BB"/>
    <w:rsid w:val="00D77B20"/>
    <w:rsid w:val="00D939B0"/>
    <w:rsid w:val="00D961F2"/>
    <w:rsid w:val="00DB16E0"/>
    <w:rsid w:val="00DB25D3"/>
    <w:rsid w:val="00DB2DF9"/>
    <w:rsid w:val="00DB7E63"/>
    <w:rsid w:val="00DC2055"/>
    <w:rsid w:val="00DC2AE2"/>
    <w:rsid w:val="00DC54C8"/>
    <w:rsid w:val="00DD71E8"/>
    <w:rsid w:val="00DD7F83"/>
    <w:rsid w:val="00DE29E1"/>
    <w:rsid w:val="00DF7EA1"/>
    <w:rsid w:val="00E0641E"/>
    <w:rsid w:val="00E06664"/>
    <w:rsid w:val="00E304BC"/>
    <w:rsid w:val="00E32853"/>
    <w:rsid w:val="00E4017B"/>
    <w:rsid w:val="00E401F8"/>
    <w:rsid w:val="00E46425"/>
    <w:rsid w:val="00E47D0E"/>
    <w:rsid w:val="00E65018"/>
    <w:rsid w:val="00E7535B"/>
    <w:rsid w:val="00E80253"/>
    <w:rsid w:val="00E867C4"/>
    <w:rsid w:val="00E94339"/>
    <w:rsid w:val="00E97563"/>
    <w:rsid w:val="00EB0B63"/>
    <w:rsid w:val="00EC265C"/>
    <w:rsid w:val="00ED61CB"/>
    <w:rsid w:val="00EE1AC4"/>
    <w:rsid w:val="00F00781"/>
    <w:rsid w:val="00F04AB3"/>
    <w:rsid w:val="00F06A72"/>
    <w:rsid w:val="00F114B5"/>
    <w:rsid w:val="00F12E79"/>
    <w:rsid w:val="00F136F0"/>
    <w:rsid w:val="00F20BBB"/>
    <w:rsid w:val="00F43BD8"/>
    <w:rsid w:val="00F55AAA"/>
    <w:rsid w:val="00F562F3"/>
    <w:rsid w:val="00F74B89"/>
    <w:rsid w:val="00F75133"/>
    <w:rsid w:val="00FA3899"/>
    <w:rsid w:val="00FA4909"/>
    <w:rsid w:val="00FA6751"/>
    <w:rsid w:val="00FB1048"/>
    <w:rsid w:val="00FB62C4"/>
    <w:rsid w:val="00FB7701"/>
    <w:rsid w:val="00FD1AC5"/>
    <w:rsid w:val="00FD5CF0"/>
    <w:rsid w:val="01642A33"/>
    <w:rsid w:val="01821808"/>
    <w:rsid w:val="024A1251"/>
    <w:rsid w:val="02955E4D"/>
    <w:rsid w:val="03227C2F"/>
    <w:rsid w:val="0475505E"/>
    <w:rsid w:val="057D24E9"/>
    <w:rsid w:val="06906652"/>
    <w:rsid w:val="06945058"/>
    <w:rsid w:val="06C40E4E"/>
    <w:rsid w:val="07347160"/>
    <w:rsid w:val="07E92107"/>
    <w:rsid w:val="0891161B"/>
    <w:rsid w:val="08B91C9E"/>
    <w:rsid w:val="09410915"/>
    <w:rsid w:val="09DF606D"/>
    <w:rsid w:val="0BCC0AE8"/>
    <w:rsid w:val="0D925A03"/>
    <w:rsid w:val="0F8B4D0B"/>
    <w:rsid w:val="0FDE55E1"/>
    <w:rsid w:val="10C3028B"/>
    <w:rsid w:val="110A1D05"/>
    <w:rsid w:val="11C720B8"/>
    <w:rsid w:val="130E55B9"/>
    <w:rsid w:val="1584665B"/>
    <w:rsid w:val="160733B1"/>
    <w:rsid w:val="174235B1"/>
    <w:rsid w:val="17CA1504"/>
    <w:rsid w:val="17D50129"/>
    <w:rsid w:val="186B2A20"/>
    <w:rsid w:val="1AD77FD8"/>
    <w:rsid w:val="1B4951D2"/>
    <w:rsid w:val="1BC74BB7"/>
    <w:rsid w:val="1BE10BC8"/>
    <w:rsid w:val="1C5D79AB"/>
    <w:rsid w:val="1DD26892"/>
    <w:rsid w:val="1DDD1906"/>
    <w:rsid w:val="1FAD438C"/>
    <w:rsid w:val="20761064"/>
    <w:rsid w:val="20914750"/>
    <w:rsid w:val="23EA4CCC"/>
    <w:rsid w:val="24610C3D"/>
    <w:rsid w:val="24D52CB1"/>
    <w:rsid w:val="25DC4832"/>
    <w:rsid w:val="26656337"/>
    <w:rsid w:val="26F86ADE"/>
    <w:rsid w:val="279E5EEE"/>
    <w:rsid w:val="282028E2"/>
    <w:rsid w:val="283662E6"/>
    <w:rsid w:val="28D3308A"/>
    <w:rsid w:val="29CD3AB3"/>
    <w:rsid w:val="2AAA2063"/>
    <w:rsid w:val="2AC865A4"/>
    <w:rsid w:val="2BC536CD"/>
    <w:rsid w:val="2BF428B1"/>
    <w:rsid w:val="2D35709C"/>
    <w:rsid w:val="2D8A4A41"/>
    <w:rsid w:val="2ED645E4"/>
    <w:rsid w:val="30D301D8"/>
    <w:rsid w:val="30F33745"/>
    <w:rsid w:val="32FA3A2F"/>
    <w:rsid w:val="36620F7B"/>
    <w:rsid w:val="36B90072"/>
    <w:rsid w:val="36BC678D"/>
    <w:rsid w:val="36CD6060"/>
    <w:rsid w:val="39B44138"/>
    <w:rsid w:val="3A5E23D3"/>
    <w:rsid w:val="3B3F07E9"/>
    <w:rsid w:val="3BF82174"/>
    <w:rsid w:val="3C39061F"/>
    <w:rsid w:val="3D1A0C92"/>
    <w:rsid w:val="3DC131CC"/>
    <w:rsid w:val="412627EF"/>
    <w:rsid w:val="414D468C"/>
    <w:rsid w:val="420A75BC"/>
    <w:rsid w:val="42577BE4"/>
    <w:rsid w:val="436630C1"/>
    <w:rsid w:val="43857BF6"/>
    <w:rsid w:val="440F6F36"/>
    <w:rsid w:val="44AE6C74"/>
    <w:rsid w:val="460366E3"/>
    <w:rsid w:val="46C17202"/>
    <w:rsid w:val="47550039"/>
    <w:rsid w:val="495751DE"/>
    <w:rsid w:val="4A1A079F"/>
    <w:rsid w:val="4BDB6202"/>
    <w:rsid w:val="4E6B0AC1"/>
    <w:rsid w:val="4FC3106B"/>
    <w:rsid w:val="4FF91911"/>
    <w:rsid w:val="503249AF"/>
    <w:rsid w:val="5156378A"/>
    <w:rsid w:val="51E14F57"/>
    <w:rsid w:val="53D4255B"/>
    <w:rsid w:val="550D051D"/>
    <w:rsid w:val="55674DA8"/>
    <w:rsid w:val="566205C2"/>
    <w:rsid w:val="56B85E24"/>
    <w:rsid w:val="56C80AC9"/>
    <w:rsid w:val="56F118F6"/>
    <w:rsid w:val="57397928"/>
    <w:rsid w:val="573D07B6"/>
    <w:rsid w:val="57AC65E2"/>
    <w:rsid w:val="59BE5645"/>
    <w:rsid w:val="5D473C2E"/>
    <w:rsid w:val="5E33599F"/>
    <w:rsid w:val="5F8A6E4E"/>
    <w:rsid w:val="5FB63195"/>
    <w:rsid w:val="60B73D35"/>
    <w:rsid w:val="618E0C7F"/>
    <w:rsid w:val="61A91D7E"/>
    <w:rsid w:val="63072608"/>
    <w:rsid w:val="635C1D12"/>
    <w:rsid w:val="63694BAB"/>
    <w:rsid w:val="64505BE2"/>
    <w:rsid w:val="667B1C81"/>
    <w:rsid w:val="689C09B0"/>
    <w:rsid w:val="6B443E92"/>
    <w:rsid w:val="6B7E071C"/>
    <w:rsid w:val="6C443C30"/>
    <w:rsid w:val="6CC50D24"/>
    <w:rsid w:val="6CFB1682"/>
    <w:rsid w:val="6D023176"/>
    <w:rsid w:val="6D116DFA"/>
    <w:rsid w:val="6D89150C"/>
    <w:rsid w:val="6F052F40"/>
    <w:rsid w:val="707F7D3C"/>
    <w:rsid w:val="70D1794F"/>
    <w:rsid w:val="70FA71EB"/>
    <w:rsid w:val="72181CB5"/>
    <w:rsid w:val="73365490"/>
    <w:rsid w:val="7431442E"/>
    <w:rsid w:val="74535C68"/>
    <w:rsid w:val="770E5CEC"/>
    <w:rsid w:val="79D51B66"/>
    <w:rsid w:val="7A440128"/>
    <w:rsid w:val="7B2D2461"/>
    <w:rsid w:val="7BC30C42"/>
    <w:rsid w:val="7D6D6DD4"/>
    <w:rsid w:val="7F04697D"/>
    <w:rsid w:val="7F5D7C8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E49D75"/>
  <w15:docId w15:val="{C0F1F2FD-C6B6-409A-B540-F024F2CD1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qFormat="1"/>
    <w:lsdException w:name="header" w:qFormat="1"/>
    <w:lsdException w:name="footer" w:uiPriority="99" w:qFormat="1"/>
    <w:lsdException w:name="caption" w:qFormat="1"/>
    <w:lsdException w:name="annotation reference" w:qFormat="1"/>
    <w:lsdException w:name="Title" w:qFormat="1"/>
    <w:lsdException w:name="Default Paragraph Font" w:semiHidden="1" w:uiPriority="1" w:unhideWhenUsed="1" w:qFormat="1"/>
    <w:lsdException w:name="Body Text" w:qFormat="1"/>
    <w:lsdException w:name="Subtitle" w:qFormat="1"/>
    <w:lsdException w:name="Hyperlink" w:qFormat="1"/>
    <w:lsdException w:name="Followed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qFormat="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locked="1" w:qFormat="1"/>
    <w:lsdException w:name="Table Theme" w:locked="1"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AU"/>
    </w:rPr>
  </w:style>
  <w:style w:type="paragraph" w:styleId="Heading1">
    <w:name w:val="heading 1"/>
    <w:basedOn w:val="Normal"/>
    <w:next w:val="Normal"/>
    <w:link w:val="Heading1Char"/>
    <w:uiPriority w:val="9"/>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5">
    <w:name w:val="heading 5"/>
    <w:basedOn w:val="Normal"/>
    <w:next w:val="Normal"/>
    <w:qFormat/>
    <w:pPr>
      <w:spacing w:before="160" w:after="80"/>
      <w:outlineLvl w:val="4"/>
    </w:pPr>
    <w:rPr>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
    <w:name w:val="Body Text"/>
    <w:basedOn w:val="Normal"/>
    <w:qFormat/>
    <w:pPr>
      <w:spacing w:before="180" w:after="180"/>
    </w:pPr>
  </w:style>
  <w:style w:type="paragraph" w:styleId="Caption">
    <w:name w:val="caption"/>
    <w:basedOn w:val="Normal"/>
    <w:next w:val="Normal"/>
    <w:qFormat/>
    <w:pPr>
      <w:spacing w:before="120" w:after="120"/>
    </w:pPr>
    <w:rPr>
      <w:b/>
      <w:bCs/>
      <w:sz w:val="20"/>
      <w:szCs w:val="20"/>
    </w:r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link w:val="FooterChar"/>
    <w:uiPriority w:val="99"/>
    <w:qFormat/>
    <w:pPr>
      <w:tabs>
        <w:tab w:val="center" w:pos="4513"/>
        <w:tab w:val="right" w:pos="9026"/>
      </w:tabs>
    </w:pPr>
  </w:style>
  <w:style w:type="paragraph" w:styleId="Header">
    <w:name w:val="header"/>
    <w:basedOn w:val="Normal"/>
    <w:link w:val="HeaderChar"/>
    <w:qFormat/>
    <w:pPr>
      <w:tabs>
        <w:tab w:val="center" w:pos="4513"/>
        <w:tab w:val="right" w:pos="9026"/>
      </w:tabs>
    </w:pPr>
  </w:style>
  <w:style w:type="character" w:styleId="Hyperlink">
    <w:name w:val="Hyperlink"/>
    <w:basedOn w:val="DefaultParagraphFont"/>
    <w:qFormat/>
    <w:rPr>
      <w:color w:val="0000FF" w:themeColor="hyperlink"/>
      <w:u w:val="single"/>
    </w:rPr>
  </w:style>
  <w:style w:type="paragraph" w:styleId="NormalWeb">
    <w:name w:val="Normal (Web)"/>
    <w:basedOn w:val="Normal"/>
    <w:uiPriority w:val="99"/>
    <w:unhideWhenUsed/>
    <w:qFormat/>
    <w:pPr>
      <w:spacing w:before="100" w:beforeAutospacing="1" w:after="100" w:afterAutospacing="1"/>
    </w:pPr>
    <w:rPr>
      <w:rFonts w:eastAsia="Times New Roman"/>
      <w:lang w:val="en-GB" w:eastAsia="en-GB"/>
    </w:rPr>
  </w:style>
  <w:style w:type="paragraph" w:styleId="NormalIndent">
    <w:name w:val="Normal Indent"/>
    <w:basedOn w:val="Normal"/>
    <w:qFormat/>
    <w:pPr>
      <w:ind w:left="720"/>
    </w:pPr>
  </w:style>
  <w:style w:type="character" w:styleId="Strong">
    <w:name w:val="Strong"/>
    <w:basedOn w:val="DefaultParagraphFont"/>
    <w:uiPriority w:val="22"/>
    <w:qFormat/>
    <w:rPr>
      <w:b/>
      <w:bCs/>
    </w:rPr>
  </w:style>
  <w:style w:type="table" w:styleId="TableGrid">
    <w:name w:val="Table Grid"/>
    <w:basedOn w:val="TableNormal"/>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qFormat/>
    <w:locke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paragraph" w:customStyle="1" w:styleId="IETPaperTitle">
    <w:name w:val="IET Paper Title"/>
    <w:basedOn w:val="Header"/>
    <w:qFormat/>
    <w:locked/>
    <w:rPr>
      <w:b/>
      <w:sz w:val="28"/>
    </w:rPr>
  </w:style>
  <w:style w:type="paragraph" w:customStyle="1" w:styleId="IETHeading1">
    <w:name w:val="IET Heading 1"/>
    <w:basedOn w:val="Heading2"/>
    <w:qFormat/>
    <w:locked/>
    <w:pPr>
      <w:numPr>
        <w:numId w:val="2"/>
      </w:numPr>
    </w:pPr>
    <w:rPr>
      <w:i w:val="0"/>
      <w:sz w:val="24"/>
    </w:rPr>
  </w:style>
  <w:style w:type="character" w:customStyle="1" w:styleId="HeaderChar">
    <w:name w:val="Header Char"/>
    <w:basedOn w:val="DefaultParagraphFont"/>
    <w:link w:val="Header"/>
    <w:qFormat/>
    <w:rPr>
      <w:sz w:val="24"/>
      <w:szCs w:val="24"/>
      <w:lang w:val="en-AU" w:eastAsia="zh-CN"/>
    </w:rPr>
  </w:style>
  <w:style w:type="paragraph" w:customStyle="1" w:styleId="IETAbstractText">
    <w:name w:val="IET Abstract Text"/>
    <w:basedOn w:val="Normal"/>
    <w:next w:val="Normal"/>
    <w:qFormat/>
    <w:locked/>
    <w:rPr>
      <w:b/>
    </w:rPr>
  </w:style>
  <w:style w:type="paragraph" w:customStyle="1" w:styleId="Style1">
    <w:name w:val="Style1"/>
    <w:basedOn w:val="Normal"/>
    <w:next w:val="NormalIndent"/>
    <w:qFormat/>
    <w:locked/>
  </w:style>
  <w:style w:type="paragraph" w:customStyle="1" w:styleId="IETParagraph">
    <w:name w:val="IET Paragraph"/>
    <w:basedOn w:val="Normal"/>
    <w:qFormat/>
    <w:locked/>
    <w:pPr>
      <w:spacing w:line="360" w:lineRule="auto"/>
      <w:ind w:firstLine="567"/>
      <w:jc w:val="both"/>
    </w:pPr>
  </w:style>
  <w:style w:type="paragraph" w:customStyle="1" w:styleId="IETHeading2">
    <w:name w:val="IET Heading 2"/>
    <w:basedOn w:val="Normal"/>
    <w:qFormat/>
    <w:locked/>
    <w:pPr>
      <w:numPr>
        <w:numId w:val="3"/>
      </w:numPr>
      <w:ind w:left="1080"/>
    </w:pPr>
    <w:rPr>
      <w:rFonts w:ascii="Arial" w:hAnsi="Arial"/>
      <w:i/>
      <w:sz w:val="22"/>
    </w:rPr>
  </w:style>
  <w:style w:type="paragraph" w:customStyle="1" w:styleId="FigureCaption0">
    <w:name w:val="Figure Caption"/>
    <w:basedOn w:val="Normal"/>
    <w:qFormat/>
    <w:rPr>
      <w:b/>
      <w:i/>
    </w:rPr>
  </w:style>
  <w:style w:type="paragraph" w:customStyle="1" w:styleId="IETFigureCaption">
    <w:name w:val="IET Figure Caption"/>
    <w:basedOn w:val="FigureCaption0"/>
    <w:qFormat/>
    <w:locked/>
    <w:rPr>
      <w:b w:val="0"/>
      <w:iCs/>
      <w:sz w:val="20"/>
    </w:rPr>
  </w:style>
  <w:style w:type="paragraph" w:customStyle="1" w:styleId="TableHeading">
    <w:name w:val="Table Heading"/>
    <w:basedOn w:val="IETParagraph"/>
    <w:next w:val="Normal"/>
    <w:qFormat/>
    <w:locked/>
    <w:pPr>
      <w:spacing w:line="240" w:lineRule="auto"/>
      <w:ind w:firstLine="0"/>
    </w:pPr>
    <w:rPr>
      <w:sz w:val="20"/>
      <w:lang w:val="en-GB"/>
    </w:rPr>
  </w:style>
  <w:style w:type="character" w:customStyle="1" w:styleId="apple-converted-space">
    <w:name w:val="apple-converted-space"/>
    <w:basedOn w:val="DefaultParagraphFont"/>
    <w:qFormat/>
    <w:locked/>
  </w:style>
  <w:style w:type="paragraph" w:customStyle="1" w:styleId="IETReferences">
    <w:name w:val="IET References"/>
    <w:basedOn w:val="IETParagraph"/>
    <w:qFormat/>
    <w:locked/>
    <w:pPr>
      <w:spacing w:line="240" w:lineRule="auto"/>
      <w:ind w:firstLine="0"/>
      <w:jc w:val="left"/>
    </w:pPr>
    <w:rPr>
      <w:sz w:val="22"/>
      <w:lang w:val="en-GB" w:eastAsia="en-GB"/>
    </w:rPr>
  </w:style>
  <w:style w:type="character" w:customStyle="1" w:styleId="BalloonTextChar">
    <w:name w:val="Balloon Text Char"/>
    <w:basedOn w:val="DefaultParagraphFont"/>
    <w:link w:val="BalloonText"/>
    <w:qFormat/>
    <w:rPr>
      <w:rFonts w:ascii="Tahoma" w:hAnsi="Tahoma" w:cs="Tahoma"/>
      <w:sz w:val="16"/>
      <w:szCs w:val="16"/>
      <w:lang w:val="en-AU" w:eastAsia="zh-CN"/>
    </w:rPr>
  </w:style>
  <w:style w:type="character" w:customStyle="1" w:styleId="Heading1Char">
    <w:name w:val="Heading 1 Char"/>
    <w:basedOn w:val="DefaultParagraphFont"/>
    <w:link w:val="Heading1"/>
    <w:uiPriority w:val="9"/>
    <w:qFormat/>
    <w:rPr>
      <w:rFonts w:ascii="Arial" w:hAnsi="Arial" w:cs="Arial"/>
      <w:b/>
      <w:bCs/>
      <w:kern w:val="32"/>
      <w:sz w:val="32"/>
      <w:szCs w:val="32"/>
      <w:lang w:val="en-AU" w:eastAsia="zh-CN"/>
    </w:rPr>
  </w:style>
  <w:style w:type="paragraph" w:customStyle="1" w:styleId="Bibliography1">
    <w:name w:val="Bibliography1"/>
    <w:basedOn w:val="Normal"/>
    <w:next w:val="Normal"/>
    <w:uiPriority w:val="37"/>
    <w:unhideWhenUsed/>
    <w:qFormat/>
  </w:style>
  <w:style w:type="character" w:customStyle="1" w:styleId="CommentTextChar">
    <w:name w:val="Comment Text Char"/>
    <w:basedOn w:val="DefaultParagraphFont"/>
    <w:link w:val="CommentText"/>
    <w:qFormat/>
    <w:rPr>
      <w:lang w:val="en-AU" w:eastAsia="zh-CN"/>
    </w:rPr>
  </w:style>
  <w:style w:type="character" w:customStyle="1" w:styleId="CommentSubjectChar">
    <w:name w:val="Comment Subject Char"/>
    <w:basedOn w:val="CommentTextChar"/>
    <w:link w:val="CommentSubject"/>
    <w:qFormat/>
    <w:rPr>
      <w:b/>
      <w:bCs/>
      <w:lang w:val="en-AU" w:eastAsia="zh-CN"/>
    </w:rPr>
  </w:style>
  <w:style w:type="character" w:customStyle="1" w:styleId="FooterChar">
    <w:name w:val="Footer Char"/>
    <w:basedOn w:val="DefaultParagraphFont"/>
    <w:link w:val="Footer"/>
    <w:uiPriority w:val="99"/>
    <w:qFormat/>
    <w:rPr>
      <w:sz w:val="24"/>
      <w:szCs w:val="24"/>
      <w:lang w:val="en-AU" w:eastAsia="zh-CN"/>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semiHidden/>
    <w:qFormat/>
    <w:rPr>
      <w:color w:val="808080"/>
    </w:rPr>
  </w:style>
  <w:style w:type="paragraph" w:customStyle="1" w:styleId="FirstParagraph">
    <w:name w:val="First Paragraph"/>
    <w:basedOn w:val="BodyText"/>
    <w:next w:val="BodyText"/>
    <w:qFormat/>
  </w:style>
  <w:style w:type="paragraph" w:customStyle="1" w:styleId="papertitle">
    <w:name w:val="paper title"/>
    <w:qFormat/>
    <w:pPr>
      <w:spacing w:after="120"/>
      <w:jc w:val="center"/>
    </w:pPr>
    <w:rPr>
      <w:rFonts w:eastAsia="MS Mincho"/>
      <w:sz w:val="48"/>
      <w:szCs w:val="48"/>
      <w:lang w:eastAsia="en-US"/>
    </w:rPr>
  </w:style>
  <w:style w:type="paragraph" w:customStyle="1" w:styleId="Author">
    <w:name w:val="Author"/>
    <w:qFormat/>
    <w:pPr>
      <w:spacing w:before="360" w:after="40"/>
      <w:jc w:val="center"/>
    </w:pPr>
    <w:rPr>
      <w:sz w:val="22"/>
      <w:szCs w:val="22"/>
      <w:lang w:eastAsia="en-US"/>
    </w:rPr>
  </w:style>
  <w:style w:type="paragraph" w:customStyle="1" w:styleId="Abstract">
    <w:name w:val="Abstract"/>
    <w:qFormat/>
    <w:pPr>
      <w:spacing w:after="200"/>
      <w:ind w:firstLine="272"/>
      <w:jc w:val="both"/>
    </w:pPr>
    <w:rPr>
      <w:b/>
      <w:bCs/>
      <w:sz w:val="18"/>
      <w:szCs w:val="18"/>
      <w:lang w:eastAsia="en-US"/>
    </w:rPr>
  </w:style>
  <w:style w:type="paragraph" w:customStyle="1" w:styleId="Keywords">
    <w:name w:val="Keywords"/>
    <w:basedOn w:val="Abstract"/>
    <w:qFormat/>
    <w:pPr>
      <w:spacing w:after="120"/>
      <w:ind w:firstLine="274"/>
    </w:pPr>
    <w:rPr>
      <w:i/>
    </w:rPr>
  </w:style>
  <w:style w:type="paragraph" w:customStyle="1" w:styleId="references">
    <w:name w:val="references"/>
    <w:qFormat/>
    <w:pPr>
      <w:numPr>
        <w:numId w:val="4"/>
      </w:numPr>
      <w:spacing w:after="50" w:line="180" w:lineRule="exact"/>
      <w:jc w:val="both"/>
    </w:pPr>
    <w:rPr>
      <w:rFonts w:eastAsia="MS Mincho"/>
      <w:sz w:val="16"/>
      <w:szCs w:val="16"/>
      <w:lang w:eastAsia="en-US"/>
    </w:rPr>
  </w:style>
  <w:style w:type="paragraph" w:customStyle="1" w:styleId="figurecaption">
    <w:name w:val="figure caption"/>
    <w:qFormat/>
    <w:pPr>
      <w:numPr>
        <w:numId w:val="5"/>
      </w:numPr>
      <w:spacing w:before="80" w:after="200"/>
      <w:ind w:left="0" w:firstLine="0"/>
      <w:jc w:val="both"/>
    </w:pPr>
    <w:rPr>
      <w:sz w:val="16"/>
      <w:szCs w:val="16"/>
      <w:lang w:eastAsia="en-US"/>
    </w:rPr>
  </w:style>
  <w:style w:type="paragraph" w:customStyle="1" w:styleId="tablehead">
    <w:name w:val="table head"/>
    <w:qFormat/>
    <w:pPr>
      <w:numPr>
        <w:numId w:val="6"/>
      </w:numPr>
      <w:spacing w:before="240" w:after="120" w:line="216" w:lineRule="auto"/>
      <w:jc w:val="center"/>
    </w:pPr>
    <w:rPr>
      <w:smallCaps/>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rresponding.author@second.com" TargetMode="Externa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iyie.leong\Downloads\word-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IET14</b:Tag>
    <b:SourceType>InternetSite</b:SourceType>
    <b:Guid>{63254D8E-9EA9-42D7-9576-CEB349B0702B}</b:Guid>
    <b:Title>Author Guide - IET Research Journals</b:Title>
    <b:Author>
      <b:Author>
        <b:Corporate>IET Digital Library</b:Corporate>
      </b:Author>
    </b:Author>
    <b:InternetSiteTitle>IET Digital Library</b:InternetSiteTitle>
    <b:YearAccessed>2014</b:YearAccessed>
    <b:MonthAccessed>November</b:MonthAccessed>
    <b:DayAccessed>27</b:DayAccessed>
    <b:URL>http://digital-library.theiet.org/journals/author-guide</b:URL>
    <b:RefOrder>1</b:RefOrder>
  </b:Source>
</b:Sources>
</file>

<file path=customXml/itemProps1.xml><?xml version="1.0" encoding="utf-8"?>
<ds:datastoreItem xmlns:ds="http://schemas.openxmlformats.org/officeDocument/2006/customXml" ds:itemID="{0E38BF51-6E58-4F7C-BFEA-0677DC5A1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 (1)</Template>
  <TotalTime>9</TotalTime>
  <Pages>6</Pages>
  <Words>4535</Words>
  <Characters>25856</Characters>
  <Application>Microsoft Office Word</Application>
  <DocSecurity>0</DocSecurity>
  <Lines>215</Lines>
  <Paragraphs>60</Paragraphs>
  <ScaleCrop>false</ScaleCrop>
  <Company/>
  <LinksUpToDate>false</LinksUpToDate>
  <CharactersWithSpaces>30331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IET Submission Template</dc:title>
  <dc:creator>leong Wai Yie</dc:creator>
  <cp:lastModifiedBy>Wai Yie Leong Prof. Ir. Dr.</cp:lastModifiedBy>
  <cp:revision>3</cp:revision>
  <dcterms:created xsi:type="dcterms:W3CDTF">2025-09-18T13:49:00Z</dcterms:created>
  <dcterms:modified xsi:type="dcterms:W3CDTF">2025-12-22T09:19:00Z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BBAF7A61FA0E452FA8D88DC0E4545AD9_13</vt:lpwstr>
  </property>
  <property fmtid="{D5CDD505-2E9C-101B-9397-08002B2CF9AE}" pid="3" name="KSOProductBuildVer">
    <vt:lpwstr>1033-12.2.0.23155</vt:lpwstr>
  </property>
  <property fmtid="{D5CDD505-2E9C-101B-9397-08002B2CF9AE}" pid="4" name="GrammarlyDocumentId">
    <vt:lpwstr>4c378ce7-c90a-4e16-90a8-ab46bdc018a0</vt:lpwstr>
  </property>
</Properties>
</file>