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3F481" w14:textId="4A01FC06" w:rsidR="00F46084" w:rsidRPr="00342A1B" w:rsidRDefault="0066010B" w:rsidP="00F46084">
      <w:pPr>
        <w:spacing w:line="240" w:lineRule="auto"/>
        <w:jc w:val="center"/>
        <w:rPr>
          <w:rFonts w:asciiTheme="majorBidi" w:hAnsiTheme="majorBidi" w:cstheme="majorBidi"/>
          <w:sz w:val="48"/>
          <w:szCs w:val="48"/>
        </w:rPr>
      </w:pPr>
      <w:bookmarkStart w:id="0" w:name="OLE_LINK9"/>
      <w:bookmarkStart w:id="1" w:name="_GoBack"/>
      <w:r w:rsidRPr="00342A1B">
        <w:rPr>
          <w:rFonts w:asciiTheme="majorBidi" w:hAnsiTheme="majorBidi" w:cstheme="majorBidi"/>
          <w:sz w:val="48"/>
          <w:szCs w:val="48"/>
        </w:rPr>
        <w:t>Eye-tracking pre-screen for Arabic-speaking children at risk of dyslexia</w:t>
      </w:r>
    </w:p>
    <w:bookmarkEnd w:id="0"/>
    <w:bookmarkEnd w:id="1"/>
    <w:p w14:paraId="328EFEE7" w14:textId="77777777" w:rsidR="00EB1ECB" w:rsidRPr="00342A1B" w:rsidRDefault="0066010B">
      <w:pPr>
        <w:pBdr>
          <w:top w:val="nil"/>
          <w:left w:val="nil"/>
          <w:bottom w:val="nil"/>
          <w:right w:val="nil"/>
          <w:between w:val="nil"/>
        </w:pBdr>
        <w:spacing w:after="40" w:line="240" w:lineRule="auto"/>
        <w:jc w:val="center"/>
        <w:rPr>
          <w:rFonts w:asciiTheme="majorBidi" w:eastAsia="Times New Roman" w:hAnsiTheme="majorBidi" w:cstheme="majorBidi"/>
          <w:color w:val="000000"/>
          <w:sz w:val="18"/>
          <w:szCs w:val="18"/>
        </w:rPr>
      </w:pPr>
      <w:r w:rsidRPr="00342A1B">
        <w:rPr>
          <w:rFonts w:asciiTheme="majorBidi" w:eastAsia="Times New Roman" w:hAnsiTheme="majorBidi" w:cstheme="majorBidi"/>
          <w:color w:val="000000"/>
          <w:sz w:val="18"/>
          <w:szCs w:val="18"/>
        </w:rPr>
        <w:t>Sima Al-</w:t>
      </w:r>
      <w:proofErr w:type="spellStart"/>
      <w:r w:rsidRPr="00342A1B">
        <w:rPr>
          <w:rFonts w:asciiTheme="majorBidi" w:eastAsia="Times New Roman" w:hAnsiTheme="majorBidi" w:cstheme="majorBidi"/>
          <w:color w:val="000000"/>
          <w:sz w:val="18"/>
          <w:szCs w:val="18"/>
        </w:rPr>
        <w:t>Shaghnobi</w:t>
      </w:r>
      <w:proofErr w:type="spellEnd"/>
      <w:r w:rsidRPr="00342A1B">
        <w:rPr>
          <w:rFonts w:asciiTheme="majorBidi" w:eastAsia="Times New Roman" w:hAnsiTheme="majorBidi" w:cstheme="majorBidi"/>
          <w:color w:val="000000"/>
          <w:sz w:val="18"/>
          <w:szCs w:val="18"/>
        </w:rPr>
        <w:t xml:space="preserve"> </w:t>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t xml:space="preserve">Ali </w:t>
      </w:r>
      <w:proofErr w:type="spellStart"/>
      <w:r w:rsidRPr="00342A1B">
        <w:rPr>
          <w:rFonts w:asciiTheme="majorBidi" w:eastAsia="Times New Roman" w:hAnsiTheme="majorBidi" w:cstheme="majorBidi"/>
          <w:color w:val="000000"/>
          <w:sz w:val="18"/>
          <w:szCs w:val="18"/>
        </w:rPr>
        <w:t>Alodat</w:t>
      </w:r>
      <w:proofErr w:type="spellEnd"/>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t xml:space="preserve"> Khaled </w:t>
      </w:r>
      <w:proofErr w:type="spellStart"/>
      <w:r w:rsidRPr="00342A1B">
        <w:rPr>
          <w:rFonts w:asciiTheme="majorBidi" w:eastAsia="Times New Roman" w:hAnsiTheme="majorBidi" w:cstheme="majorBidi"/>
          <w:color w:val="000000"/>
          <w:sz w:val="18"/>
          <w:szCs w:val="18"/>
        </w:rPr>
        <w:t>AlDahdouh</w:t>
      </w:r>
      <w:proofErr w:type="spellEnd"/>
      <w:r w:rsidRPr="00342A1B">
        <w:rPr>
          <w:rFonts w:asciiTheme="majorBidi" w:eastAsia="Times New Roman" w:hAnsiTheme="majorBidi" w:cstheme="majorBidi"/>
          <w:color w:val="000000"/>
          <w:sz w:val="18"/>
          <w:szCs w:val="18"/>
        </w:rPr>
        <w:t xml:space="preserve"> </w:t>
      </w:r>
    </w:p>
    <w:p w14:paraId="328EFEE8" w14:textId="77777777" w:rsidR="00EB1ECB" w:rsidRPr="00342A1B" w:rsidRDefault="0066010B">
      <w:pPr>
        <w:pBdr>
          <w:top w:val="nil"/>
          <w:left w:val="nil"/>
          <w:bottom w:val="nil"/>
          <w:right w:val="nil"/>
          <w:between w:val="nil"/>
        </w:pBdr>
        <w:spacing w:after="40" w:line="240" w:lineRule="auto"/>
        <w:jc w:val="center"/>
        <w:rPr>
          <w:rFonts w:asciiTheme="majorBidi" w:eastAsia="Times New Roman" w:hAnsiTheme="majorBidi" w:cstheme="majorBidi"/>
          <w:i/>
          <w:color w:val="000000"/>
          <w:sz w:val="18"/>
          <w:szCs w:val="18"/>
        </w:rPr>
      </w:pPr>
      <w:r w:rsidRPr="00342A1B">
        <w:rPr>
          <w:rFonts w:asciiTheme="majorBidi" w:eastAsia="Times New Roman" w:hAnsiTheme="majorBidi" w:cstheme="majorBidi"/>
          <w:i/>
          <w:color w:val="000000"/>
          <w:sz w:val="18"/>
          <w:szCs w:val="18"/>
        </w:rPr>
        <w:t>Kings Academy</w:t>
      </w:r>
      <w:r w:rsidRPr="00342A1B">
        <w:rPr>
          <w:rFonts w:asciiTheme="majorBidi" w:eastAsia="Times New Roman" w:hAnsiTheme="majorBidi" w:cstheme="majorBidi"/>
          <w:i/>
          <w:color w:val="000000"/>
          <w:sz w:val="18"/>
          <w:szCs w:val="18"/>
        </w:rPr>
        <w:tab/>
      </w:r>
      <w:r w:rsidRPr="00342A1B">
        <w:rPr>
          <w:rFonts w:asciiTheme="majorBidi" w:eastAsia="Times New Roman" w:hAnsiTheme="majorBidi" w:cstheme="majorBidi"/>
          <w:i/>
          <w:color w:val="000000"/>
          <w:sz w:val="18"/>
          <w:szCs w:val="18"/>
        </w:rPr>
        <w:tab/>
      </w:r>
      <w:r w:rsidRPr="00342A1B">
        <w:rPr>
          <w:rFonts w:asciiTheme="majorBidi" w:eastAsia="Times New Roman" w:hAnsiTheme="majorBidi" w:cstheme="majorBidi"/>
          <w:i/>
          <w:color w:val="000000"/>
          <w:sz w:val="18"/>
          <w:szCs w:val="18"/>
        </w:rPr>
        <w:tab/>
        <w:t xml:space="preserve">        Qatar University </w:t>
      </w:r>
      <w:r w:rsidRPr="00342A1B">
        <w:rPr>
          <w:rFonts w:asciiTheme="majorBidi" w:eastAsia="Times New Roman" w:hAnsiTheme="majorBidi" w:cstheme="majorBidi"/>
          <w:i/>
          <w:color w:val="000000"/>
          <w:sz w:val="18"/>
          <w:szCs w:val="18"/>
        </w:rPr>
        <w:tab/>
      </w:r>
      <w:r w:rsidRPr="00342A1B">
        <w:rPr>
          <w:rFonts w:asciiTheme="majorBidi" w:eastAsia="Times New Roman" w:hAnsiTheme="majorBidi" w:cstheme="majorBidi"/>
          <w:i/>
          <w:color w:val="000000"/>
          <w:sz w:val="18"/>
          <w:szCs w:val="18"/>
        </w:rPr>
        <w:tab/>
      </w:r>
      <w:r w:rsidRPr="00342A1B">
        <w:rPr>
          <w:rFonts w:asciiTheme="majorBidi" w:eastAsia="Times New Roman" w:hAnsiTheme="majorBidi" w:cstheme="majorBidi"/>
          <w:i/>
          <w:color w:val="000000"/>
          <w:sz w:val="18"/>
          <w:szCs w:val="18"/>
        </w:rPr>
        <w:tab/>
        <w:t>Jubilee School</w:t>
      </w:r>
    </w:p>
    <w:p w14:paraId="328EFEE9" w14:textId="77777777" w:rsidR="00EB1ECB" w:rsidRPr="00342A1B" w:rsidRDefault="0066010B">
      <w:pPr>
        <w:pBdr>
          <w:top w:val="nil"/>
          <w:left w:val="nil"/>
          <w:bottom w:val="nil"/>
          <w:right w:val="nil"/>
          <w:between w:val="nil"/>
        </w:pBdr>
        <w:spacing w:after="40" w:line="240" w:lineRule="auto"/>
        <w:rPr>
          <w:rFonts w:asciiTheme="majorBidi" w:eastAsia="Times New Roman" w:hAnsiTheme="majorBidi" w:cstheme="majorBidi"/>
          <w:color w:val="000000"/>
          <w:sz w:val="18"/>
          <w:szCs w:val="18"/>
        </w:rPr>
      </w:pPr>
      <w:r w:rsidRPr="00342A1B">
        <w:rPr>
          <w:rFonts w:asciiTheme="majorBidi" w:eastAsia="Times New Roman" w:hAnsiTheme="majorBidi" w:cstheme="majorBidi"/>
          <w:color w:val="000000"/>
          <w:sz w:val="18"/>
          <w:szCs w:val="18"/>
        </w:rPr>
        <w:t xml:space="preserve">                   Amman, Jordan </w:t>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t xml:space="preserve">                Doha, Qatar </w:t>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t xml:space="preserve">    Amman, Jordan</w:t>
      </w:r>
    </w:p>
    <w:p w14:paraId="328EFEEA" w14:textId="0B79C6B4" w:rsidR="00EB1ECB" w:rsidRPr="00D00258" w:rsidRDefault="00E64B9E" w:rsidP="00D00258">
      <w:pPr>
        <w:pBdr>
          <w:top w:val="nil"/>
          <w:left w:val="nil"/>
          <w:bottom w:val="nil"/>
          <w:right w:val="nil"/>
          <w:between w:val="nil"/>
        </w:pBdr>
        <w:spacing w:after="40" w:line="240" w:lineRule="auto"/>
        <w:rPr>
          <w:rFonts w:asciiTheme="majorBidi" w:eastAsia="Times New Roman" w:hAnsiTheme="majorBidi" w:cstheme="majorBidi"/>
          <w:color w:val="000000"/>
          <w:sz w:val="18"/>
          <w:szCs w:val="18"/>
        </w:rPr>
      </w:pPr>
      <w:hyperlink r:id="rId8">
        <w:r w:rsidR="00EB1ECB" w:rsidRPr="00D00258">
          <w:rPr>
            <w:rFonts w:asciiTheme="majorBidi" w:eastAsia="Times New Roman" w:hAnsiTheme="majorBidi" w:cstheme="majorBidi"/>
            <w:color w:val="467886"/>
            <w:sz w:val="18"/>
            <w:szCs w:val="18"/>
            <w:u w:val="single"/>
          </w:rPr>
          <w:t>SimaAlShaghnobi29@kingsacademy.edu.jo</w:t>
        </w:r>
      </w:hyperlink>
      <w:r w:rsidR="0066010B" w:rsidRPr="00D00258">
        <w:rPr>
          <w:rFonts w:asciiTheme="majorBidi" w:eastAsia="Times New Roman" w:hAnsiTheme="majorBidi" w:cstheme="majorBidi"/>
          <w:color w:val="000000"/>
          <w:sz w:val="18"/>
          <w:szCs w:val="18"/>
        </w:rPr>
        <w:t xml:space="preserve">       </w:t>
      </w:r>
      <w:r w:rsidR="00D00258" w:rsidRPr="00D00258">
        <w:rPr>
          <w:rFonts w:asciiTheme="majorBidi" w:eastAsia="Times New Roman" w:hAnsiTheme="majorBidi" w:cstheme="majorBidi"/>
          <w:color w:val="000000"/>
          <w:sz w:val="18"/>
          <w:szCs w:val="18"/>
        </w:rPr>
        <w:t xml:space="preserve">    </w:t>
      </w:r>
      <w:r w:rsidR="00D00258">
        <w:rPr>
          <w:rFonts w:asciiTheme="majorBidi" w:eastAsia="Times New Roman" w:hAnsiTheme="majorBidi" w:cstheme="majorBidi"/>
          <w:color w:val="000000"/>
          <w:sz w:val="18"/>
          <w:szCs w:val="18"/>
        </w:rPr>
        <w:t xml:space="preserve">     </w:t>
      </w:r>
      <w:r w:rsidR="00D00258" w:rsidRPr="00D00258">
        <w:rPr>
          <w:rFonts w:asciiTheme="majorBidi" w:eastAsia="Times New Roman" w:hAnsiTheme="majorBidi" w:cstheme="majorBidi"/>
          <w:color w:val="000000"/>
          <w:sz w:val="18"/>
          <w:szCs w:val="18"/>
        </w:rPr>
        <w:t xml:space="preserve">   </w:t>
      </w:r>
      <w:hyperlink r:id="rId9" w:history="1">
        <w:r w:rsidR="00D00258" w:rsidRPr="00D00258">
          <w:rPr>
            <w:rStyle w:val="Hyperlink"/>
            <w:rFonts w:asciiTheme="majorBidi" w:hAnsiTheme="majorBidi" w:cstheme="majorBidi"/>
            <w:spacing w:val="4"/>
            <w:sz w:val="18"/>
            <w:szCs w:val="18"/>
            <w:shd w:val="clear" w:color="auto" w:fill="FFFFFF"/>
          </w:rPr>
          <w:t>a.al-odat@qu.edu.qa</w:t>
        </w:r>
      </w:hyperlink>
      <w:r w:rsidR="00D00258" w:rsidRPr="00D00258">
        <w:rPr>
          <w:rFonts w:asciiTheme="majorBidi" w:hAnsiTheme="majorBidi" w:cstheme="majorBidi"/>
          <w:color w:val="000000"/>
          <w:spacing w:val="4"/>
          <w:sz w:val="18"/>
          <w:szCs w:val="18"/>
          <w:shd w:val="clear" w:color="auto" w:fill="FFFFFF"/>
        </w:rPr>
        <w:t xml:space="preserve"> </w:t>
      </w:r>
      <w:hyperlink r:id="rId10"/>
      <w:r w:rsidR="0066010B" w:rsidRPr="00D00258">
        <w:rPr>
          <w:rFonts w:asciiTheme="majorBidi" w:eastAsia="Times New Roman" w:hAnsiTheme="majorBidi" w:cstheme="majorBidi"/>
          <w:color w:val="000000"/>
          <w:sz w:val="18"/>
          <w:szCs w:val="18"/>
        </w:rPr>
        <w:t xml:space="preserve">                </w:t>
      </w:r>
      <w:r w:rsidR="00D00258">
        <w:rPr>
          <w:rFonts w:asciiTheme="majorBidi" w:eastAsia="Times New Roman" w:hAnsiTheme="majorBidi" w:cstheme="majorBidi"/>
          <w:color w:val="000000"/>
          <w:sz w:val="18"/>
          <w:szCs w:val="18"/>
        </w:rPr>
        <w:t xml:space="preserve">       </w:t>
      </w:r>
      <w:r w:rsidR="0066010B" w:rsidRPr="00D00258">
        <w:rPr>
          <w:rFonts w:asciiTheme="majorBidi" w:eastAsia="Times New Roman" w:hAnsiTheme="majorBidi" w:cstheme="majorBidi"/>
          <w:color w:val="000000"/>
          <w:sz w:val="18"/>
          <w:szCs w:val="18"/>
        </w:rPr>
        <w:t xml:space="preserve"> </w:t>
      </w:r>
      <w:r w:rsidR="00D00258" w:rsidRPr="00D00258">
        <w:rPr>
          <w:rFonts w:asciiTheme="majorBidi" w:eastAsia="Times New Roman" w:hAnsiTheme="majorBidi" w:cstheme="majorBidi"/>
          <w:color w:val="000000"/>
          <w:sz w:val="18"/>
          <w:szCs w:val="18"/>
        </w:rPr>
        <w:t xml:space="preserve">      </w:t>
      </w:r>
      <w:hyperlink r:id="rId11" w:history="1">
        <w:r w:rsidR="00906237" w:rsidRPr="00D00258">
          <w:rPr>
            <w:rStyle w:val="Hyperlink"/>
            <w:rFonts w:asciiTheme="majorBidi" w:eastAsia="Times New Roman" w:hAnsiTheme="majorBidi" w:cstheme="majorBidi"/>
            <w:sz w:val="18"/>
            <w:szCs w:val="18"/>
          </w:rPr>
          <w:t>k.aldahdouh@jubilee.edu.jo</w:t>
        </w:r>
      </w:hyperlink>
      <w:r w:rsidR="0066010B" w:rsidRPr="00D00258">
        <w:rPr>
          <w:rFonts w:asciiTheme="majorBidi" w:eastAsia="Times New Roman" w:hAnsiTheme="majorBidi" w:cstheme="majorBidi"/>
          <w:color w:val="000000"/>
          <w:sz w:val="18"/>
          <w:szCs w:val="18"/>
        </w:rPr>
        <w:t xml:space="preserve"> </w:t>
      </w:r>
    </w:p>
    <w:p w14:paraId="328EFEEB" w14:textId="77777777" w:rsidR="00EB1ECB" w:rsidRPr="00342A1B" w:rsidRDefault="00EB1ECB">
      <w:pPr>
        <w:pBdr>
          <w:top w:val="nil"/>
          <w:left w:val="nil"/>
          <w:bottom w:val="nil"/>
          <w:right w:val="nil"/>
          <w:between w:val="nil"/>
        </w:pBdr>
        <w:spacing w:after="40" w:line="240" w:lineRule="auto"/>
        <w:rPr>
          <w:rFonts w:asciiTheme="majorBidi" w:eastAsia="Times New Roman" w:hAnsiTheme="majorBidi" w:cstheme="majorBidi"/>
          <w:color w:val="000000"/>
          <w:sz w:val="18"/>
          <w:szCs w:val="18"/>
        </w:rPr>
      </w:pPr>
    </w:p>
    <w:p w14:paraId="328EFEEC" w14:textId="0B75ADD7" w:rsidR="00EB1ECB" w:rsidRPr="00342A1B" w:rsidRDefault="0066010B">
      <w:pPr>
        <w:pBdr>
          <w:top w:val="nil"/>
          <w:left w:val="nil"/>
          <w:bottom w:val="nil"/>
          <w:right w:val="nil"/>
          <w:between w:val="nil"/>
        </w:pBdr>
        <w:spacing w:after="40" w:line="240" w:lineRule="auto"/>
        <w:rPr>
          <w:rFonts w:asciiTheme="majorBidi" w:eastAsia="Times New Roman" w:hAnsiTheme="majorBidi" w:cstheme="majorBidi"/>
          <w:color w:val="000000"/>
          <w:sz w:val="18"/>
          <w:szCs w:val="18"/>
        </w:rPr>
      </w:pPr>
      <w:r w:rsidRPr="00342A1B">
        <w:rPr>
          <w:rFonts w:asciiTheme="majorBidi" w:eastAsia="Times New Roman" w:hAnsiTheme="majorBidi" w:cstheme="majorBidi"/>
          <w:color w:val="000000"/>
          <w:sz w:val="18"/>
          <w:szCs w:val="18"/>
        </w:rPr>
        <w:t xml:space="preserve">                Salma Al-</w:t>
      </w:r>
      <w:proofErr w:type="spellStart"/>
      <w:r w:rsidRPr="00342A1B">
        <w:rPr>
          <w:rFonts w:asciiTheme="majorBidi" w:eastAsia="Times New Roman" w:hAnsiTheme="majorBidi" w:cstheme="majorBidi"/>
          <w:color w:val="000000"/>
          <w:sz w:val="18"/>
          <w:szCs w:val="18"/>
        </w:rPr>
        <w:t>Shaghnobi</w:t>
      </w:r>
      <w:proofErr w:type="spellEnd"/>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t xml:space="preserve">        </w:t>
      </w:r>
      <w:proofErr w:type="spellStart"/>
      <w:r w:rsidRPr="00342A1B">
        <w:rPr>
          <w:rFonts w:asciiTheme="majorBidi" w:eastAsia="Times New Roman" w:hAnsiTheme="majorBidi" w:cstheme="majorBidi"/>
          <w:color w:val="000000"/>
          <w:sz w:val="18"/>
          <w:szCs w:val="18"/>
        </w:rPr>
        <w:t>Sawsan</w:t>
      </w:r>
      <w:proofErr w:type="spellEnd"/>
      <w:r w:rsidRPr="00342A1B">
        <w:rPr>
          <w:rFonts w:asciiTheme="majorBidi" w:eastAsia="Times New Roman" w:hAnsiTheme="majorBidi" w:cstheme="majorBidi"/>
          <w:color w:val="000000"/>
          <w:sz w:val="18"/>
          <w:szCs w:val="18"/>
        </w:rPr>
        <w:t xml:space="preserve"> Abu </w:t>
      </w:r>
      <w:proofErr w:type="spellStart"/>
      <w:r w:rsidRPr="00342A1B">
        <w:rPr>
          <w:rFonts w:asciiTheme="majorBidi" w:eastAsia="Times New Roman" w:hAnsiTheme="majorBidi" w:cstheme="majorBidi"/>
          <w:color w:val="000000"/>
          <w:sz w:val="18"/>
          <w:szCs w:val="18"/>
        </w:rPr>
        <w:t>Jammaah</w:t>
      </w:r>
      <w:proofErr w:type="spellEnd"/>
      <w:r w:rsidR="00F46084" w:rsidRPr="00342A1B">
        <w:rPr>
          <w:rFonts w:asciiTheme="majorBidi" w:eastAsia="Times New Roman" w:hAnsiTheme="majorBidi" w:cstheme="majorBidi"/>
          <w:color w:val="000000"/>
          <w:sz w:val="18"/>
          <w:szCs w:val="18"/>
        </w:rPr>
        <w:t xml:space="preserve">                                       </w:t>
      </w:r>
      <w:r w:rsidR="00F46084" w:rsidRPr="00342A1B">
        <w:rPr>
          <w:rFonts w:asciiTheme="majorBidi" w:hAnsiTheme="majorBidi" w:cstheme="majorBidi"/>
          <w:sz w:val="18"/>
          <w:szCs w:val="18"/>
        </w:rPr>
        <w:t>Mohamed Hafez</w:t>
      </w:r>
    </w:p>
    <w:p w14:paraId="328EFEED" w14:textId="34A2D56A" w:rsidR="00EB1ECB" w:rsidRPr="00342A1B" w:rsidRDefault="0066010B" w:rsidP="00F46084">
      <w:pPr>
        <w:pBdr>
          <w:top w:val="nil"/>
          <w:left w:val="nil"/>
          <w:bottom w:val="nil"/>
          <w:right w:val="nil"/>
          <w:between w:val="nil"/>
        </w:pBdr>
        <w:spacing w:after="40" w:line="240" w:lineRule="auto"/>
        <w:ind w:firstLine="720"/>
        <w:rPr>
          <w:rFonts w:asciiTheme="majorBidi" w:eastAsia="Times New Roman" w:hAnsiTheme="majorBidi" w:cstheme="majorBidi"/>
          <w:i/>
          <w:color w:val="000000"/>
          <w:sz w:val="18"/>
          <w:szCs w:val="18"/>
        </w:rPr>
      </w:pPr>
      <w:r w:rsidRPr="00342A1B">
        <w:rPr>
          <w:rFonts w:asciiTheme="majorBidi" w:eastAsia="Times New Roman" w:hAnsiTheme="majorBidi" w:cstheme="majorBidi"/>
          <w:i/>
          <w:color w:val="000000"/>
          <w:sz w:val="18"/>
          <w:szCs w:val="18"/>
        </w:rPr>
        <w:t xml:space="preserve">      IE University </w:t>
      </w:r>
      <w:r w:rsidRPr="00342A1B">
        <w:rPr>
          <w:rFonts w:asciiTheme="majorBidi" w:eastAsia="Times New Roman" w:hAnsiTheme="majorBidi" w:cstheme="majorBidi"/>
          <w:i/>
          <w:color w:val="000000"/>
          <w:sz w:val="18"/>
          <w:szCs w:val="18"/>
        </w:rPr>
        <w:tab/>
      </w:r>
      <w:r w:rsidRPr="00342A1B">
        <w:rPr>
          <w:rFonts w:asciiTheme="majorBidi" w:eastAsia="Times New Roman" w:hAnsiTheme="majorBidi" w:cstheme="majorBidi"/>
          <w:i/>
          <w:color w:val="000000"/>
          <w:sz w:val="18"/>
          <w:szCs w:val="18"/>
        </w:rPr>
        <w:tab/>
      </w:r>
      <w:r w:rsidRPr="00342A1B">
        <w:rPr>
          <w:rFonts w:asciiTheme="majorBidi" w:eastAsia="Times New Roman" w:hAnsiTheme="majorBidi" w:cstheme="majorBidi"/>
          <w:i/>
          <w:color w:val="000000"/>
          <w:sz w:val="18"/>
          <w:szCs w:val="18"/>
        </w:rPr>
        <w:tab/>
      </w:r>
      <w:r w:rsidRPr="00342A1B">
        <w:rPr>
          <w:rFonts w:asciiTheme="majorBidi" w:eastAsia="Times New Roman" w:hAnsiTheme="majorBidi" w:cstheme="majorBidi"/>
          <w:i/>
          <w:color w:val="000000"/>
          <w:sz w:val="18"/>
          <w:szCs w:val="18"/>
        </w:rPr>
        <w:tab/>
        <w:t>Jubilee School</w:t>
      </w:r>
      <w:r w:rsidR="00F46084" w:rsidRPr="00342A1B">
        <w:rPr>
          <w:rFonts w:asciiTheme="majorBidi" w:eastAsia="Times New Roman" w:hAnsiTheme="majorBidi" w:cstheme="majorBidi"/>
          <w:i/>
          <w:color w:val="000000"/>
          <w:sz w:val="18"/>
          <w:szCs w:val="18"/>
        </w:rPr>
        <w:t xml:space="preserve">                               </w:t>
      </w:r>
      <w:r w:rsidR="00F46084" w:rsidRPr="00342A1B">
        <w:rPr>
          <w:rFonts w:asciiTheme="majorBidi" w:hAnsiTheme="majorBidi" w:cstheme="majorBidi"/>
          <w:sz w:val="18"/>
          <w:szCs w:val="18"/>
        </w:rPr>
        <w:t xml:space="preserve">Faculty of Engineering FEQS, </w:t>
      </w:r>
    </w:p>
    <w:p w14:paraId="328EFEEE" w14:textId="6A094A3E" w:rsidR="00EB1ECB" w:rsidRPr="00342A1B" w:rsidRDefault="0066010B" w:rsidP="00F46084">
      <w:pPr>
        <w:pBdr>
          <w:top w:val="nil"/>
          <w:left w:val="nil"/>
          <w:bottom w:val="nil"/>
          <w:right w:val="nil"/>
          <w:between w:val="nil"/>
        </w:pBdr>
        <w:spacing w:after="40" w:line="240" w:lineRule="auto"/>
        <w:ind w:firstLine="720"/>
        <w:rPr>
          <w:rFonts w:asciiTheme="majorBidi" w:eastAsia="Times New Roman" w:hAnsiTheme="majorBidi" w:cstheme="majorBidi"/>
          <w:color w:val="000000"/>
          <w:sz w:val="18"/>
          <w:szCs w:val="18"/>
        </w:rPr>
      </w:pPr>
      <w:r w:rsidRPr="00342A1B">
        <w:rPr>
          <w:rFonts w:asciiTheme="majorBidi" w:eastAsia="Times New Roman" w:hAnsiTheme="majorBidi" w:cstheme="majorBidi"/>
          <w:color w:val="000000"/>
          <w:sz w:val="18"/>
          <w:szCs w:val="18"/>
        </w:rPr>
        <w:t xml:space="preserve">     Madrid, Spain</w:t>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r>
      <w:r w:rsidRPr="00342A1B">
        <w:rPr>
          <w:rFonts w:asciiTheme="majorBidi" w:eastAsia="Times New Roman" w:hAnsiTheme="majorBidi" w:cstheme="majorBidi"/>
          <w:color w:val="000000"/>
          <w:sz w:val="18"/>
          <w:szCs w:val="18"/>
        </w:rPr>
        <w:tab/>
        <w:t xml:space="preserve">              Amman, Jordan</w:t>
      </w:r>
      <w:r w:rsidR="00F46084" w:rsidRPr="00342A1B">
        <w:rPr>
          <w:rFonts w:asciiTheme="majorBidi" w:eastAsia="Times New Roman" w:hAnsiTheme="majorBidi" w:cstheme="majorBidi"/>
          <w:color w:val="000000"/>
          <w:sz w:val="18"/>
          <w:szCs w:val="18"/>
        </w:rPr>
        <w:t xml:space="preserve">                             </w:t>
      </w:r>
      <w:r w:rsidR="00F46084" w:rsidRPr="00342A1B">
        <w:rPr>
          <w:rFonts w:asciiTheme="majorBidi" w:hAnsiTheme="majorBidi" w:cstheme="majorBidi"/>
          <w:sz w:val="18"/>
          <w:szCs w:val="18"/>
        </w:rPr>
        <w:t xml:space="preserve">INTI-IU-University, </w:t>
      </w:r>
      <w:proofErr w:type="spellStart"/>
      <w:r w:rsidR="00F46084" w:rsidRPr="00342A1B">
        <w:rPr>
          <w:rFonts w:asciiTheme="majorBidi" w:hAnsiTheme="majorBidi" w:cstheme="majorBidi"/>
          <w:sz w:val="18"/>
          <w:szCs w:val="18"/>
        </w:rPr>
        <w:t>Nilai</w:t>
      </w:r>
      <w:proofErr w:type="spellEnd"/>
      <w:r w:rsidR="00F46084" w:rsidRPr="00342A1B">
        <w:rPr>
          <w:rFonts w:asciiTheme="majorBidi" w:hAnsiTheme="majorBidi" w:cstheme="majorBidi"/>
          <w:sz w:val="18"/>
          <w:szCs w:val="18"/>
        </w:rPr>
        <w:t>, Malaysia.</w:t>
      </w:r>
    </w:p>
    <w:p w14:paraId="328EFEEF" w14:textId="23F75548" w:rsidR="00EB1ECB" w:rsidRPr="00342A1B" w:rsidRDefault="00BB0CB1">
      <w:pPr>
        <w:pBdr>
          <w:top w:val="nil"/>
          <w:left w:val="nil"/>
          <w:bottom w:val="nil"/>
          <w:right w:val="nil"/>
          <w:between w:val="nil"/>
        </w:pBdr>
        <w:spacing w:after="40" w:line="240" w:lineRule="auto"/>
        <w:rPr>
          <w:rFonts w:asciiTheme="majorBidi" w:eastAsia="Times New Roman" w:hAnsiTheme="majorBidi" w:cstheme="majorBidi"/>
          <w:color w:val="000000"/>
          <w:sz w:val="18"/>
          <w:szCs w:val="18"/>
        </w:rPr>
      </w:pPr>
      <w:hyperlink r:id="rId12">
        <w:r w:rsidR="00EB1ECB" w:rsidRPr="00342A1B">
          <w:rPr>
            <w:rFonts w:asciiTheme="majorBidi" w:eastAsia="Times New Roman" w:hAnsiTheme="majorBidi" w:cstheme="majorBidi"/>
            <w:color w:val="467886"/>
            <w:sz w:val="18"/>
            <w:szCs w:val="18"/>
            <w:u w:val="single"/>
          </w:rPr>
          <w:t>Salshaghnobi.ieu2025@student.ie.edu</w:t>
        </w:r>
      </w:hyperlink>
      <w:r w:rsidR="0066010B" w:rsidRPr="00342A1B">
        <w:rPr>
          <w:rFonts w:asciiTheme="majorBidi" w:eastAsia="Times New Roman" w:hAnsiTheme="majorBidi" w:cstheme="majorBidi"/>
          <w:color w:val="000000"/>
          <w:sz w:val="18"/>
          <w:szCs w:val="18"/>
        </w:rPr>
        <w:t xml:space="preserve">                      </w:t>
      </w:r>
      <w:hyperlink r:id="rId13">
        <w:r w:rsidR="00EB1ECB" w:rsidRPr="00342A1B">
          <w:rPr>
            <w:rFonts w:asciiTheme="majorBidi" w:eastAsia="Times New Roman" w:hAnsiTheme="majorBidi" w:cstheme="majorBidi"/>
            <w:color w:val="467886"/>
            <w:sz w:val="18"/>
            <w:szCs w:val="18"/>
            <w:u w:val="single"/>
          </w:rPr>
          <w:t>sabujammaah@jubilee.edu.jo</w:t>
        </w:r>
      </w:hyperlink>
      <w:r w:rsidR="0066010B" w:rsidRPr="00342A1B">
        <w:rPr>
          <w:rFonts w:asciiTheme="majorBidi" w:eastAsia="Times New Roman" w:hAnsiTheme="majorBidi" w:cstheme="majorBidi"/>
          <w:color w:val="000000"/>
          <w:sz w:val="18"/>
          <w:szCs w:val="18"/>
        </w:rPr>
        <w:t xml:space="preserve"> </w:t>
      </w:r>
      <w:r w:rsidR="00F46084" w:rsidRPr="00342A1B">
        <w:rPr>
          <w:rFonts w:asciiTheme="majorBidi" w:eastAsia="Times New Roman" w:hAnsiTheme="majorBidi" w:cstheme="majorBidi"/>
          <w:color w:val="000000"/>
          <w:sz w:val="18"/>
          <w:szCs w:val="18"/>
        </w:rPr>
        <w:t xml:space="preserve">             </w:t>
      </w:r>
      <w:hyperlink r:id="rId14" w:history="1">
        <w:r w:rsidR="00F46084" w:rsidRPr="00342A1B">
          <w:rPr>
            <w:rStyle w:val="Hyperlink"/>
            <w:rFonts w:asciiTheme="majorBidi" w:hAnsiTheme="majorBidi" w:cstheme="majorBidi"/>
            <w:sz w:val="18"/>
            <w:szCs w:val="18"/>
          </w:rPr>
          <w:t>mohdahmed.hafez@newinti.edu.my</w:t>
        </w:r>
      </w:hyperlink>
      <w:r w:rsidR="00F46084" w:rsidRPr="00342A1B">
        <w:rPr>
          <w:rFonts w:asciiTheme="majorBidi" w:hAnsiTheme="majorBidi" w:cstheme="majorBidi"/>
          <w:sz w:val="18"/>
          <w:szCs w:val="18"/>
        </w:rPr>
        <w:t xml:space="preserve">                      </w:t>
      </w:r>
    </w:p>
    <w:p w14:paraId="10D87B9F" w14:textId="260E5464" w:rsidR="00F46084" w:rsidRPr="00342A1B" w:rsidRDefault="00F46084" w:rsidP="00342A1B">
      <w:pPr>
        <w:spacing w:line="240" w:lineRule="auto"/>
        <w:jc w:val="both"/>
        <w:rPr>
          <w:rFonts w:asciiTheme="majorBidi" w:eastAsia="Times New Roman" w:hAnsiTheme="majorBidi" w:cstheme="majorBidi"/>
          <w:b/>
          <w:sz w:val="18"/>
          <w:szCs w:val="18"/>
        </w:rPr>
        <w:sectPr w:rsidR="00F46084" w:rsidRPr="00342A1B">
          <w:footerReference w:type="default" r:id="rId15"/>
          <w:pgSz w:w="12240" w:h="15840"/>
          <w:pgMar w:top="1440" w:right="1440" w:bottom="1440" w:left="1440" w:header="720" w:footer="720" w:gutter="0"/>
          <w:pgNumType w:start="1"/>
          <w:cols w:space="720"/>
        </w:sectPr>
      </w:pPr>
      <w:r w:rsidRPr="00342A1B">
        <w:rPr>
          <w:rFonts w:asciiTheme="majorBidi" w:eastAsia="Times New Roman" w:hAnsiTheme="majorBidi" w:cstheme="majorBidi"/>
          <w:b/>
          <w:sz w:val="18"/>
          <w:szCs w:val="18"/>
        </w:rPr>
        <w:t xml:space="preserve">                                                                                                                                                </w:t>
      </w:r>
      <w:r w:rsidRPr="00342A1B">
        <w:rPr>
          <w:rFonts w:asciiTheme="majorBidi" w:hAnsiTheme="majorBidi" w:cstheme="majorBidi"/>
          <w:sz w:val="18"/>
          <w:szCs w:val="18"/>
        </w:rPr>
        <w:t xml:space="preserve">Faculty of Management, </w:t>
      </w:r>
      <w:proofErr w:type="spellStart"/>
      <w:proofErr w:type="gramStart"/>
      <w:r w:rsidRPr="00342A1B">
        <w:rPr>
          <w:rFonts w:asciiTheme="majorBidi" w:hAnsiTheme="majorBidi" w:cstheme="majorBidi"/>
          <w:sz w:val="18"/>
          <w:szCs w:val="18"/>
        </w:rPr>
        <w:t>Shinawatra</w:t>
      </w:r>
      <w:proofErr w:type="spellEnd"/>
      <w:r w:rsidR="00342A1B">
        <w:rPr>
          <w:rFonts w:asciiTheme="majorBidi" w:hAnsiTheme="majorBidi" w:cstheme="majorBidi"/>
          <w:sz w:val="18"/>
          <w:szCs w:val="18"/>
        </w:rPr>
        <w:t xml:space="preserve">.   </w:t>
      </w:r>
      <w:proofErr w:type="gramEnd"/>
      <w:r w:rsidR="00342A1B">
        <w:rPr>
          <w:rFonts w:asciiTheme="majorBidi" w:hAnsiTheme="majorBidi" w:cstheme="majorBidi"/>
          <w:sz w:val="18"/>
          <w:szCs w:val="18"/>
        </w:rPr>
        <w:t xml:space="preserve">         </w:t>
      </w:r>
      <w:r w:rsidR="00342A1B" w:rsidRPr="00342A1B">
        <w:rPr>
          <w:rFonts w:asciiTheme="majorBidi" w:hAnsiTheme="majorBidi" w:cstheme="majorBidi"/>
          <w:color w:val="FFFFFF" w:themeColor="background1"/>
          <w:sz w:val="18"/>
          <w:szCs w:val="18"/>
        </w:rPr>
        <w:t>.</w:t>
      </w:r>
      <w:r w:rsidR="00342A1B">
        <w:rPr>
          <w:rFonts w:asciiTheme="majorBidi" w:hAnsiTheme="majorBidi" w:cstheme="majorBidi"/>
          <w:sz w:val="18"/>
          <w:szCs w:val="18"/>
        </w:rPr>
        <w:t xml:space="preserve">                                                                                                                                                  </w:t>
      </w:r>
      <w:r w:rsidR="00342A1B" w:rsidRPr="00342A1B">
        <w:rPr>
          <w:rFonts w:asciiTheme="majorBidi" w:hAnsiTheme="majorBidi" w:cstheme="majorBidi"/>
          <w:sz w:val="18"/>
          <w:szCs w:val="18"/>
        </w:rPr>
        <w:t xml:space="preserve">University, </w:t>
      </w:r>
      <w:proofErr w:type="spellStart"/>
      <w:r w:rsidR="00342A1B" w:rsidRPr="00342A1B">
        <w:rPr>
          <w:rFonts w:asciiTheme="majorBidi" w:hAnsiTheme="majorBidi" w:cstheme="majorBidi"/>
          <w:sz w:val="18"/>
          <w:szCs w:val="18"/>
        </w:rPr>
        <w:t>Pathum</w:t>
      </w:r>
      <w:proofErr w:type="spellEnd"/>
      <w:r w:rsidR="00342A1B" w:rsidRPr="00342A1B">
        <w:rPr>
          <w:rFonts w:asciiTheme="majorBidi" w:hAnsiTheme="majorBidi" w:cstheme="majorBidi"/>
          <w:sz w:val="18"/>
          <w:szCs w:val="18"/>
        </w:rPr>
        <w:t xml:space="preserve"> </w:t>
      </w:r>
      <w:proofErr w:type="spellStart"/>
      <w:r w:rsidR="00342A1B" w:rsidRPr="00342A1B">
        <w:rPr>
          <w:rFonts w:asciiTheme="majorBidi" w:hAnsiTheme="majorBidi" w:cstheme="majorBidi"/>
          <w:sz w:val="18"/>
          <w:szCs w:val="18"/>
        </w:rPr>
        <w:t>Thani</w:t>
      </w:r>
      <w:proofErr w:type="spellEnd"/>
      <w:r w:rsidR="00342A1B" w:rsidRPr="00342A1B">
        <w:rPr>
          <w:rFonts w:asciiTheme="majorBidi" w:hAnsiTheme="majorBidi" w:cstheme="majorBidi"/>
          <w:sz w:val="18"/>
          <w:szCs w:val="18"/>
        </w:rPr>
        <w:t>, Thailand</w:t>
      </w:r>
      <w:r w:rsidR="00342A1B">
        <w:rPr>
          <w:rFonts w:asciiTheme="majorBidi" w:hAnsiTheme="majorBidi" w:cstheme="majorBidi"/>
          <w:sz w:val="18"/>
          <w:szCs w:val="18"/>
        </w:rPr>
        <w:t>.</w:t>
      </w:r>
      <w:r w:rsidR="00342A1B">
        <w:rPr>
          <w:rFonts w:asciiTheme="majorBidi" w:eastAsia="Times New Roman" w:hAnsiTheme="majorBidi" w:cstheme="majorBidi"/>
          <w:b/>
          <w:sz w:val="18"/>
          <w:szCs w:val="18"/>
        </w:rPr>
        <w:t xml:space="preserve">  </w:t>
      </w:r>
    </w:p>
    <w:p w14:paraId="328EFEF1" w14:textId="77777777" w:rsidR="00EB1ECB" w:rsidRDefault="0066010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i/>
          <w:sz w:val="18"/>
          <w:szCs w:val="18"/>
        </w:rPr>
        <w:lastRenderedPageBreak/>
        <w:t>Abstract</w:t>
      </w:r>
      <w:r>
        <w:rPr>
          <w:rFonts w:ascii="Times New Roman" w:eastAsia="Times New Roman" w:hAnsi="Times New Roman" w:cs="Times New Roman"/>
          <w:b/>
          <w:sz w:val="18"/>
          <w:szCs w:val="18"/>
        </w:rPr>
        <w:t xml:space="preserve">- </w:t>
      </w:r>
      <w:sdt>
        <w:sdtPr>
          <w:rPr>
            <w:rFonts w:ascii="Times New Roman" w:eastAsia="Times New Roman" w:hAnsi="Times New Roman" w:cs="Times New Roman"/>
            <w:b/>
            <w:bCs/>
            <w:sz w:val="18"/>
            <w:szCs w:val="18"/>
            <w:lang w:val="en-US" w:eastAsia="en-US"/>
          </w:rPr>
          <w:tag w:val="goog_rdk_0"/>
          <w:id w:val="-1498413320"/>
        </w:sdtPr>
        <w:sdtEndPr>
          <w:rPr>
            <w:rFonts w:ascii="Aptos" w:eastAsia="Aptos" w:hAnsi="Aptos" w:cs="Aptos"/>
            <w:b w:val="0"/>
            <w:bCs w:val="0"/>
            <w:sz w:val="24"/>
            <w:szCs w:val="24"/>
            <w:lang w:val="en" w:eastAsia="en-GB"/>
          </w:rPr>
        </w:sdtEndPr>
        <w:sdtContent>
          <w:r w:rsidRPr="00767C12">
            <w:rPr>
              <w:rFonts w:ascii="Times New Roman" w:eastAsia="Times New Roman" w:hAnsi="Times New Roman" w:cs="Times New Roman"/>
              <w:b/>
              <w:bCs/>
              <w:sz w:val="18"/>
              <w:szCs w:val="18"/>
              <w:lang w:val="en-US" w:eastAsia="en-US"/>
            </w:rPr>
            <w:t xml:space="preserve">Dyslexia remains under-recognized among Arabic-speaking children. A brief eye-tracking pre-screen was evaluated in 69 children aged 8–11 years (n = 36 with dyslexia; n = 33 typically developing). A </w:t>
          </w:r>
          <w:proofErr w:type="spellStart"/>
          <w:r w:rsidRPr="00767C12">
            <w:rPr>
              <w:rFonts w:ascii="Times New Roman" w:eastAsia="Times New Roman" w:hAnsi="Times New Roman" w:cs="Times New Roman"/>
              <w:b/>
              <w:bCs/>
              <w:sz w:val="18"/>
              <w:szCs w:val="18"/>
              <w:lang w:val="en-US" w:eastAsia="en-US"/>
            </w:rPr>
            <w:t>Tobii</w:t>
          </w:r>
          <w:proofErr w:type="spellEnd"/>
          <w:r w:rsidRPr="00767C12">
            <w:rPr>
              <w:rFonts w:ascii="Times New Roman" w:eastAsia="Times New Roman" w:hAnsi="Times New Roman" w:cs="Times New Roman"/>
              <w:b/>
              <w:bCs/>
              <w:sz w:val="18"/>
              <w:szCs w:val="18"/>
              <w:lang w:val="en-US" w:eastAsia="en-US"/>
            </w:rPr>
            <w:t xml:space="preserve"> Eye Tracker 5 was used while participants silently read a curriculum-aligned Arabic passage, and three a priori metrics were derived: fixation-time proportion (% of trial in fixation), word-level fixation count, and regression (</w:t>
          </w:r>
          <w:proofErr w:type="spellStart"/>
          <w:r w:rsidRPr="00767C12">
            <w:rPr>
              <w:rFonts w:ascii="Times New Roman" w:eastAsia="Times New Roman" w:hAnsi="Times New Roman" w:cs="Times New Roman"/>
              <w:b/>
              <w:bCs/>
              <w:sz w:val="18"/>
              <w:szCs w:val="18"/>
              <w:lang w:val="en-US" w:eastAsia="en-US"/>
            </w:rPr>
            <w:t>revisitation</w:t>
          </w:r>
          <w:proofErr w:type="spellEnd"/>
          <w:r w:rsidRPr="00767C12">
            <w:rPr>
              <w:rFonts w:ascii="Times New Roman" w:eastAsia="Times New Roman" w:hAnsi="Times New Roman" w:cs="Times New Roman"/>
              <w:b/>
              <w:bCs/>
              <w:sz w:val="18"/>
              <w:szCs w:val="18"/>
              <w:lang w:val="en-US" w:eastAsia="en-US"/>
            </w:rPr>
            <w:t>) count. Large between-group differences were observed (means ± SD; dyslexia vs. control): fixation % 72.5 ± 12.5 vs. 15.3 ± 9.5; fixation words 42.9 ± 19.9 vs. 8.2 ± 7.2; regressions 3.17 ± 2.85 vs. 0.82 ± 1.29 (all p &lt; .001; effect sizes were large to very large). As univariate screens, ROC area under the curve (AUC) was 1.000 for fixation %, 0.937 for fixation words, and 0.801 for regressions. The task is brief (~1–2 minutes of recording; ≤3 minutes of setup) and suitable as a pre-screen for schools/clinics (not a diagnostic assessment). Limitations include a single site, one text passage, one device model, and the restricted age range (8–11 years). Future work will conduct multi-site/external validation, establishing operational cut-offs tuned for practical sensitivity/specificity, thereby supporting equitable access to early literacy support (SDG 4: Quality Education).</w:t>
          </w:r>
        </w:sdtContent>
      </w:sdt>
    </w:p>
    <w:p w14:paraId="328EFEF2" w14:textId="77777777" w:rsidR="00EB1ECB" w:rsidRDefault="0066010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i/>
          <w:sz w:val="18"/>
          <w:szCs w:val="18"/>
        </w:rPr>
        <w:t>Index Terms</w:t>
      </w:r>
      <w:r>
        <w:rPr>
          <w:rFonts w:ascii="Times New Roman" w:eastAsia="Times New Roman" w:hAnsi="Times New Roman" w:cs="Times New Roman"/>
          <w:b/>
          <w:sz w:val="18"/>
          <w:szCs w:val="18"/>
        </w:rPr>
        <w:t>—Reading Dyslexia, Dyslexia, Regression, Fixation, Eye-Tracking, Revisitation.</w:t>
      </w:r>
    </w:p>
    <w:p w14:paraId="328EFEF3" w14:textId="77777777" w:rsidR="00EB1ECB" w:rsidRPr="007F61D7" w:rsidRDefault="0066010B" w:rsidP="002638B5">
      <w:pPr>
        <w:pStyle w:val="Heading1"/>
        <w:numPr>
          <w:ilvl w:val="0"/>
          <w:numId w:val="7"/>
        </w:numPr>
        <w:tabs>
          <w:tab w:val="left" w:pos="216"/>
        </w:tabs>
        <w:spacing w:before="160" w:line="240" w:lineRule="auto"/>
        <w:jc w:val="center"/>
        <w:rPr>
          <w:rFonts w:ascii="Times New Roman" w:eastAsia="Times New Roman" w:hAnsi="Times New Roman" w:cs="Times New Roman"/>
          <w:smallCaps/>
          <w:color w:val="auto"/>
          <w:kern w:val="28"/>
          <w:sz w:val="16"/>
          <w:szCs w:val="16"/>
          <w:lang w:val="en-US" w:eastAsia="en-US"/>
        </w:rPr>
      </w:pPr>
      <w:r w:rsidRPr="00395582">
        <w:rPr>
          <w:rFonts w:ascii="Times New Roman" w:eastAsia="SimSun" w:hAnsi="Times New Roman" w:cs="Times New Roman"/>
          <w:smallCaps/>
          <w:noProof/>
          <w:color w:val="auto"/>
          <w:sz w:val="20"/>
          <w:szCs w:val="20"/>
          <w:lang w:val="en-US" w:eastAsia="en-US"/>
        </w:rPr>
        <w:t>INTRODUCTION</w:t>
      </w:r>
    </w:p>
    <w:p w14:paraId="328EFEF4" w14:textId="77777777" w:rsidR="00EB1ECB" w:rsidRPr="00B63D6B" w:rsidRDefault="0066010B" w:rsidP="00B63D6B">
      <w:pPr>
        <w:pStyle w:val="BodyText"/>
      </w:pPr>
      <w:r w:rsidRPr="00B63D6B">
        <w:t xml:space="preserve">Reading without mistakes is essential for good social communication and long-term career success. People with dyslexia, on the other hand, often struggle to read effectively without additional support. Dyslexia is a neurodevelopmental disorder that makes it harder to recognize words accurately and/or quickly [1]. It is most frequently identified in early childhood and generally endures throughout the lifespan [2]. Profiles are often "spiky," meaning they have clear strengths in some areas and apparent weaknesses in others. Family members may also show similar patterns. Not all children with dyslexia exhibit identical characteristics; </w:t>
      </w:r>
      <w:r w:rsidRPr="00B63D6B">
        <w:lastRenderedPageBreak/>
        <w:t>strengths and challenges differ significantly among individuals [3]. Children with reading dyslexia may read slowly and develop slowly, have trouble blending phonemes, say words in unusual ways, add or leave out words, and often must reread the same material multiple times. They may also have difficulty recognizing familiar concepts in context, limited prosody, and prolonged fixation on individual text segments [3]. This aligns with findings on writing strategies in EMI/L2 contexts [4].</w:t>
      </w:r>
    </w:p>
    <w:p w14:paraId="328EFEF5" w14:textId="77777777" w:rsidR="00EB1ECB" w:rsidRPr="00B63D6B" w:rsidRDefault="0066010B" w:rsidP="00B63D6B">
      <w:pPr>
        <w:pStyle w:val="BodyText"/>
      </w:pPr>
      <w:r w:rsidRPr="00B63D6B">
        <w:t>The Yale Centre for Dyslexia and Creativity estimates that around 20% of children in school have dyslexia. This means that 80–90% of all people with learning problems have it, making it the most common neurocognitive learning disorder [5]. The Mayo Clinic emphasizes that dyslexia cannot be diagnosed with just one test; a comprehensive evaluation is necessary. Early identification is essential: children who receive targeted assistance in kindergarten or first grade frequently demonstrate significant improvement, enabling them to thrive throughout elementary and high school [6].</w:t>
      </w:r>
    </w:p>
    <w:p w14:paraId="328EFEF6" w14:textId="77777777" w:rsidR="00EB1ECB" w:rsidRPr="00B63D6B" w:rsidRDefault="0066010B" w:rsidP="00B63D6B">
      <w:pPr>
        <w:pStyle w:val="BodyText"/>
      </w:pPr>
      <w:r w:rsidRPr="00B63D6B">
        <w:t xml:space="preserve">To address this need, a screening tool was developed that utilizes eye movements during reading to identify dyslexia in children. The eye movement patterns of children with dyslexia were </w:t>
      </w:r>
      <w:proofErr w:type="spellStart"/>
      <w:r w:rsidRPr="00B63D6B">
        <w:t>analysed</w:t>
      </w:r>
      <w:proofErr w:type="spellEnd"/>
      <w:r w:rsidRPr="00B63D6B">
        <w:t xml:space="preserve"> in comparison to age-matched, typically developing (TD) peers. At the same time, they read an Arabic passage from a Jordan Ministry of Education textbook. Our goal is to create a simple, fast, cost-effective, and accurate method for using eye tracking to diagnose dyslexia.</w:t>
      </w:r>
    </w:p>
    <w:p w14:paraId="328EFEF7" w14:textId="77777777" w:rsidR="00EB1ECB" w:rsidRPr="00B63D6B" w:rsidRDefault="0066010B" w:rsidP="00B63D6B">
      <w:pPr>
        <w:pStyle w:val="BodyText"/>
      </w:pPr>
      <w:r w:rsidRPr="00B63D6B">
        <w:t xml:space="preserve">Prior research supports this approach. One study suggested that eye tracking could serve as a pre-clinical marker for dyslexia, revealing that machine-learning models trained on eye-movement characteristics accurately distinguished between high-risk and low-risk readers (ages 9–10) with 96% accuracy. This provides an objective, nonverbal alternative to </w:t>
      </w:r>
      <w:r w:rsidRPr="00B63D6B">
        <w:lastRenderedPageBreak/>
        <w:t>conventional assessments, facilitating earlier intervention and support [1]. Related assistive and diagnostic work has leveraged eye-related signals, for example, eye-blink-based intelligent systems to detect clinically relevant states [7].</w:t>
      </w:r>
    </w:p>
    <w:p w14:paraId="328EFEF8" w14:textId="77777777" w:rsidR="00EB1ECB" w:rsidRPr="00B63D6B" w:rsidRDefault="0066010B" w:rsidP="00B63D6B">
      <w:pPr>
        <w:pStyle w:val="BodyText"/>
      </w:pPr>
      <w:r w:rsidRPr="00B63D6B">
        <w:t>A thorough systematic review indicates that dyslexia affects approximately 5% of children, manifesting as slow reading, spelling challenges, and a diminished comprehension of written material. Standardized tests of reading and spelling, a psychological evaluation, and reports from teachers and parents that agree with each other are all common parts of the diagnosis process. Comorbidities are prevalent: 40–60% of people with dyslexia also have anxiety, depression, or ADHD, which shows how important it is to take care of emotional health during treatment. Psychotherapy is often used to help people adjust emotionally while they work on their reading and spelling skills. Notably, prevention programs initiated in kindergarten and reinforced at home have demonstrated efficacy in enhancing pre-literacy skills before formal education begins. While evidence for treatments tailored to specific dyslexia subtypes is still scarce, early identification and appropriately directed support can yield significant advantages [8].</w:t>
      </w:r>
    </w:p>
    <w:p w14:paraId="328EFEF9" w14:textId="77777777" w:rsidR="00EB1ECB" w:rsidRPr="00B63D6B" w:rsidRDefault="0066010B" w:rsidP="00B63D6B">
      <w:pPr>
        <w:pStyle w:val="BodyText"/>
      </w:pPr>
      <w:r w:rsidRPr="00B63D6B">
        <w:t>A model-based meta-analysis assessed dyslexia prevalence by employing a simulation framework to calculate the average weighted correlation between listening and reading comprehension; findings indicated significant statistical accuracy, with p-values &lt; 0.001 [9].</w:t>
      </w:r>
    </w:p>
    <w:p w14:paraId="328EFEFA" w14:textId="52552597" w:rsidR="00EB1ECB" w:rsidRPr="00B63D6B" w:rsidRDefault="0066010B" w:rsidP="00B63D6B">
      <w:pPr>
        <w:pStyle w:val="BodyText"/>
      </w:pPr>
      <w:r w:rsidRPr="00B63D6B">
        <w:t>Moreover, studies utilizing eye-movement data have demonstrated potential for severity stratification. Employing velocity-threshold techniques to extract fixations and saccades from gaze points, an unsupervised K-means methodology classified readers into higher- and lower-severity categories</w:t>
      </w:r>
      <w:r w:rsidR="00A47242">
        <w:t>. Cluster validity assessments demonstrated significant differentiation,</w:t>
      </w:r>
      <w:r w:rsidRPr="00B63D6B">
        <w:t xml:space="preserve"> with p-values &lt; 0.01 [110].</w:t>
      </w:r>
    </w:p>
    <w:p w14:paraId="328EFEFB" w14:textId="77777777" w:rsidR="00EB1ECB" w:rsidRPr="00B63D6B" w:rsidRDefault="0066010B" w:rsidP="00B63D6B">
      <w:pPr>
        <w:pStyle w:val="BodyText"/>
      </w:pPr>
      <w:r w:rsidRPr="00B63D6B">
        <w:t>A study involving 45 participants utilized a two-stage protocol for the early identification of dyslexia. In the first stage, participants were evaluated on their academic performance, cognitive-linguistic skills, and phonological abilities; in the second stage, they undertook specific screening tasks. This method shows that it is possible to do multi-domain, collective screening for early detection [11].</w:t>
      </w:r>
    </w:p>
    <w:p w14:paraId="328EFEFC" w14:textId="77777777" w:rsidR="00EB1ECB" w:rsidRPr="00B63D6B" w:rsidRDefault="0066010B">
      <w:pPr>
        <w:spacing w:line="240" w:lineRule="auto"/>
        <w:jc w:val="both"/>
        <w:rPr>
          <w:rFonts w:ascii="Times New Roman" w:eastAsia="SimSun" w:hAnsi="Times New Roman" w:cs="Times New Roman"/>
          <w:spacing w:val="-1"/>
          <w:sz w:val="20"/>
          <w:szCs w:val="20"/>
          <w:lang w:val="x-none" w:eastAsia="x-none"/>
        </w:rPr>
      </w:pPr>
      <w:r w:rsidRPr="00B63D6B">
        <w:rPr>
          <w:rFonts w:ascii="Times New Roman" w:eastAsia="SimSun" w:hAnsi="Times New Roman" w:cs="Times New Roman"/>
          <w:spacing w:val="-1"/>
          <w:sz w:val="20"/>
          <w:szCs w:val="20"/>
          <w:lang w:val="x-none" w:eastAsia="x-none"/>
        </w:rPr>
        <w:t xml:space="preserve">A separate study with 73 adults used standardized reading passages, a chin rest to maintain head stability (with a viewing distance of 70 cm), and video-based eye tracking to obtain non-invasive gaze measures. Adults with dyslexia exhibited pronounced reading-speed deficiencies and distinctive oculomotor characteristics, characterized by prolonged fixation durations, abbreviated saccades, and an increased frequency of aberrant eye movements. These findings </w:t>
      </w:r>
      <w:r w:rsidRPr="00B63D6B">
        <w:rPr>
          <w:rFonts w:ascii="Times New Roman" w:eastAsia="SimSun" w:hAnsi="Times New Roman" w:cs="Times New Roman"/>
          <w:spacing w:val="-1"/>
          <w:sz w:val="20"/>
          <w:szCs w:val="20"/>
          <w:lang w:val="x-none" w:eastAsia="x-none"/>
        </w:rPr>
        <w:lastRenderedPageBreak/>
        <w:t>suggest that dyslexic readers employ a more demanding visual sampling strategy, and that atypical</w:t>
      </w:r>
      <w:r>
        <w:rPr>
          <w:rFonts w:ascii="Times New Roman" w:eastAsia="Times New Roman" w:hAnsi="Times New Roman" w:cs="Times New Roman"/>
          <w:sz w:val="20"/>
          <w:szCs w:val="20"/>
        </w:rPr>
        <w:t xml:space="preserve"> </w:t>
      </w:r>
      <w:r w:rsidRPr="00B63D6B">
        <w:rPr>
          <w:rFonts w:ascii="Times New Roman" w:eastAsia="SimSun" w:hAnsi="Times New Roman" w:cs="Times New Roman"/>
          <w:spacing w:val="-1"/>
          <w:sz w:val="20"/>
          <w:szCs w:val="20"/>
          <w:lang w:val="x-none" w:eastAsia="x-none"/>
        </w:rPr>
        <w:t>cognitive-linguistic and oculomotor processes often co-occur in dyslexia [12].</w:t>
      </w:r>
    </w:p>
    <w:p w14:paraId="328EFEFD" w14:textId="77777777" w:rsidR="00EB1ECB" w:rsidRPr="008E6F29" w:rsidRDefault="0066010B" w:rsidP="008E6F29">
      <w:pPr>
        <w:pStyle w:val="Heading1"/>
        <w:numPr>
          <w:ilvl w:val="0"/>
          <w:numId w:val="7"/>
        </w:numPr>
        <w:tabs>
          <w:tab w:val="left" w:pos="216"/>
        </w:tabs>
        <w:spacing w:before="160" w:line="240" w:lineRule="auto"/>
        <w:jc w:val="center"/>
        <w:rPr>
          <w:rFonts w:ascii="Times New Roman" w:eastAsia="SimSun" w:hAnsi="Times New Roman" w:cs="Times New Roman"/>
          <w:smallCaps/>
          <w:noProof/>
          <w:color w:val="auto"/>
          <w:sz w:val="20"/>
          <w:szCs w:val="20"/>
          <w:lang w:val="en-US" w:eastAsia="en-US"/>
        </w:rPr>
      </w:pPr>
      <w:r w:rsidRPr="00395582">
        <w:rPr>
          <w:rFonts w:ascii="Times New Roman" w:eastAsia="SimSun" w:hAnsi="Times New Roman" w:cs="Times New Roman"/>
          <w:smallCaps/>
          <w:noProof/>
          <w:color w:val="auto"/>
          <w:sz w:val="20"/>
          <w:szCs w:val="20"/>
          <w:lang w:val="en-US" w:eastAsia="en-US"/>
        </w:rPr>
        <w:t>Hypothesis</w:t>
      </w:r>
    </w:p>
    <w:p w14:paraId="328EFEFE" w14:textId="77777777" w:rsidR="00EB1ECB" w:rsidRPr="00F07979" w:rsidRDefault="0066010B" w:rsidP="00F07979">
      <w:pPr>
        <w:pStyle w:val="Heading2"/>
        <w:numPr>
          <w:ilvl w:val="0"/>
          <w:numId w:val="8"/>
        </w:numPr>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Main Hypothesis (H1)</w:t>
      </w:r>
    </w:p>
    <w:p w14:paraId="328EFEFF" w14:textId="77777777" w:rsidR="00EB1ECB" w:rsidRDefault="006601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Children with reading dyslexia will exhibit distinct eye movement patterns compared to their age-matched </w:t>
      </w:r>
      <w:proofErr w:type="spellStart"/>
      <w:r>
        <w:rPr>
          <w:rFonts w:ascii="Times New Roman" w:eastAsia="Times New Roman" w:hAnsi="Times New Roman" w:cs="Times New Roman"/>
          <w:sz w:val="20"/>
          <w:szCs w:val="20"/>
        </w:rPr>
        <w:t>neurotypical</w:t>
      </w:r>
      <w:proofErr w:type="spellEnd"/>
      <w:r>
        <w:rPr>
          <w:rFonts w:ascii="Times New Roman" w:eastAsia="Times New Roman" w:hAnsi="Times New Roman" w:cs="Times New Roman"/>
          <w:sz w:val="20"/>
          <w:szCs w:val="20"/>
        </w:rPr>
        <w:t xml:space="preserve"> counterparts when reading an Arabic text passage. The dyslexia group will exhibit:</w:t>
      </w:r>
    </w:p>
    <w:p w14:paraId="328EFF00" w14:textId="77777777" w:rsidR="00EB1ECB" w:rsidRDefault="0066010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higher fixation load means more fixations and/or a longer mean fixation duration.</w:t>
      </w:r>
    </w:p>
    <w:p w14:paraId="328EFF01" w14:textId="77777777" w:rsidR="00EB1ECB" w:rsidRDefault="0066010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More revisiting (more backward saccades and regressions, as well as re-reading words or lines that were seen before),</w:t>
      </w:r>
    </w:p>
    <w:p w14:paraId="328EFF02" w14:textId="77777777" w:rsidR="00EB1ECB" w:rsidRDefault="0066010B">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Longer processing time means longer total dwell time and longer reading time per word or line.</w:t>
      </w:r>
    </w:p>
    <w:p w14:paraId="328EFF03" w14:textId="77777777" w:rsidR="00EB1ECB" w:rsidRPr="00F07979" w:rsidRDefault="0066010B" w:rsidP="00F07979">
      <w:pPr>
        <w:pStyle w:val="Heading2"/>
        <w:numPr>
          <w:ilvl w:val="0"/>
          <w:numId w:val="8"/>
        </w:numPr>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Null Hypothesis (H0)</w:t>
      </w:r>
    </w:p>
    <w:p w14:paraId="328EFF04" w14:textId="77777777" w:rsidR="00EB1ECB" w:rsidRDefault="006601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are no disparities among groups in fixation load, </w:t>
      </w:r>
      <w:proofErr w:type="spellStart"/>
      <w:r>
        <w:rPr>
          <w:rFonts w:ascii="Times New Roman" w:eastAsia="Times New Roman" w:hAnsi="Times New Roman" w:cs="Times New Roman"/>
          <w:sz w:val="20"/>
          <w:szCs w:val="20"/>
        </w:rPr>
        <w:t>revisitation</w:t>
      </w:r>
      <w:proofErr w:type="spellEnd"/>
      <w:r>
        <w:rPr>
          <w:rFonts w:ascii="Times New Roman" w:eastAsia="Times New Roman" w:hAnsi="Times New Roman" w:cs="Times New Roman"/>
          <w:sz w:val="20"/>
          <w:szCs w:val="20"/>
        </w:rPr>
        <w:t>, or processing time while reading Arabic text.</w:t>
      </w:r>
    </w:p>
    <w:p w14:paraId="328EFF05" w14:textId="77777777" w:rsidR="00EB1ECB" w:rsidRPr="00F07979" w:rsidRDefault="0066010B" w:rsidP="00F07979">
      <w:pPr>
        <w:pStyle w:val="Heading2"/>
        <w:numPr>
          <w:ilvl w:val="0"/>
          <w:numId w:val="8"/>
        </w:numPr>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Secondary/Exploratory Hypotheses</w:t>
      </w:r>
    </w:p>
    <w:p w14:paraId="328EFF06" w14:textId="77777777" w:rsidR="00EB1ECB" w:rsidRDefault="0066010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sidRPr="00F07979">
        <w:rPr>
          <w:rFonts w:ascii="Times New Roman" w:eastAsia="SimSun" w:hAnsi="Times New Roman" w:cs="Times New Roman"/>
          <w:i/>
          <w:iCs/>
          <w:noProof/>
          <w:sz w:val="20"/>
          <w:szCs w:val="20"/>
          <w:lang w:val="en-US" w:eastAsia="en-US"/>
        </w:rPr>
        <w:t>D</w:t>
      </w:r>
      <w:proofErr w:type="spellStart"/>
      <w:r>
        <w:rPr>
          <w:rFonts w:ascii="Times New Roman" w:eastAsia="Times New Roman" w:hAnsi="Times New Roman" w:cs="Times New Roman"/>
          <w:color w:val="000000"/>
          <w:sz w:val="20"/>
          <w:szCs w:val="20"/>
        </w:rPr>
        <w:t>iscriminative</w:t>
      </w:r>
      <w:proofErr w:type="spellEnd"/>
      <w:r>
        <w:rPr>
          <w:rFonts w:ascii="Times New Roman" w:eastAsia="Times New Roman" w:hAnsi="Times New Roman" w:cs="Times New Roman"/>
          <w:color w:val="000000"/>
          <w:sz w:val="20"/>
          <w:szCs w:val="20"/>
        </w:rPr>
        <w:t xml:space="preserve"> efficacy</w:t>
      </w:r>
    </w:p>
    <w:p w14:paraId="328EFF07" w14:textId="77777777" w:rsidR="00EB1ECB" w:rsidRPr="00A47242" w:rsidRDefault="00BB0CB1" w:rsidP="00A47242">
      <w:pPr>
        <w:pStyle w:val="BodyText"/>
      </w:pPr>
      <w:sdt>
        <w:sdtPr>
          <w:tag w:val="goog_rdk_1"/>
          <w:id w:val="665121184"/>
        </w:sdtPr>
        <w:sdtEndPr/>
        <w:sdtContent>
          <w:r w:rsidR="0066010B" w:rsidRPr="00A47242">
            <w:t xml:space="preserve"> A multivariate model that combines fixation, </w:t>
          </w:r>
          <w:proofErr w:type="spellStart"/>
          <w:r w:rsidR="0066010B" w:rsidRPr="00A47242">
            <w:t>revisitation</w:t>
          </w:r>
          <w:proofErr w:type="spellEnd"/>
          <w:r w:rsidR="0066010B" w:rsidRPr="00A47242">
            <w:t xml:space="preserve">, and processing-time metrics will be able to distinguish between dyslexic and </w:t>
          </w:r>
          <w:proofErr w:type="spellStart"/>
          <w:r w:rsidR="0066010B" w:rsidRPr="00A47242">
            <w:t>neurotypical</w:t>
          </w:r>
          <w:proofErr w:type="spellEnd"/>
          <w:r w:rsidR="0066010B" w:rsidRPr="00A47242">
            <w:t xml:space="preserve"> readers with clinically useful accuracy (e.g., ROC AUC ≥ 0.85), which will be beneficial for screening purposes.</w:t>
          </w:r>
        </w:sdtContent>
      </w:sdt>
    </w:p>
    <w:p w14:paraId="328EFF08" w14:textId="77777777" w:rsidR="00EB1ECB" w:rsidRDefault="0066010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Efficiency and feasibility</w:t>
      </w:r>
    </w:p>
    <w:p w14:paraId="328EFF09" w14:textId="0467A40A" w:rsidR="00EB1ECB" w:rsidRDefault="006601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suggested screening protocol will be cheap, quick (less than 5 minutes of active recording), and easy to use (with little calibration and no invasive setup), making it suitable for schools and clinics.</w:t>
      </w:r>
    </w:p>
    <w:p w14:paraId="328EFF0A" w14:textId="77777777" w:rsidR="00EB1ECB" w:rsidRDefault="0066010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Robustness at the text level</w:t>
      </w:r>
    </w:p>
    <w:p w14:paraId="328EFF0B" w14:textId="77777777" w:rsidR="00EB1ECB" w:rsidRDefault="006601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effects will be evident in a curriculum-aligned Arabic passage (Jordan Ministry text), demonstrating ecological validity in authentic reading materials.</w:t>
      </w:r>
    </w:p>
    <w:p w14:paraId="328EFF0C" w14:textId="77777777" w:rsidR="00EB1ECB" w:rsidRDefault="0066010B">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Metric contributions</w:t>
      </w:r>
    </w:p>
    <w:p w14:paraId="328EFF0D" w14:textId="77777777" w:rsidR="00EB1ECB" w:rsidRDefault="006601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Revisitation/regression rate and processing time per word will add the most unique variance to group classification beyond basic fixation counts.</w:t>
      </w:r>
    </w:p>
    <w:p w14:paraId="328EFF0E" w14:textId="77777777" w:rsidR="00EB1ECB" w:rsidRPr="002A47F2" w:rsidRDefault="0066010B" w:rsidP="002A47F2">
      <w:pPr>
        <w:pStyle w:val="Heading2"/>
        <w:numPr>
          <w:ilvl w:val="0"/>
          <w:numId w:val="8"/>
        </w:numPr>
        <w:spacing w:before="120" w:after="60" w:line="240" w:lineRule="auto"/>
        <w:rPr>
          <w:rFonts w:ascii="Times New Roman" w:eastAsia="SimSun" w:hAnsi="Times New Roman" w:cs="Times New Roman"/>
          <w:i/>
          <w:iCs/>
          <w:noProof/>
          <w:color w:val="auto"/>
          <w:sz w:val="20"/>
          <w:szCs w:val="20"/>
          <w:lang w:val="en-US" w:eastAsia="en-US"/>
        </w:rPr>
      </w:pPr>
      <w:r w:rsidRPr="002A47F2">
        <w:rPr>
          <w:rFonts w:ascii="Times New Roman" w:eastAsia="SimSun" w:hAnsi="Times New Roman" w:cs="Times New Roman"/>
          <w:i/>
          <w:iCs/>
          <w:noProof/>
          <w:color w:val="auto"/>
          <w:sz w:val="20"/>
          <w:szCs w:val="20"/>
          <w:lang w:val="en-US" w:eastAsia="en-US"/>
        </w:rPr>
        <w:lastRenderedPageBreak/>
        <w:t>Operational Definitions &amp; Outcomes</w:t>
      </w:r>
    </w:p>
    <w:p w14:paraId="328EFF0F" w14:textId="77777777" w:rsidR="00EB1ECB" w:rsidRDefault="006601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Fixation load: the number of fixations and the average length of time each fixation lasts while reading a passage.</w:t>
      </w:r>
    </w:p>
    <w:p w14:paraId="328EFF10" w14:textId="77777777" w:rsidR="00EB1ECB" w:rsidRDefault="006601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Revisitation: the number or rate of regressions (backward saccades) and the percentage of words or lines that were reread.</w:t>
      </w:r>
    </w:p>
    <w:p w14:paraId="328EFF11" w14:textId="77777777" w:rsidR="00EB1ECB" w:rsidRDefault="006601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Processing time: the total amount of time spent on the passage and the average amount of time spent on each word or line.</w:t>
      </w:r>
    </w:p>
    <w:p w14:paraId="328EFF12" w14:textId="77777777" w:rsidR="00EB1ECB" w:rsidRDefault="006601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main result is the differences between the three metric families (multivariate and univariate tests) between the groups.</w:t>
      </w:r>
    </w:p>
    <w:p w14:paraId="328EFF13" w14:textId="77777777" w:rsidR="00EB1ECB" w:rsidRDefault="0066010B">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Secondary outcome: the accuracy of the screening (ROC AUC, sensitivity, specificity, PPV/NPV) from a classifier that uses the metrics.</w:t>
      </w:r>
    </w:p>
    <w:p w14:paraId="328EFF14" w14:textId="77777777" w:rsidR="00EB1ECB" w:rsidRPr="002A47F2" w:rsidRDefault="0066010B" w:rsidP="002A47F2">
      <w:pPr>
        <w:pStyle w:val="Heading2"/>
        <w:numPr>
          <w:ilvl w:val="0"/>
          <w:numId w:val="8"/>
        </w:numPr>
        <w:spacing w:before="120" w:after="60" w:line="240" w:lineRule="auto"/>
        <w:rPr>
          <w:rFonts w:ascii="Times New Roman" w:eastAsia="SimSun" w:hAnsi="Times New Roman" w:cs="Times New Roman"/>
          <w:i/>
          <w:iCs/>
          <w:noProof/>
          <w:color w:val="auto"/>
          <w:sz w:val="20"/>
          <w:szCs w:val="20"/>
          <w:lang w:val="en-US" w:eastAsia="en-US"/>
        </w:rPr>
      </w:pPr>
      <w:r w:rsidRPr="002A47F2">
        <w:rPr>
          <w:rFonts w:ascii="Times New Roman" w:eastAsia="SimSun" w:hAnsi="Times New Roman" w:cs="Times New Roman"/>
          <w:i/>
          <w:iCs/>
          <w:noProof/>
          <w:color w:val="auto"/>
          <w:sz w:val="20"/>
          <w:szCs w:val="20"/>
          <w:lang w:val="en-US" w:eastAsia="en-US"/>
        </w:rPr>
        <w:t>Evaluation Criteria</w:t>
      </w:r>
    </w:p>
    <w:p w14:paraId="328EFF15" w14:textId="77777777" w:rsidR="00EB1ECB" w:rsidRDefault="0066010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Statistical tests: comparisons between groups with the proper adjustments; effect sizes reported.</w:t>
      </w:r>
    </w:p>
    <w:p w14:paraId="328EFF16" w14:textId="77777777" w:rsidR="00EB1ECB" w:rsidRDefault="0066010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Modeling: cross-validated classification to predict how well it will work on new data. Such hybrid / heterogeneous feature approaches are well documented [13</w:t>
      </w:r>
      <w:proofErr w:type="gramStart"/>
      <w:r>
        <w:rPr>
          <w:rFonts w:ascii="Times New Roman" w:eastAsia="Times New Roman" w:hAnsi="Times New Roman" w:cs="Times New Roman"/>
          <w:color w:val="000000"/>
          <w:sz w:val="20"/>
          <w:szCs w:val="20"/>
        </w:rPr>
        <w:t>].This</w:t>
      </w:r>
      <w:proofErr w:type="gramEnd"/>
      <w:r>
        <w:rPr>
          <w:rFonts w:ascii="Times New Roman" w:eastAsia="Times New Roman" w:hAnsi="Times New Roman" w:cs="Times New Roman"/>
          <w:color w:val="000000"/>
          <w:sz w:val="20"/>
          <w:szCs w:val="20"/>
        </w:rPr>
        <w:t xml:space="preserve"> pipeline is consistent with hybrid-learning diagnostic frameworks that integrate heterogeneous features within </w:t>
      </w:r>
      <w:proofErr w:type="spellStart"/>
      <w:r>
        <w:rPr>
          <w:rFonts w:ascii="Times New Roman" w:eastAsia="Times New Roman" w:hAnsi="Times New Roman" w:cs="Times New Roman"/>
          <w:color w:val="000000"/>
          <w:sz w:val="20"/>
          <w:szCs w:val="20"/>
        </w:rPr>
        <w:t>IoMT</w:t>
      </w:r>
      <w:proofErr w:type="spellEnd"/>
      <w:r>
        <w:rPr>
          <w:rFonts w:ascii="Times New Roman" w:eastAsia="Times New Roman" w:hAnsi="Times New Roman" w:cs="Times New Roman"/>
          <w:color w:val="000000"/>
          <w:sz w:val="20"/>
          <w:szCs w:val="20"/>
        </w:rPr>
        <w:t xml:space="preserve"> settings for medical decision-making [14].</w:t>
      </w:r>
    </w:p>
    <w:p w14:paraId="328EFF17" w14:textId="77777777" w:rsidR="00EB1ECB" w:rsidRDefault="0066010B">
      <w:pPr>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Feasibility: setup time, recording length, and cost per child are all documented to demonstrate that it is affordable, quick, and valuable.</w:t>
      </w:r>
    </w:p>
    <w:p w14:paraId="328EFF18" w14:textId="77777777" w:rsidR="00EB1ECB" w:rsidRDefault="006601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formulation makes the hypotheses testable, connects them to real eye-tracking measures, and ensures they align with the study's goal of creating a quick, accurate, and cost-effective screening tool.</w:t>
      </w:r>
    </w:p>
    <w:p w14:paraId="328EFF19" w14:textId="77777777" w:rsidR="00EB1ECB" w:rsidRPr="00395582" w:rsidRDefault="0066010B" w:rsidP="002638B5">
      <w:pPr>
        <w:pStyle w:val="Heading1"/>
        <w:numPr>
          <w:ilvl w:val="0"/>
          <w:numId w:val="7"/>
        </w:numPr>
        <w:tabs>
          <w:tab w:val="left" w:pos="216"/>
        </w:tabs>
        <w:spacing w:before="160" w:line="240" w:lineRule="auto"/>
        <w:jc w:val="center"/>
        <w:rPr>
          <w:rFonts w:ascii="Times New Roman" w:eastAsia="SimSun" w:hAnsi="Times New Roman" w:cs="Times New Roman"/>
          <w:smallCaps/>
          <w:noProof/>
          <w:color w:val="auto"/>
          <w:sz w:val="20"/>
          <w:szCs w:val="20"/>
          <w:lang w:val="en-US" w:eastAsia="en-US"/>
        </w:rPr>
      </w:pPr>
      <w:r w:rsidRPr="00395582">
        <w:rPr>
          <w:rFonts w:ascii="Times New Roman" w:eastAsia="SimSun" w:hAnsi="Times New Roman" w:cs="Times New Roman"/>
          <w:smallCaps/>
          <w:noProof/>
          <w:color w:val="auto"/>
          <w:sz w:val="20"/>
          <w:szCs w:val="20"/>
          <w:lang w:val="en-US" w:eastAsia="en-US"/>
        </w:rPr>
        <w:t>METHODS</w:t>
      </w:r>
    </w:p>
    <w:p w14:paraId="328EFF1A" w14:textId="77777777" w:rsidR="00EB1ECB" w:rsidRPr="00F07979" w:rsidRDefault="0066010B" w:rsidP="002A47F2">
      <w:pPr>
        <w:pStyle w:val="Heading2"/>
        <w:numPr>
          <w:ilvl w:val="0"/>
          <w:numId w:val="10"/>
        </w:numPr>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Participants</w:t>
      </w:r>
    </w:p>
    <w:p w14:paraId="328EFF1B" w14:textId="18CC5659" w:rsidR="00EB1ECB" w:rsidRPr="006D7F88" w:rsidRDefault="0066010B" w:rsidP="006D7F88">
      <w:pPr>
        <w:pStyle w:val="BodyText"/>
      </w:pPr>
      <w:r w:rsidRPr="006D7F88">
        <w:t xml:space="preserve">Children aged 8–11 years were recruited from local schools. For the dyslexia group, an existing diagnosis had been established </w:t>
      </w:r>
      <w:r w:rsidR="006D7F88">
        <w:t>before enrollment and verified by qualified personnel using school or clinical records</w:t>
      </w:r>
      <w:r w:rsidRPr="006D7F88">
        <w:t>. Where applicable, comparison participants were recruited from the same schools and year groups.</w:t>
      </w:r>
    </w:p>
    <w:p w14:paraId="328EFF1C" w14:textId="77777777" w:rsidR="00EB1ECB" w:rsidRPr="006D7F88" w:rsidRDefault="0066010B" w:rsidP="006D7F88">
      <w:pPr>
        <w:pStyle w:val="BodyText"/>
      </w:pPr>
      <w:r w:rsidRPr="006D7F88">
        <w:t xml:space="preserve">All procedures were conducted in accordance with relevant regulations and institutional guidelines. Confidentiality was maintained to the extent permitted by law: each participant was assigned a unique study </w:t>
      </w:r>
      <w:r w:rsidRPr="006D7F88">
        <w:lastRenderedPageBreak/>
        <w:t xml:space="preserve">ID, and data were stored and analyzed in de-identified form. No personally identifying information will be disclosed without written consent, and any publications or conference presentations will not contain information that could reveal participant identities. </w:t>
      </w:r>
    </w:p>
    <w:p w14:paraId="328EFF1E" w14:textId="77777777" w:rsidR="00EB1ECB" w:rsidRPr="00F07979" w:rsidRDefault="0066010B" w:rsidP="002A47F2">
      <w:pPr>
        <w:pStyle w:val="Heading2"/>
        <w:numPr>
          <w:ilvl w:val="0"/>
          <w:numId w:val="10"/>
        </w:numPr>
        <w:tabs>
          <w:tab w:val="num" w:pos="288"/>
        </w:tabs>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Materials</w:t>
      </w:r>
    </w:p>
    <w:p w14:paraId="328EFF1F" w14:textId="77777777" w:rsidR="00EB1ECB" w:rsidRPr="006D7F88" w:rsidRDefault="0066010B" w:rsidP="006D7F88">
      <w:pPr>
        <w:pStyle w:val="BodyText"/>
      </w:pPr>
      <w:r w:rsidRPr="006D7F88">
        <w:t xml:space="preserve">Apparatus. A </w:t>
      </w:r>
      <w:proofErr w:type="spellStart"/>
      <w:r w:rsidRPr="006D7F88">
        <w:t>Tobii</w:t>
      </w:r>
      <w:proofErr w:type="spellEnd"/>
      <w:r w:rsidRPr="006D7F88">
        <w:t xml:space="preserve"> Eye Tracker 5 was used for gaze recording and interfaced with the </w:t>
      </w:r>
      <w:proofErr w:type="spellStart"/>
      <w:r w:rsidRPr="006D7F88">
        <w:t>Tobii</w:t>
      </w:r>
      <w:proofErr w:type="spellEnd"/>
      <w:r w:rsidRPr="006D7F88">
        <w:t xml:space="preserve"> Experience application for device setup and calibration. For cursor control during setup, the </w:t>
      </w:r>
      <w:proofErr w:type="spellStart"/>
      <w:r w:rsidRPr="006D7F88">
        <w:t>OptiKey</w:t>
      </w:r>
      <w:proofErr w:type="spellEnd"/>
      <w:r w:rsidRPr="006D7F88">
        <w:t xml:space="preserve"> mouse application was available as needed. Stimuli were presented on a laptop computer.</w:t>
      </w:r>
    </w:p>
    <w:p w14:paraId="328EFF20" w14:textId="77777777" w:rsidR="00EB1ECB" w:rsidRPr="006D7F88" w:rsidRDefault="0066010B" w:rsidP="006D7F88">
      <w:pPr>
        <w:pStyle w:val="BodyText"/>
      </w:pPr>
      <w:r w:rsidRPr="006D7F88">
        <w:t>Stimuli. The reading stimulus consisted of a short Arabic text displayed full-screen on the laptop.</w:t>
      </w:r>
    </w:p>
    <w:p w14:paraId="328EFF21" w14:textId="77777777" w:rsidR="00EB1ECB" w:rsidRPr="006D7F88" w:rsidRDefault="0066010B" w:rsidP="006D7F88">
      <w:pPr>
        <w:pStyle w:val="BodyText"/>
      </w:pPr>
      <w:r w:rsidRPr="006D7F88">
        <w:t>Software and data acquisition. A custom Python script communicated with the eye tracker to record gaze data and log trial events. The script saved time-stamped samples and derived measures for subsequent analysis.</w:t>
      </w:r>
    </w:p>
    <w:p w14:paraId="328EFF22" w14:textId="77777777" w:rsidR="00EB1ECB" w:rsidRPr="00F07979" w:rsidRDefault="0066010B" w:rsidP="002A47F2">
      <w:pPr>
        <w:pStyle w:val="Heading2"/>
        <w:numPr>
          <w:ilvl w:val="0"/>
          <w:numId w:val="10"/>
        </w:numPr>
        <w:tabs>
          <w:tab w:val="num" w:pos="288"/>
        </w:tabs>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 xml:space="preserve"> Procedure</w:t>
      </w:r>
    </w:p>
    <w:p w14:paraId="328EFF23" w14:textId="77777777" w:rsidR="00EB1ECB" w:rsidRPr="006D7F88" w:rsidRDefault="0066010B" w:rsidP="006D7F88">
      <w:pPr>
        <w:pStyle w:val="BodyText"/>
      </w:pPr>
      <w:r w:rsidRPr="006D7F88">
        <w:t xml:space="preserve">The participants were seated approximately 50 cm from the laptop screen to ensure maximum accuracy. The eye tracker was calibrated using the point procedure for each participant before data collection. Everyone (Dyslexic and </w:t>
      </w:r>
      <w:proofErr w:type="spellStart"/>
      <w:r w:rsidRPr="006D7F88">
        <w:t>Neurotypical</w:t>
      </w:r>
      <w:proofErr w:type="spellEnd"/>
      <w:r w:rsidRPr="006D7F88">
        <w:t xml:space="preserve">) was seated in a quiet room with no distractions. They were instructed to read the text on the screen. As the test was run, the </w:t>
      </w:r>
      <w:proofErr w:type="spellStart"/>
      <w:r w:rsidRPr="006D7F88">
        <w:t>Tobii</w:t>
      </w:r>
      <w:proofErr w:type="spellEnd"/>
      <w:r w:rsidRPr="006D7F88">
        <w:t xml:space="preserve"> eye tracker recorded the participant’s eye movement while reading the text, and these were automatically saved. A series of statistical analyses was conducted on the data, revealing multiple metrics that distinguished dyslexic children. </w:t>
      </w:r>
    </w:p>
    <w:p w14:paraId="328EFF24" w14:textId="77777777" w:rsidR="00EB1ECB" w:rsidRPr="00F07979" w:rsidRDefault="0066010B" w:rsidP="002A47F2">
      <w:pPr>
        <w:pStyle w:val="Heading2"/>
        <w:numPr>
          <w:ilvl w:val="0"/>
          <w:numId w:val="10"/>
        </w:numPr>
        <w:tabs>
          <w:tab w:val="num" w:pos="288"/>
        </w:tabs>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 xml:space="preserve"> Data Analysis</w:t>
      </w:r>
    </w:p>
    <w:p w14:paraId="328EFF25" w14:textId="77777777" w:rsidR="00EB1ECB" w:rsidRPr="006D7F88" w:rsidRDefault="0066010B" w:rsidP="006D7F88">
      <w:pPr>
        <w:pStyle w:val="BodyText"/>
      </w:pPr>
      <w:r w:rsidRPr="006D7F88">
        <w:t>All analyses were conducted in IBM SPSS Statistics. For each metric—fixation-time percentage, word-level fixation count, and regression (</w:t>
      </w:r>
      <w:proofErr w:type="spellStart"/>
      <w:r w:rsidRPr="006D7F88">
        <w:t>revisitation</w:t>
      </w:r>
      <w:proofErr w:type="spellEnd"/>
      <w:r w:rsidRPr="006D7F88">
        <w:t>) count—descriptive statistics (mean, standard deviation) and 95% confidence intervals of the mean were computed.</w:t>
      </w:r>
    </w:p>
    <w:p w14:paraId="328EFF26" w14:textId="77777777" w:rsidR="00EB1ECB" w:rsidRPr="006D7F88" w:rsidRDefault="0066010B" w:rsidP="006D7F88">
      <w:pPr>
        <w:pStyle w:val="BodyText"/>
      </w:pPr>
      <w:r w:rsidRPr="006D7F88">
        <w:t>Group differences (dyslexia vs. control) were evaluated using independent-samples (two-tailed) t-tests. Where assumptions of homogeneity of variance were not met, Welch’s correction was applied. Statistical significance was set at α = 0.05.</w:t>
      </w:r>
    </w:p>
    <w:p w14:paraId="328EFF27" w14:textId="74F6188F" w:rsidR="00EB1ECB" w:rsidRPr="006D7F88" w:rsidRDefault="0066010B" w:rsidP="006D7F88">
      <w:pPr>
        <w:pStyle w:val="BodyText"/>
      </w:pPr>
      <w:r w:rsidRPr="006D7F88">
        <w:t>To assess discriminative performance, receiver operating characteristic (ROC) curves were generated for each metric</w:t>
      </w:r>
      <w:r w:rsidR="006D7F88">
        <w:t>,</w:t>
      </w:r>
      <w:r w:rsidRPr="006D7F88">
        <w:t xml:space="preserve"> and the area under the curve (AUC) was reported as a summary index of classification accuracy. Where relevant, sensitivity and specificity at an operating point (e.g., </w:t>
      </w:r>
      <w:proofErr w:type="spellStart"/>
      <w:r w:rsidRPr="006D7F88">
        <w:t>Youden’s</w:t>
      </w:r>
      <w:proofErr w:type="spellEnd"/>
      <w:r w:rsidRPr="006D7F88">
        <w:t xml:space="preserve"> J) were noted.</w:t>
      </w:r>
    </w:p>
    <w:p w14:paraId="328EFF28" w14:textId="77777777" w:rsidR="00EB1ECB" w:rsidRDefault="00EB1ECB">
      <w:pPr>
        <w:spacing w:line="240" w:lineRule="auto"/>
        <w:jc w:val="both"/>
        <w:rPr>
          <w:rFonts w:ascii="Times New Roman" w:eastAsia="Times New Roman" w:hAnsi="Times New Roman" w:cs="Times New Roman"/>
          <w:i/>
          <w:sz w:val="20"/>
          <w:szCs w:val="20"/>
        </w:rPr>
      </w:pPr>
    </w:p>
    <w:p w14:paraId="328EFF29" w14:textId="77777777" w:rsidR="00EB1ECB" w:rsidRDefault="00EB1ECB">
      <w:pPr>
        <w:spacing w:line="240" w:lineRule="auto"/>
        <w:jc w:val="both"/>
        <w:rPr>
          <w:rFonts w:ascii="Times New Roman" w:eastAsia="Times New Roman" w:hAnsi="Times New Roman" w:cs="Times New Roman"/>
          <w:i/>
          <w:sz w:val="20"/>
          <w:szCs w:val="20"/>
        </w:rPr>
      </w:pPr>
    </w:p>
    <w:p w14:paraId="328EFF2A" w14:textId="77777777" w:rsidR="00EB1ECB" w:rsidRDefault="00EB1ECB">
      <w:pPr>
        <w:spacing w:line="240" w:lineRule="auto"/>
        <w:jc w:val="both"/>
        <w:rPr>
          <w:rFonts w:ascii="Times New Roman" w:eastAsia="Times New Roman" w:hAnsi="Times New Roman" w:cs="Times New Roman"/>
          <w:i/>
          <w:sz w:val="20"/>
          <w:szCs w:val="20"/>
        </w:rPr>
        <w:sectPr w:rsidR="00EB1ECB">
          <w:type w:val="continuous"/>
          <w:pgSz w:w="12240" w:h="15840"/>
          <w:pgMar w:top="1440" w:right="1440" w:bottom="1440" w:left="1440" w:header="720" w:footer="720" w:gutter="0"/>
          <w:cols w:num="2" w:space="720" w:equalWidth="0">
            <w:col w:w="4320" w:space="720"/>
            <w:col w:w="4320" w:space="0"/>
          </w:cols>
        </w:sectPr>
      </w:pPr>
    </w:p>
    <w:p w14:paraId="328EFF2B" w14:textId="77777777" w:rsidR="00EB1ECB" w:rsidRDefault="0066010B">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 xml:space="preserve">Table 1. Statistical Overview for Dyslexic and </w:t>
      </w:r>
      <w:proofErr w:type="spellStart"/>
      <w:r>
        <w:rPr>
          <w:rFonts w:ascii="Times New Roman" w:eastAsia="Times New Roman" w:hAnsi="Times New Roman" w:cs="Times New Roman"/>
          <w:i/>
          <w:sz w:val="20"/>
          <w:szCs w:val="20"/>
        </w:rPr>
        <w:t>Neurotypical</w:t>
      </w:r>
      <w:proofErr w:type="spellEnd"/>
      <w:r>
        <w:rPr>
          <w:rFonts w:ascii="Times New Roman" w:eastAsia="Times New Roman" w:hAnsi="Times New Roman" w:cs="Times New Roman"/>
          <w:i/>
          <w:sz w:val="20"/>
          <w:szCs w:val="20"/>
        </w:rPr>
        <w:t xml:space="preserve"> Participants.</w:t>
      </w:r>
    </w:p>
    <w:tbl>
      <w:tblPr>
        <w:tblStyle w:val="a"/>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3"/>
        <w:gridCol w:w="1037"/>
        <w:gridCol w:w="489"/>
        <w:gridCol w:w="884"/>
        <w:gridCol w:w="1142"/>
        <w:gridCol w:w="1170"/>
        <w:gridCol w:w="1224"/>
        <w:gridCol w:w="1142"/>
      </w:tblGrid>
      <w:tr w:rsidR="00EB1ECB" w14:paraId="328EFF34" w14:textId="77777777" w:rsidTr="00342A1B">
        <w:tc>
          <w:tcPr>
            <w:tcW w:w="1843" w:type="dxa"/>
          </w:tcPr>
          <w:p w14:paraId="328EFF2C" w14:textId="77777777" w:rsidR="00EB1ECB" w:rsidRDefault="0066010B">
            <w:pPr>
              <w:jc w:val="center"/>
              <w:rPr>
                <w:rFonts w:ascii="Times New Roman" w:eastAsia="Times New Roman" w:hAnsi="Times New Roman" w:cs="Times New Roman"/>
                <w:b/>
                <w:sz w:val="20"/>
                <w:szCs w:val="20"/>
              </w:rPr>
            </w:pPr>
            <w:bookmarkStart w:id="2" w:name="_heading=h.n0ncsf3ph1vk" w:colFirst="0" w:colLast="0"/>
            <w:bookmarkEnd w:id="2"/>
            <w:r>
              <w:rPr>
                <w:rFonts w:ascii="Times New Roman" w:eastAsia="Times New Roman" w:hAnsi="Times New Roman" w:cs="Times New Roman"/>
                <w:b/>
                <w:sz w:val="20"/>
                <w:szCs w:val="20"/>
              </w:rPr>
              <w:t>Measure</w:t>
            </w:r>
          </w:p>
        </w:tc>
        <w:tc>
          <w:tcPr>
            <w:tcW w:w="1037" w:type="dxa"/>
          </w:tcPr>
          <w:p w14:paraId="328EFF2D" w14:textId="77777777" w:rsidR="00EB1ECB" w:rsidRDefault="0066010B">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dyslexic.or.not</w:t>
            </w:r>
            <w:proofErr w:type="spellEnd"/>
          </w:p>
        </w:tc>
        <w:tc>
          <w:tcPr>
            <w:tcW w:w="489" w:type="dxa"/>
          </w:tcPr>
          <w:p w14:paraId="328EFF2E"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w:t>
            </w:r>
          </w:p>
        </w:tc>
        <w:tc>
          <w:tcPr>
            <w:tcW w:w="884" w:type="dxa"/>
          </w:tcPr>
          <w:p w14:paraId="328EFF2F"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w:t>
            </w:r>
          </w:p>
        </w:tc>
        <w:tc>
          <w:tcPr>
            <w:tcW w:w="1142" w:type="dxa"/>
          </w:tcPr>
          <w:p w14:paraId="328EFF30"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Std. Deviation</w:t>
            </w:r>
          </w:p>
        </w:tc>
        <w:tc>
          <w:tcPr>
            <w:tcW w:w="1170" w:type="dxa"/>
          </w:tcPr>
          <w:p w14:paraId="328EFF31"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Std. Error Mean</w:t>
            </w:r>
          </w:p>
        </w:tc>
        <w:tc>
          <w:tcPr>
            <w:tcW w:w="1224" w:type="dxa"/>
          </w:tcPr>
          <w:p w14:paraId="328EFF32"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 CI Lower</w:t>
            </w:r>
          </w:p>
        </w:tc>
        <w:tc>
          <w:tcPr>
            <w:tcW w:w="1142" w:type="dxa"/>
          </w:tcPr>
          <w:p w14:paraId="328EFF33"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 CI Upper</w:t>
            </w:r>
          </w:p>
        </w:tc>
      </w:tr>
      <w:tr w:rsidR="00EB1ECB" w14:paraId="328EFF3E" w14:textId="77777777" w:rsidTr="00342A1B">
        <w:tc>
          <w:tcPr>
            <w:tcW w:w="1843" w:type="dxa"/>
            <w:vMerge w:val="restart"/>
          </w:tcPr>
          <w:p w14:paraId="328EFF35"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fixation percentage</w:t>
            </w:r>
          </w:p>
          <w:p w14:paraId="328EFF36"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fixation percentage</w:t>
            </w:r>
          </w:p>
        </w:tc>
        <w:tc>
          <w:tcPr>
            <w:tcW w:w="1037" w:type="dxa"/>
          </w:tcPr>
          <w:p w14:paraId="328EFF37"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Dyslexic</w:t>
            </w:r>
          </w:p>
        </w:tc>
        <w:tc>
          <w:tcPr>
            <w:tcW w:w="489" w:type="dxa"/>
          </w:tcPr>
          <w:p w14:paraId="328EFF38"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884" w:type="dxa"/>
          </w:tcPr>
          <w:p w14:paraId="328EFF39"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72.5271</w:t>
            </w:r>
          </w:p>
        </w:tc>
        <w:tc>
          <w:tcPr>
            <w:tcW w:w="1142" w:type="dxa"/>
          </w:tcPr>
          <w:p w14:paraId="328EFF3A" w14:textId="0A0482DC" w:rsidR="00EB1ECB" w:rsidRDefault="00342A1B">
            <w:pPr>
              <w:rPr>
                <w:rFonts w:ascii="Times New Roman" w:eastAsia="Times New Roman" w:hAnsi="Times New Roman" w:cs="Times New Roman"/>
                <w:sz w:val="20"/>
                <w:szCs w:val="20"/>
              </w:rPr>
            </w:pPr>
            <w:r>
              <w:rPr>
                <w:rFonts w:ascii="Times New Roman" w:eastAsia="Times New Roman" w:hAnsi="Times New Roman" w:cs="Times New Roman"/>
                <w:sz w:val="20"/>
                <w:szCs w:val="20"/>
              </w:rPr>
              <w:t>12.497</w:t>
            </w:r>
          </w:p>
        </w:tc>
        <w:tc>
          <w:tcPr>
            <w:tcW w:w="1170" w:type="dxa"/>
          </w:tcPr>
          <w:p w14:paraId="328EFF3B"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2.08209</w:t>
            </w:r>
          </w:p>
        </w:tc>
        <w:tc>
          <w:tcPr>
            <w:tcW w:w="1224" w:type="dxa"/>
          </w:tcPr>
          <w:p w14:paraId="328EFF3C"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68.2896541</w:t>
            </w:r>
          </w:p>
        </w:tc>
        <w:tc>
          <w:tcPr>
            <w:tcW w:w="1142" w:type="dxa"/>
          </w:tcPr>
          <w:p w14:paraId="328EFF3D"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76.755586</w:t>
            </w:r>
          </w:p>
        </w:tc>
      </w:tr>
      <w:tr w:rsidR="00EB1ECB" w14:paraId="328EFF47" w14:textId="77777777" w:rsidTr="00342A1B">
        <w:tc>
          <w:tcPr>
            <w:tcW w:w="1843" w:type="dxa"/>
            <w:vMerge/>
          </w:tcPr>
          <w:p w14:paraId="328EFF3F" w14:textId="77777777" w:rsidR="00EB1ECB" w:rsidRDefault="00EB1EC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37" w:type="dxa"/>
          </w:tcPr>
          <w:p w14:paraId="328EFF40"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Normal</w:t>
            </w:r>
          </w:p>
        </w:tc>
        <w:tc>
          <w:tcPr>
            <w:tcW w:w="489" w:type="dxa"/>
          </w:tcPr>
          <w:p w14:paraId="328EFF41"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84" w:type="dxa"/>
          </w:tcPr>
          <w:p w14:paraId="328EFF42"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15.2928</w:t>
            </w:r>
          </w:p>
        </w:tc>
        <w:tc>
          <w:tcPr>
            <w:tcW w:w="1142" w:type="dxa"/>
          </w:tcPr>
          <w:p w14:paraId="328EFF43" w14:textId="78A2C0AD" w:rsidR="00EB1ECB" w:rsidRDefault="00342A1B">
            <w:pPr>
              <w:rPr>
                <w:rFonts w:ascii="Times New Roman" w:eastAsia="Times New Roman" w:hAnsi="Times New Roman" w:cs="Times New Roman"/>
                <w:sz w:val="20"/>
                <w:szCs w:val="20"/>
              </w:rPr>
            </w:pPr>
            <w:r>
              <w:rPr>
                <w:rFonts w:ascii="Times New Roman" w:eastAsia="Times New Roman" w:hAnsi="Times New Roman" w:cs="Times New Roman"/>
                <w:sz w:val="20"/>
                <w:szCs w:val="20"/>
              </w:rPr>
              <w:t>9.469</w:t>
            </w:r>
          </w:p>
        </w:tc>
        <w:tc>
          <w:tcPr>
            <w:tcW w:w="1170" w:type="dxa"/>
          </w:tcPr>
          <w:p w14:paraId="328EFF44"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1.67445</w:t>
            </w:r>
          </w:p>
        </w:tc>
        <w:tc>
          <w:tcPr>
            <w:tcW w:w="1224" w:type="dxa"/>
          </w:tcPr>
          <w:p w14:paraId="328EFF45"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11.9107017</w:t>
            </w:r>
          </w:p>
        </w:tc>
        <w:tc>
          <w:tcPr>
            <w:tcW w:w="1142" w:type="dxa"/>
          </w:tcPr>
          <w:p w14:paraId="328EFF46"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18.618523</w:t>
            </w:r>
          </w:p>
        </w:tc>
      </w:tr>
      <w:tr w:rsidR="00EB1ECB" w14:paraId="328EFF51" w14:textId="77777777" w:rsidTr="00342A1B">
        <w:tc>
          <w:tcPr>
            <w:tcW w:w="1843" w:type="dxa"/>
            <w:vMerge w:val="restart"/>
          </w:tcPr>
          <w:p w14:paraId="328EFF48"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fixation words</w:t>
            </w:r>
          </w:p>
          <w:p w14:paraId="328EFF49"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fixation words</w:t>
            </w:r>
          </w:p>
        </w:tc>
        <w:tc>
          <w:tcPr>
            <w:tcW w:w="1037" w:type="dxa"/>
          </w:tcPr>
          <w:p w14:paraId="328EFF4A"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Dyslexic</w:t>
            </w:r>
          </w:p>
        </w:tc>
        <w:tc>
          <w:tcPr>
            <w:tcW w:w="489" w:type="dxa"/>
          </w:tcPr>
          <w:p w14:paraId="328EFF4B"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884" w:type="dxa"/>
          </w:tcPr>
          <w:p w14:paraId="328EFF4C"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42.94</w:t>
            </w:r>
          </w:p>
        </w:tc>
        <w:tc>
          <w:tcPr>
            <w:tcW w:w="1142" w:type="dxa"/>
          </w:tcPr>
          <w:p w14:paraId="328EFF4D"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19.901</w:t>
            </w:r>
          </w:p>
        </w:tc>
        <w:tc>
          <w:tcPr>
            <w:tcW w:w="1170" w:type="dxa"/>
          </w:tcPr>
          <w:p w14:paraId="328EFF4E"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3.317</w:t>
            </w:r>
          </w:p>
        </w:tc>
        <w:tc>
          <w:tcPr>
            <w:tcW w:w="1224" w:type="dxa"/>
          </w:tcPr>
          <w:p w14:paraId="328EFF4F"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36.4108765</w:t>
            </w:r>
          </w:p>
        </w:tc>
        <w:tc>
          <w:tcPr>
            <w:tcW w:w="1142" w:type="dxa"/>
          </w:tcPr>
          <w:p w14:paraId="328EFF50" w14:textId="3A29D4AE"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49.469003</w:t>
            </w:r>
          </w:p>
        </w:tc>
      </w:tr>
      <w:tr w:rsidR="00EB1ECB" w14:paraId="328EFF5A" w14:textId="77777777" w:rsidTr="00342A1B">
        <w:tc>
          <w:tcPr>
            <w:tcW w:w="1843" w:type="dxa"/>
            <w:vMerge/>
          </w:tcPr>
          <w:p w14:paraId="328EFF52" w14:textId="77777777" w:rsidR="00EB1ECB" w:rsidRDefault="00EB1EC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37" w:type="dxa"/>
          </w:tcPr>
          <w:p w14:paraId="328EFF53"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Normal</w:t>
            </w:r>
          </w:p>
        </w:tc>
        <w:tc>
          <w:tcPr>
            <w:tcW w:w="489" w:type="dxa"/>
          </w:tcPr>
          <w:p w14:paraId="328EFF54"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84" w:type="dxa"/>
          </w:tcPr>
          <w:p w14:paraId="328EFF55"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8.18</w:t>
            </w:r>
          </w:p>
        </w:tc>
        <w:tc>
          <w:tcPr>
            <w:tcW w:w="1142" w:type="dxa"/>
          </w:tcPr>
          <w:p w14:paraId="328EFF56"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7.178</w:t>
            </w:r>
          </w:p>
        </w:tc>
        <w:tc>
          <w:tcPr>
            <w:tcW w:w="1170" w:type="dxa"/>
          </w:tcPr>
          <w:p w14:paraId="328EFF57"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1.250</w:t>
            </w:r>
          </w:p>
        </w:tc>
        <w:tc>
          <w:tcPr>
            <w:tcW w:w="1224" w:type="dxa"/>
          </w:tcPr>
          <w:p w14:paraId="328EFF58" w14:textId="2F76FC19" w:rsidR="00EB1ECB" w:rsidRDefault="00342A1B">
            <w:pPr>
              <w:rPr>
                <w:rFonts w:ascii="Times New Roman" w:eastAsia="Times New Roman" w:hAnsi="Times New Roman" w:cs="Times New Roman"/>
                <w:sz w:val="20"/>
                <w:szCs w:val="20"/>
              </w:rPr>
            </w:pPr>
            <w:r>
              <w:rPr>
                <w:rFonts w:ascii="Times New Roman" w:eastAsia="Times New Roman" w:hAnsi="Times New Roman" w:cs="Times New Roman"/>
                <w:sz w:val="20"/>
                <w:szCs w:val="20"/>
              </w:rPr>
              <w:t>5.63649324</w:t>
            </w:r>
          </w:p>
        </w:tc>
        <w:tc>
          <w:tcPr>
            <w:tcW w:w="1142" w:type="dxa"/>
          </w:tcPr>
          <w:p w14:paraId="328EFF59" w14:textId="71D0DC24"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10.727147</w:t>
            </w:r>
          </w:p>
        </w:tc>
      </w:tr>
      <w:tr w:rsidR="00EB1ECB" w14:paraId="328EFF64" w14:textId="77777777" w:rsidTr="00342A1B">
        <w:tc>
          <w:tcPr>
            <w:tcW w:w="1843" w:type="dxa"/>
            <w:vMerge w:val="restart"/>
          </w:tcPr>
          <w:p w14:paraId="328EFF5B" w14:textId="77777777" w:rsidR="00EB1ECB" w:rsidRDefault="0066010B">
            <w:pP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revisitation</w:t>
            </w:r>
            <w:r>
              <w:rPr>
                <w:rFonts w:ascii="Times New Roman" w:eastAsia="Times New Roman" w:hAnsi="Times New Roman" w:cs="Times New Roman"/>
                <w:color w:val="FFFFFF"/>
                <w:sz w:val="20"/>
                <w:szCs w:val="20"/>
              </w:rPr>
              <w:t>.</w:t>
            </w:r>
            <w:r>
              <w:rPr>
                <w:rFonts w:ascii="Times New Roman" w:eastAsia="Times New Roman" w:hAnsi="Times New Roman" w:cs="Times New Roman"/>
                <w:sz w:val="20"/>
                <w:szCs w:val="20"/>
              </w:rPr>
              <w:t>number</w:t>
            </w:r>
            <w:proofErr w:type="spellEnd"/>
            <w:proofErr w:type="gramEnd"/>
          </w:p>
          <w:p w14:paraId="328EFF5C" w14:textId="77777777" w:rsidR="00EB1ECB" w:rsidRDefault="0066010B">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revisitation</w:t>
            </w:r>
            <w:r>
              <w:rPr>
                <w:rFonts w:ascii="Times New Roman" w:eastAsia="Times New Roman" w:hAnsi="Times New Roman" w:cs="Times New Roman"/>
                <w:color w:val="FFFFFF"/>
                <w:sz w:val="20"/>
                <w:szCs w:val="20"/>
              </w:rPr>
              <w:t>.</w:t>
            </w:r>
            <w:r>
              <w:rPr>
                <w:rFonts w:ascii="Times New Roman" w:eastAsia="Times New Roman" w:hAnsi="Times New Roman" w:cs="Times New Roman"/>
                <w:sz w:val="20"/>
                <w:szCs w:val="20"/>
              </w:rPr>
              <w:t>number</w:t>
            </w:r>
            <w:proofErr w:type="spellEnd"/>
          </w:p>
        </w:tc>
        <w:tc>
          <w:tcPr>
            <w:tcW w:w="1037" w:type="dxa"/>
          </w:tcPr>
          <w:p w14:paraId="328EFF5D"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Dyslexic</w:t>
            </w:r>
          </w:p>
        </w:tc>
        <w:tc>
          <w:tcPr>
            <w:tcW w:w="489" w:type="dxa"/>
          </w:tcPr>
          <w:p w14:paraId="328EFF5E"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884" w:type="dxa"/>
          </w:tcPr>
          <w:p w14:paraId="328EFF5F"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3.17</w:t>
            </w:r>
          </w:p>
        </w:tc>
        <w:tc>
          <w:tcPr>
            <w:tcW w:w="1142" w:type="dxa"/>
          </w:tcPr>
          <w:p w14:paraId="328EFF60"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2.854</w:t>
            </w:r>
          </w:p>
        </w:tc>
        <w:tc>
          <w:tcPr>
            <w:tcW w:w="1170" w:type="dxa"/>
          </w:tcPr>
          <w:p w14:paraId="328EFF61"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0.476</w:t>
            </w:r>
          </w:p>
        </w:tc>
        <w:tc>
          <w:tcPr>
            <w:tcW w:w="1224" w:type="dxa"/>
          </w:tcPr>
          <w:p w14:paraId="328EFF62"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2.20115716</w:t>
            </w:r>
          </w:p>
        </w:tc>
        <w:tc>
          <w:tcPr>
            <w:tcW w:w="1142" w:type="dxa"/>
          </w:tcPr>
          <w:p w14:paraId="328EFF63" w14:textId="749A5579"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4.1321428</w:t>
            </w:r>
          </w:p>
        </w:tc>
      </w:tr>
      <w:tr w:rsidR="00EB1ECB" w14:paraId="328EFF6D" w14:textId="77777777" w:rsidTr="00342A1B">
        <w:tc>
          <w:tcPr>
            <w:tcW w:w="1843" w:type="dxa"/>
            <w:vMerge/>
          </w:tcPr>
          <w:p w14:paraId="328EFF65" w14:textId="77777777" w:rsidR="00EB1ECB" w:rsidRDefault="00EB1EC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37" w:type="dxa"/>
          </w:tcPr>
          <w:p w14:paraId="328EFF66"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Normal</w:t>
            </w:r>
          </w:p>
        </w:tc>
        <w:tc>
          <w:tcPr>
            <w:tcW w:w="489" w:type="dxa"/>
          </w:tcPr>
          <w:p w14:paraId="328EFF67"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84" w:type="dxa"/>
          </w:tcPr>
          <w:p w14:paraId="328EFF68"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0.82</w:t>
            </w:r>
          </w:p>
        </w:tc>
        <w:tc>
          <w:tcPr>
            <w:tcW w:w="1142" w:type="dxa"/>
          </w:tcPr>
          <w:p w14:paraId="328EFF69"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1.266</w:t>
            </w:r>
          </w:p>
        </w:tc>
        <w:tc>
          <w:tcPr>
            <w:tcW w:w="1170" w:type="dxa"/>
          </w:tcPr>
          <w:p w14:paraId="328EFF6A"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0.224</w:t>
            </w:r>
          </w:p>
        </w:tc>
        <w:tc>
          <w:tcPr>
            <w:tcW w:w="1224" w:type="dxa"/>
          </w:tcPr>
          <w:p w14:paraId="328EFF6B" w14:textId="77777777"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0.36223877</w:t>
            </w:r>
          </w:p>
        </w:tc>
        <w:tc>
          <w:tcPr>
            <w:tcW w:w="1142" w:type="dxa"/>
          </w:tcPr>
          <w:p w14:paraId="328EFF6C" w14:textId="337FC438" w:rsidR="00EB1ECB" w:rsidRDefault="0066010B">
            <w:pPr>
              <w:rPr>
                <w:rFonts w:ascii="Times New Roman" w:eastAsia="Times New Roman" w:hAnsi="Times New Roman" w:cs="Times New Roman"/>
                <w:sz w:val="20"/>
                <w:szCs w:val="20"/>
              </w:rPr>
            </w:pPr>
            <w:r>
              <w:rPr>
                <w:rFonts w:ascii="Times New Roman" w:eastAsia="Times New Roman" w:hAnsi="Times New Roman" w:cs="Times New Roman"/>
                <w:sz w:val="20"/>
                <w:szCs w:val="20"/>
              </w:rPr>
              <w:t>1.2721432</w:t>
            </w:r>
          </w:p>
        </w:tc>
      </w:tr>
    </w:tbl>
    <w:p w14:paraId="328EFF6E" w14:textId="77777777" w:rsidR="00EB1ECB" w:rsidRDefault="0066010B">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Table 2. T-test for Equality of Means for both groups</w:t>
      </w:r>
    </w:p>
    <w:tbl>
      <w:tblPr>
        <w:tblStyle w:val="a0"/>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560"/>
        <w:gridCol w:w="567"/>
        <w:gridCol w:w="567"/>
        <w:gridCol w:w="708"/>
        <w:gridCol w:w="622"/>
        <w:gridCol w:w="641"/>
        <w:gridCol w:w="912"/>
        <w:gridCol w:w="909"/>
        <w:gridCol w:w="712"/>
        <w:gridCol w:w="712"/>
      </w:tblGrid>
      <w:tr w:rsidR="00EB1ECB" w14:paraId="328EFF72" w14:textId="77777777" w:rsidTr="0066010B">
        <w:tc>
          <w:tcPr>
            <w:tcW w:w="2689" w:type="dxa"/>
            <w:gridSpan w:val="2"/>
            <w:vMerge w:val="restart"/>
            <w:vAlign w:val="center"/>
          </w:tcPr>
          <w:p w14:paraId="328EFF6F" w14:textId="77777777" w:rsidR="00EB1ECB" w:rsidRDefault="00EB1ECB">
            <w:pPr>
              <w:jc w:val="center"/>
              <w:rPr>
                <w:rFonts w:ascii="Times New Roman" w:eastAsia="Times New Roman" w:hAnsi="Times New Roman" w:cs="Times New Roman"/>
                <w:b/>
                <w:sz w:val="20"/>
                <w:szCs w:val="20"/>
              </w:rPr>
            </w:pPr>
          </w:p>
        </w:tc>
        <w:tc>
          <w:tcPr>
            <w:tcW w:w="1134" w:type="dxa"/>
            <w:gridSpan w:val="2"/>
            <w:vAlign w:val="center"/>
          </w:tcPr>
          <w:p w14:paraId="328EFF70" w14:textId="77777777" w:rsidR="00EB1ECB" w:rsidRDefault="0066010B">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Levene's</w:t>
            </w:r>
            <w:proofErr w:type="spellEnd"/>
            <w:r>
              <w:rPr>
                <w:rFonts w:ascii="Times New Roman" w:eastAsia="Times New Roman" w:hAnsi="Times New Roman" w:cs="Times New Roman"/>
                <w:b/>
                <w:sz w:val="20"/>
                <w:szCs w:val="20"/>
              </w:rPr>
              <w:t xml:space="preserve"> Test for Equality of Variances</w:t>
            </w:r>
          </w:p>
        </w:tc>
        <w:tc>
          <w:tcPr>
            <w:tcW w:w="5216" w:type="dxa"/>
            <w:gridSpan w:val="7"/>
            <w:vAlign w:val="center"/>
          </w:tcPr>
          <w:p w14:paraId="328EFF71"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t-test for Equality of Means</w:t>
            </w:r>
          </w:p>
        </w:tc>
      </w:tr>
      <w:tr w:rsidR="00EB1ECB" w14:paraId="328EFF7C" w14:textId="77777777" w:rsidTr="0066010B">
        <w:tc>
          <w:tcPr>
            <w:tcW w:w="2689" w:type="dxa"/>
            <w:gridSpan w:val="2"/>
            <w:vMerge/>
            <w:vAlign w:val="center"/>
          </w:tcPr>
          <w:p w14:paraId="328EFF73"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 w:type="dxa"/>
            <w:vMerge w:val="restart"/>
            <w:vAlign w:val="center"/>
          </w:tcPr>
          <w:p w14:paraId="328EFF74"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F</w:t>
            </w:r>
          </w:p>
        </w:tc>
        <w:tc>
          <w:tcPr>
            <w:tcW w:w="567" w:type="dxa"/>
            <w:vMerge w:val="restart"/>
            <w:vAlign w:val="center"/>
          </w:tcPr>
          <w:p w14:paraId="328EFF75"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Sig.</w:t>
            </w:r>
          </w:p>
        </w:tc>
        <w:tc>
          <w:tcPr>
            <w:tcW w:w="708" w:type="dxa"/>
            <w:vMerge w:val="restart"/>
            <w:vAlign w:val="center"/>
          </w:tcPr>
          <w:p w14:paraId="328EFF76"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t</w:t>
            </w:r>
          </w:p>
        </w:tc>
        <w:tc>
          <w:tcPr>
            <w:tcW w:w="622" w:type="dxa"/>
            <w:vMerge w:val="restart"/>
            <w:vAlign w:val="center"/>
          </w:tcPr>
          <w:p w14:paraId="328EFF77" w14:textId="77777777" w:rsidR="00EB1ECB" w:rsidRPr="00342A1B" w:rsidRDefault="0066010B">
            <w:pPr>
              <w:jc w:val="center"/>
              <w:rPr>
                <w:rFonts w:ascii="Times New Roman" w:eastAsia="Times New Roman" w:hAnsi="Times New Roman" w:cs="Times New Roman"/>
                <w:b/>
                <w:sz w:val="20"/>
                <w:szCs w:val="20"/>
              </w:rPr>
            </w:pPr>
            <w:proofErr w:type="spellStart"/>
            <w:r w:rsidRPr="00342A1B">
              <w:rPr>
                <w:rFonts w:ascii="Times New Roman" w:eastAsia="Times New Roman" w:hAnsi="Times New Roman" w:cs="Times New Roman"/>
                <w:b/>
                <w:sz w:val="20"/>
                <w:szCs w:val="20"/>
              </w:rPr>
              <w:t>df</w:t>
            </w:r>
            <w:proofErr w:type="spellEnd"/>
          </w:p>
        </w:tc>
        <w:tc>
          <w:tcPr>
            <w:tcW w:w="641" w:type="dxa"/>
            <w:vMerge w:val="restart"/>
            <w:vAlign w:val="center"/>
          </w:tcPr>
          <w:p w14:paraId="328EFF78"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Sig. (2-failed)</w:t>
            </w:r>
          </w:p>
        </w:tc>
        <w:tc>
          <w:tcPr>
            <w:tcW w:w="912" w:type="dxa"/>
            <w:vMerge w:val="restart"/>
            <w:vAlign w:val="center"/>
          </w:tcPr>
          <w:p w14:paraId="328EFF79"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Mean Difference</w:t>
            </w:r>
          </w:p>
        </w:tc>
        <w:tc>
          <w:tcPr>
            <w:tcW w:w="909" w:type="dxa"/>
            <w:vMerge w:val="restart"/>
            <w:vAlign w:val="center"/>
          </w:tcPr>
          <w:p w14:paraId="328EFF7A"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Std. Error Difference</w:t>
            </w:r>
          </w:p>
        </w:tc>
        <w:tc>
          <w:tcPr>
            <w:tcW w:w="1424" w:type="dxa"/>
            <w:gridSpan w:val="2"/>
            <w:vAlign w:val="center"/>
          </w:tcPr>
          <w:p w14:paraId="328EFF7B"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95% Confidence Interval</w:t>
            </w:r>
            <w:r w:rsidRPr="00342A1B">
              <w:rPr>
                <w:rFonts w:ascii="Times New Roman" w:eastAsia="Times New Roman" w:hAnsi="Times New Roman" w:cs="Times New Roman"/>
                <w:b/>
                <w:sz w:val="20"/>
                <w:szCs w:val="20"/>
              </w:rPr>
              <w:br/>
              <w:t>of the Difference</w:t>
            </w:r>
          </w:p>
        </w:tc>
      </w:tr>
      <w:tr w:rsidR="00EB1ECB" w14:paraId="328EFF87" w14:textId="77777777" w:rsidTr="0066010B">
        <w:tc>
          <w:tcPr>
            <w:tcW w:w="2689" w:type="dxa"/>
            <w:gridSpan w:val="2"/>
            <w:vMerge/>
            <w:vAlign w:val="center"/>
          </w:tcPr>
          <w:p w14:paraId="328EFF7D"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 w:type="dxa"/>
            <w:vMerge/>
            <w:vAlign w:val="center"/>
          </w:tcPr>
          <w:p w14:paraId="328EFF7E" w14:textId="77777777" w:rsidR="00EB1ECB" w:rsidRPr="00342A1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 w:type="dxa"/>
            <w:vMerge/>
            <w:vAlign w:val="center"/>
          </w:tcPr>
          <w:p w14:paraId="328EFF7F" w14:textId="77777777" w:rsidR="00EB1ECB" w:rsidRPr="00342A1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08" w:type="dxa"/>
            <w:vMerge/>
            <w:vAlign w:val="center"/>
          </w:tcPr>
          <w:p w14:paraId="328EFF80" w14:textId="77777777" w:rsidR="00EB1ECB" w:rsidRPr="00342A1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622" w:type="dxa"/>
            <w:vMerge/>
            <w:vAlign w:val="center"/>
          </w:tcPr>
          <w:p w14:paraId="328EFF81" w14:textId="77777777" w:rsidR="00EB1ECB" w:rsidRPr="00342A1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641" w:type="dxa"/>
            <w:vMerge/>
            <w:vAlign w:val="center"/>
          </w:tcPr>
          <w:p w14:paraId="328EFF82" w14:textId="77777777" w:rsidR="00EB1ECB" w:rsidRPr="00342A1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912" w:type="dxa"/>
            <w:vMerge/>
            <w:vAlign w:val="center"/>
          </w:tcPr>
          <w:p w14:paraId="328EFF83" w14:textId="77777777" w:rsidR="00EB1ECB" w:rsidRPr="00342A1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909" w:type="dxa"/>
            <w:vMerge/>
            <w:vAlign w:val="center"/>
          </w:tcPr>
          <w:p w14:paraId="328EFF84" w14:textId="77777777" w:rsidR="00EB1ECB" w:rsidRPr="00342A1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12" w:type="dxa"/>
            <w:vAlign w:val="center"/>
          </w:tcPr>
          <w:p w14:paraId="328EFF85"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Lower</w:t>
            </w:r>
          </w:p>
        </w:tc>
        <w:tc>
          <w:tcPr>
            <w:tcW w:w="712" w:type="dxa"/>
            <w:vAlign w:val="center"/>
          </w:tcPr>
          <w:p w14:paraId="328EFF86" w14:textId="77777777" w:rsidR="00EB1ECB" w:rsidRPr="00342A1B" w:rsidRDefault="0066010B">
            <w:pPr>
              <w:jc w:val="center"/>
              <w:rPr>
                <w:rFonts w:ascii="Times New Roman" w:eastAsia="Times New Roman" w:hAnsi="Times New Roman" w:cs="Times New Roman"/>
                <w:b/>
                <w:sz w:val="20"/>
                <w:szCs w:val="20"/>
              </w:rPr>
            </w:pPr>
            <w:r w:rsidRPr="00342A1B">
              <w:rPr>
                <w:rFonts w:ascii="Times New Roman" w:eastAsia="Times New Roman" w:hAnsi="Times New Roman" w:cs="Times New Roman"/>
                <w:b/>
                <w:sz w:val="20"/>
                <w:szCs w:val="20"/>
              </w:rPr>
              <w:t>Upper</w:t>
            </w:r>
          </w:p>
        </w:tc>
      </w:tr>
      <w:tr w:rsidR="00EB1ECB" w14:paraId="328EFF93" w14:textId="77777777" w:rsidTr="0066010B">
        <w:tc>
          <w:tcPr>
            <w:tcW w:w="1129" w:type="dxa"/>
            <w:vMerge w:val="restart"/>
            <w:vAlign w:val="center"/>
          </w:tcPr>
          <w:p w14:paraId="328EFF88" w14:textId="77777777" w:rsidR="00EB1ECB" w:rsidRDefault="0066010B">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Ixation</w:t>
            </w:r>
            <w:proofErr w:type="spellEnd"/>
            <w:r>
              <w:rPr>
                <w:rFonts w:ascii="Times New Roman" w:eastAsia="Times New Roman" w:hAnsi="Times New Roman" w:cs="Times New Roman"/>
                <w:b/>
                <w:sz w:val="20"/>
                <w:szCs w:val="20"/>
              </w:rPr>
              <w:t xml:space="preserve"> percentage</w:t>
            </w:r>
          </w:p>
        </w:tc>
        <w:tc>
          <w:tcPr>
            <w:tcW w:w="1560" w:type="dxa"/>
            <w:vAlign w:val="center"/>
          </w:tcPr>
          <w:p w14:paraId="328EFF89" w14:textId="77777777" w:rsidR="00EB1ECB" w:rsidRDefault="0066010B">
            <w:pPr>
              <w:ind w:left="-11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Equal variances assumed</w:t>
            </w:r>
          </w:p>
        </w:tc>
        <w:tc>
          <w:tcPr>
            <w:tcW w:w="567" w:type="dxa"/>
            <w:vAlign w:val="center"/>
          </w:tcPr>
          <w:p w14:paraId="328EFF8A"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3.538</w:t>
            </w:r>
          </w:p>
        </w:tc>
        <w:tc>
          <w:tcPr>
            <w:tcW w:w="567" w:type="dxa"/>
            <w:vAlign w:val="center"/>
          </w:tcPr>
          <w:p w14:paraId="328EFF8B"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.054</w:t>
            </w:r>
          </w:p>
        </w:tc>
        <w:tc>
          <w:tcPr>
            <w:tcW w:w="708" w:type="dxa"/>
            <w:vAlign w:val="center"/>
          </w:tcPr>
          <w:p w14:paraId="328EFF8C"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21.307</w:t>
            </w:r>
          </w:p>
        </w:tc>
        <w:tc>
          <w:tcPr>
            <w:tcW w:w="622" w:type="dxa"/>
            <w:vAlign w:val="center"/>
          </w:tcPr>
          <w:p w14:paraId="328EFF8D"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641" w:type="dxa"/>
            <w:vAlign w:val="center"/>
          </w:tcPr>
          <w:p w14:paraId="328EFF8E"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12" w:type="dxa"/>
            <w:vAlign w:val="center"/>
          </w:tcPr>
          <w:p w14:paraId="328EFF8F"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57.26430</w:t>
            </w:r>
          </w:p>
        </w:tc>
        <w:tc>
          <w:tcPr>
            <w:tcW w:w="909" w:type="dxa"/>
            <w:vAlign w:val="center"/>
          </w:tcPr>
          <w:p w14:paraId="328EFF90"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2.68763</w:t>
            </w:r>
          </w:p>
        </w:tc>
        <w:tc>
          <w:tcPr>
            <w:tcW w:w="712" w:type="dxa"/>
            <w:vAlign w:val="center"/>
          </w:tcPr>
          <w:p w14:paraId="328EFF91"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51.89977</w:t>
            </w:r>
          </w:p>
        </w:tc>
        <w:tc>
          <w:tcPr>
            <w:tcW w:w="712" w:type="dxa"/>
            <w:vAlign w:val="center"/>
          </w:tcPr>
          <w:p w14:paraId="328EFF92"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62.62682</w:t>
            </w:r>
          </w:p>
        </w:tc>
      </w:tr>
      <w:tr w:rsidR="00EB1ECB" w14:paraId="328EFF9F" w14:textId="77777777" w:rsidTr="0066010B">
        <w:tc>
          <w:tcPr>
            <w:tcW w:w="1129" w:type="dxa"/>
            <w:vMerge/>
            <w:vAlign w:val="center"/>
          </w:tcPr>
          <w:p w14:paraId="328EFF94"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60" w:type="dxa"/>
            <w:vAlign w:val="center"/>
          </w:tcPr>
          <w:p w14:paraId="328EFF95" w14:textId="77777777" w:rsidR="00EB1ECB" w:rsidRDefault="0066010B">
            <w:pPr>
              <w:ind w:left="-11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Equal variances not assumed</w:t>
            </w:r>
          </w:p>
        </w:tc>
        <w:tc>
          <w:tcPr>
            <w:tcW w:w="567" w:type="dxa"/>
            <w:vAlign w:val="center"/>
          </w:tcPr>
          <w:p w14:paraId="328EFF96" w14:textId="77777777" w:rsidR="00EB1ECB" w:rsidRDefault="00EB1ECB">
            <w:pPr>
              <w:ind w:left="-116"/>
              <w:jc w:val="center"/>
              <w:rPr>
                <w:rFonts w:ascii="Times New Roman" w:eastAsia="Times New Roman" w:hAnsi="Times New Roman" w:cs="Times New Roman"/>
                <w:sz w:val="20"/>
                <w:szCs w:val="20"/>
              </w:rPr>
            </w:pPr>
          </w:p>
        </w:tc>
        <w:tc>
          <w:tcPr>
            <w:tcW w:w="567" w:type="dxa"/>
            <w:vAlign w:val="center"/>
          </w:tcPr>
          <w:p w14:paraId="328EFF97" w14:textId="77777777" w:rsidR="00EB1ECB" w:rsidRDefault="00EB1ECB">
            <w:pPr>
              <w:ind w:left="-116"/>
              <w:jc w:val="center"/>
              <w:rPr>
                <w:rFonts w:ascii="Times New Roman" w:eastAsia="Times New Roman" w:hAnsi="Times New Roman" w:cs="Times New Roman"/>
                <w:sz w:val="20"/>
                <w:szCs w:val="20"/>
              </w:rPr>
            </w:pPr>
          </w:p>
        </w:tc>
        <w:tc>
          <w:tcPr>
            <w:tcW w:w="708" w:type="dxa"/>
            <w:vAlign w:val="center"/>
          </w:tcPr>
          <w:p w14:paraId="328EFF98"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21.563</w:t>
            </w:r>
          </w:p>
        </w:tc>
        <w:tc>
          <w:tcPr>
            <w:tcW w:w="622" w:type="dxa"/>
            <w:vAlign w:val="center"/>
          </w:tcPr>
          <w:p w14:paraId="328EFF99" w14:textId="3778EF0B"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64.76</w:t>
            </w:r>
          </w:p>
        </w:tc>
        <w:tc>
          <w:tcPr>
            <w:tcW w:w="641" w:type="dxa"/>
            <w:vAlign w:val="center"/>
          </w:tcPr>
          <w:p w14:paraId="328EFF9A"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12" w:type="dxa"/>
            <w:vAlign w:val="center"/>
          </w:tcPr>
          <w:p w14:paraId="328EFF9B"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57.26430</w:t>
            </w:r>
          </w:p>
        </w:tc>
        <w:tc>
          <w:tcPr>
            <w:tcW w:w="909" w:type="dxa"/>
            <w:vAlign w:val="center"/>
          </w:tcPr>
          <w:p w14:paraId="328EFF9C"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2.65567</w:t>
            </w:r>
          </w:p>
        </w:tc>
        <w:tc>
          <w:tcPr>
            <w:tcW w:w="712" w:type="dxa"/>
            <w:vAlign w:val="center"/>
          </w:tcPr>
          <w:p w14:paraId="328EFF9D" w14:textId="4D985040"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51.960</w:t>
            </w:r>
          </w:p>
        </w:tc>
        <w:tc>
          <w:tcPr>
            <w:tcW w:w="712" w:type="dxa"/>
            <w:vAlign w:val="center"/>
          </w:tcPr>
          <w:p w14:paraId="328EFF9E" w14:textId="56568485"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62.568</w:t>
            </w:r>
          </w:p>
        </w:tc>
      </w:tr>
      <w:tr w:rsidR="00EB1ECB" w14:paraId="328EFFAB" w14:textId="77777777" w:rsidTr="0066010B">
        <w:tc>
          <w:tcPr>
            <w:tcW w:w="1129" w:type="dxa"/>
            <w:vMerge w:val="restart"/>
            <w:vAlign w:val="center"/>
          </w:tcPr>
          <w:p w14:paraId="328EFFA0"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Fixation words</w:t>
            </w:r>
          </w:p>
        </w:tc>
        <w:tc>
          <w:tcPr>
            <w:tcW w:w="1560" w:type="dxa"/>
            <w:vAlign w:val="center"/>
          </w:tcPr>
          <w:p w14:paraId="328EFFA1" w14:textId="77777777" w:rsidR="00EB1ECB" w:rsidRDefault="0066010B">
            <w:pPr>
              <w:ind w:left="-11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Equal variances assumed</w:t>
            </w:r>
          </w:p>
        </w:tc>
        <w:tc>
          <w:tcPr>
            <w:tcW w:w="567" w:type="dxa"/>
            <w:vAlign w:val="center"/>
          </w:tcPr>
          <w:p w14:paraId="328EFFA2" w14:textId="559AECEB"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15.70</w:t>
            </w:r>
          </w:p>
        </w:tc>
        <w:tc>
          <w:tcPr>
            <w:tcW w:w="567" w:type="dxa"/>
            <w:vAlign w:val="center"/>
          </w:tcPr>
          <w:p w14:paraId="328EFFA3"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708" w:type="dxa"/>
            <w:vAlign w:val="center"/>
          </w:tcPr>
          <w:p w14:paraId="328EFFA4"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9.480</w:t>
            </w:r>
          </w:p>
        </w:tc>
        <w:tc>
          <w:tcPr>
            <w:tcW w:w="622" w:type="dxa"/>
            <w:vAlign w:val="center"/>
          </w:tcPr>
          <w:p w14:paraId="328EFFA5"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641" w:type="dxa"/>
            <w:vAlign w:val="center"/>
          </w:tcPr>
          <w:p w14:paraId="328EFFA6"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12" w:type="dxa"/>
            <w:vAlign w:val="center"/>
          </w:tcPr>
          <w:p w14:paraId="328EFFA7"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34.763</w:t>
            </w:r>
          </w:p>
        </w:tc>
        <w:tc>
          <w:tcPr>
            <w:tcW w:w="909" w:type="dxa"/>
            <w:vAlign w:val="center"/>
          </w:tcPr>
          <w:p w14:paraId="328EFFA8"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3.667</w:t>
            </w:r>
          </w:p>
        </w:tc>
        <w:tc>
          <w:tcPr>
            <w:tcW w:w="712" w:type="dxa"/>
            <w:vAlign w:val="center"/>
          </w:tcPr>
          <w:p w14:paraId="328EFFA9"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27.444</w:t>
            </w:r>
          </w:p>
        </w:tc>
        <w:tc>
          <w:tcPr>
            <w:tcW w:w="712" w:type="dxa"/>
            <w:vAlign w:val="center"/>
          </w:tcPr>
          <w:p w14:paraId="328EFFAA"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42.082</w:t>
            </w:r>
          </w:p>
        </w:tc>
      </w:tr>
      <w:tr w:rsidR="00EB1ECB" w14:paraId="328EFFB7" w14:textId="77777777" w:rsidTr="0066010B">
        <w:tc>
          <w:tcPr>
            <w:tcW w:w="1129" w:type="dxa"/>
            <w:vMerge/>
            <w:vAlign w:val="center"/>
          </w:tcPr>
          <w:p w14:paraId="328EFFAC"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60" w:type="dxa"/>
            <w:vAlign w:val="center"/>
          </w:tcPr>
          <w:p w14:paraId="328EFFAD" w14:textId="77777777" w:rsidR="00EB1ECB" w:rsidRDefault="0066010B">
            <w:pPr>
              <w:ind w:left="-11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Equal variances not assumed</w:t>
            </w:r>
          </w:p>
        </w:tc>
        <w:tc>
          <w:tcPr>
            <w:tcW w:w="567" w:type="dxa"/>
            <w:vAlign w:val="center"/>
          </w:tcPr>
          <w:p w14:paraId="328EFFAE" w14:textId="77777777" w:rsidR="00EB1ECB" w:rsidRDefault="00EB1ECB">
            <w:pPr>
              <w:ind w:left="-116"/>
              <w:jc w:val="center"/>
              <w:rPr>
                <w:rFonts w:ascii="Times New Roman" w:eastAsia="Times New Roman" w:hAnsi="Times New Roman" w:cs="Times New Roman"/>
                <w:sz w:val="20"/>
                <w:szCs w:val="20"/>
              </w:rPr>
            </w:pPr>
          </w:p>
        </w:tc>
        <w:tc>
          <w:tcPr>
            <w:tcW w:w="567" w:type="dxa"/>
            <w:vAlign w:val="center"/>
          </w:tcPr>
          <w:p w14:paraId="328EFFAF" w14:textId="77777777" w:rsidR="00EB1ECB" w:rsidRDefault="00EB1ECB">
            <w:pPr>
              <w:ind w:left="-116"/>
              <w:jc w:val="center"/>
              <w:rPr>
                <w:rFonts w:ascii="Times New Roman" w:eastAsia="Times New Roman" w:hAnsi="Times New Roman" w:cs="Times New Roman"/>
                <w:sz w:val="20"/>
                <w:szCs w:val="20"/>
              </w:rPr>
            </w:pPr>
          </w:p>
        </w:tc>
        <w:tc>
          <w:tcPr>
            <w:tcW w:w="708" w:type="dxa"/>
            <w:vAlign w:val="center"/>
          </w:tcPr>
          <w:p w14:paraId="328EFFB0"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9.806</w:t>
            </w:r>
          </w:p>
        </w:tc>
        <w:tc>
          <w:tcPr>
            <w:tcW w:w="622" w:type="dxa"/>
            <w:vAlign w:val="center"/>
          </w:tcPr>
          <w:p w14:paraId="328EFFB1" w14:textId="35774F51"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44.65</w:t>
            </w:r>
          </w:p>
        </w:tc>
        <w:tc>
          <w:tcPr>
            <w:tcW w:w="641" w:type="dxa"/>
            <w:vAlign w:val="center"/>
          </w:tcPr>
          <w:p w14:paraId="328EFFB2"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12" w:type="dxa"/>
            <w:vAlign w:val="center"/>
          </w:tcPr>
          <w:p w14:paraId="328EFFB3"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34.763</w:t>
            </w:r>
          </w:p>
        </w:tc>
        <w:tc>
          <w:tcPr>
            <w:tcW w:w="909" w:type="dxa"/>
            <w:vAlign w:val="center"/>
          </w:tcPr>
          <w:p w14:paraId="328EFFB4"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3.544</w:t>
            </w:r>
          </w:p>
        </w:tc>
        <w:tc>
          <w:tcPr>
            <w:tcW w:w="712" w:type="dxa"/>
            <w:vAlign w:val="center"/>
          </w:tcPr>
          <w:p w14:paraId="328EFFB5"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27.622</w:t>
            </w:r>
          </w:p>
        </w:tc>
        <w:tc>
          <w:tcPr>
            <w:tcW w:w="712" w:type="dxa"/>
            <w:vAlign w:val="center"/>
          </w:tcPr>
          <w:p w14:paraId="328EFFB6"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41.903</w:t>
            </w:r>
          </w:p>
        </w:tc>
      </w:tr>
      <w:tr w:rsidR="00EB1ECB" w14:paraId="328EFFC3" w14:textId="77777777" w:rsidTr="0066010B">
        <w:tc>
          <w:tcPr>
            <w:tcW w:w="1129" w:type="dxa"/>
            <w:vAlign w:val="center"/>
          </w:tcPr>
          <w:p w14:paraId="328EFFB8"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Revisitation number</w:t>
            </w:r>
          </w:p>
        </w:tc>
        <w:tc>
          <w:tcPr>
            <w:tcW w:w="1560" w:type="dxa"/>
            <w:vAlign w:val="center"/>
          </w:tcPr>
          <w:p w14:paraId="328EFFB9" w14:textId="77777777" w:rsidR="00EB1ECB" w:rsidRDefault="0066010B">
            <w:pPr>
              <w:ind w:left="-11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Equal variances assumed</w:t>
            </w:r>
          </w:p>
        </w:tc>
        <w:tc>
          <w:tcPr>
            <w:tcW w:w="567" w:type="dxa"/>
            <w:vAlign w:val="center"/>
          </w:tcPr>
          <w:p w14:paraId="328EFFBA"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9.840</w:t>
            </w:r>
          </w:p>
        </w:tc>
        <w:tc>
          <w:tcPr>
            <w:tcW w:w="567" w:type="dxa"/>
            <w:vAlign w:val="center"/>
          </w:tcPr>
          <w:p w14:paraId="328EFFBB"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708" w:type="dxa"/>
            <w:vAlign w:val="center"/>
          </w:tcPr>
          <w:p w14:paraId="328EFFBC"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4.339</w:t>
            </w:r>
          </w:p>
        </w:tc>
        <w:tc>
          <w:tcPr>
            <w:tcW w:w="622" w:type="dxa"/>
            <w:vAlign w:val="center"/>
          </w:tcPr>
          <w:p w14:paraId="328EFFBD"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641" w:type="dxa"/>
            <w:vAlign w:val="center"/>
          </w:tcPr>
          <w:p w14:paraId="328EFFBE"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12" w:type="dxa"/>
            <w:vAlign w:val="center"/>
          </w:tcPr>
          <w:p w14:paraId="328EFFBF"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2.348</w:t>
            </w:r>
          </w:p>
        </w:tc>
        <w:tc>
          <w:tcPr>
            <w:tcW w:w="909" w:type="dxa"/>
            <w:vAlign w:val="center"/>
          </w:tcPr>
          <w:p w14:paraId="328EFFC0"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w:t>
            </w:r>
          </w:p>
        </w:tc>
        <w:tc>
          <w:tcPr>
            <w:tcW w:w="712" w:type="dxa"/>
            <w:vAlign w:val="center"/>
          </w:tcPr>
          <w:p w14:paraId="328EFFC1"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1.268</w:t>
            </w:r>
          </w:p>
        </w:tc>
        <w:tc>
          <w:tcPr>
            <w:tcW w:w="712" w:type="dxa"/>
            <w:vAlign w:val="center"/>
          </w:tcPr>
          <w:p w14:paraId="328EFFC2"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3.429</w:t>
            </w:r>
          </w:p>
        </w:tc>
      </w:tr>
      <w:tr w:rsidR="00EB1ECB" w14:paraId="328EFFCF" w14:textId="77777777" w:rsidTr="0066010B">
        <w:tc>
          <w:tcPr>
            <w:tcW w:w="1129" w:type="dxa"/>
            <w:vAlign w:val="center"/>
          </w:tcPr>
          <w:p w14:paraId="328EFFC4"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Revisitation number</w:t>
            </w:r>
          </w:p>
        </w:tc>
        <w:tc>
          <w:tcPr>
            <w:tcW w:w="1560" w:type="dxa"/>
            <w:vAlign w:val="center"/>
          </w:tcPr>
          <w:p w14:paraId="328EFFC5" w14:textId="77777777" w:rsidR="00EB1ECB" w:rsidRDefault="0066010B">
            <w:pPr>
              <w:ind w:left="-11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Equal variances not assumed</w:t>
            </w:r>
          </w:p>
        </w:tc>
        <w:tc>
          <w:tcPr>
            <w:tcW w:w="567" w:type="dxa"/>
            <w:vAlign w:val="center"/>
          </w:tcPr>
          <w:p w14:paraId="328EFFC6" w14:textId="77777777" w:rsidR="00EB1ECB" w:rsidRDefault="00EB1ECB">
            <w:pPr>
              <w:ind w:left="-116"/>
              <w:jc w:val="center"/>
              <w:rPr>
                <w:rFonts w:ascii="Times New Roman" w:eastAsia="Times New Roman" w:hAnsi="Times New Roman" w:cs="Times New Roman"/>
                <w:sz w:val="20"/>
                <w:szCs w:val="20"/>
              </w:rPr>
            </w:pPr>
          </w:p>
        </w:tc>
        <w:tc>
          <w:tcPr>
            <w:tcW w:w="567" w:type="dxa"/>
            <w:vAlign w:val="center"/>
          </w:tcPr>
          <w:p w14:paraId="328EFFC7" w14:textId="77777777" w:rsidR="00EB1ECB" w:rsidRDefault="00EB1ECB">
            <w:pPr>
              <w:ind w:left="-116"/>
              <w:jc w:val="center"/>
              <w:rPr>
                <w:rFonts w:ascii="Times New Roman" w:eastAsia="Times New Roman" w:hAnsi="Times New Roman" w:cs="Times New Roman"/>
                <w:sz w:val="20"/>
                <w:szCs w:val="20"/>
              </w:rPr>
            </w:pPr>
          </w:p>
        </w:tc>
        <w:tc>
          <w:tcPr>
            <w:tcW w:w="708" w:type="dxa"/>
            <w:vAlign w:val="center"/>
          </w:tcPr>
          <w:p w14:paraId="328EFFC8"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4.468</w:t>
            </w:r>
          </w:p>
        </w:tc>
        <w:tc>
          <w:tcPr>
            <w:tcW w:w="622" w:type="dxa"/>
            <w:vAlign w:val="center"/>
          </w:tcPr>
          <w:p w14:paraId="328EFFC9" w14:textId="3D2A937E"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49.56</w:t>
            </w:r>
          </w:p>
        </w:tc>
        <w:tc>
          <w:tcPr>
            <w:tcW w:w="641" w:type="dxa"/>
            <w:vAlign w:val="center"/>
          </w:tcPr>
          <w:p w14:paraId="328EFFCA"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12" w:type="dxa"/>
            <w:vAlign w:val="center"/>
          </w:tcPr>
          <w:p w14:paraId="328EFFCB"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2.348</w:t>
            </w:r>
          </w:p>
        </w:tc>
        <w:tc>
          <w:tcPr>
            <w:tcW w:w="909" w:type="dxa"/>
            <w:vAlign w:val="center"/>
          </w:tcPr>
          <w:p w14:paraId="328EFFCC"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.526</w:t>
            </w:r>
          </w:p>
        </w:tc>
        <w:tc>
          <w:tcPr>
            <w:tcW w:w="712" w:type="dxa"/>
            <w:vAlign w:val="center"/>
          </w:tcPr>
          <w:p w14:paraId="328EFFCD"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1.292</w:t>
            </w:r>
          </w:p>
        </w:tc>
        <w:tc>
          <w:tcPr>
            <w:tcW w:w="712" w:type="dxa"/>
            <w:vAlign w:val="center"/>
          </w:tcPr>
          <w:p w14:paraId="328EFFCE" w14:textId="77777777" w:rsidR="00EB1ECB" w:rsidRDefault="0066010B">
            <w:pPr>
              <w:ind w:lef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3.404</w:t>
            </w:r>
          </w:p>
        </w:tc>
      </w:tr>
    </w:tbl>
    <w:p w14:paraId="328EFFD1" w14:textId="77777777" w:rsidR="00EB1ECB" w:rsidRDefault="0066010B">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Table 3. Independent Samples Effect Sizes</w:t>
      </w:r>
    </w:p>
    <w:tbl>
      <w:tblPr>
        <w:tblStyle w:val="a1"/>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2"/>
        <w:gridCol w:w="2138"/>
        <w:gridCol w:w="1434"/>
        <w:gridCol w:w="1371"/>
        <w:gridCol w:w="1335"/>
        <w:gridCol w:w="1336"/>
      </w:tblGrid>
      <w:tr w:rsidR="00EB1ECB" w14:paraId="328EFFD7" w14:textId="77777777" w:rsidTr="00BA5920">
        <w:tc>
          <w:tcPr>
            <w:tcW w:w="1242" w:type="dxa"/>
            <w:vMerge w:val="restart"/>
            <w:vAlign w:val="center"/>
          </w:tcPr>
          <w:p w14:paraId="328EFFD2" w14:textId="77777777" w:rsidR="00EB1ECB" w:rsidRDefault="00EB1ECB">
            <w:pPr>
              <w:jc w:val="center"/>
              <w:rPr>
                <w:rFonts w:ascii="Times New Roman" w:eastAsia="Times New Roman" w:hAnsi="Times New Roman" w:cs="Times New Roman"/>
                <w:b/>
                <w:sz w:val="20"/>
                <w:szCs w:val="20"/>
              </w:rPr>
            </w:pPr>
          </w:p>
        </w:tc>
        <w:tc>
          <w:tcPr>
            <w:tcW w:w="2138" w:type="dxa"/>
            <w:vMerge w:val="restart"/>
            <w:vAlign w:val="center"/>
          </w:tcPr>
          <w:p w14:paraId="328EFFD3" w14:textId="77777777" w:rsidR="00EB1ECB" w:rsidRDefault="00EB1ECB">
            <w:pPr>
              <w:jc w:val="center"/>
              <w:rPr>
                <w:rFonts w:ascii="Times New Roman" w:eastAsia="Times New Roman" w:hAnsi="Times New Roman" w:cs="Times New Roman"/>
                <w:b/>
                <w:sz w:val="20"/>
                <w:szCs w:val="20"/>
              </w:rPr>
            </w:pPr>
          </w:p>
        </w:tc>
        <w:tc>
          <w:tcPr>
            <w:tcW w:w="1434" w:type="dxa"/>
            <w:vMerge w:val="restart"/>
            <w:vAlign w:val="center"/>
          </w:tcPr>
          <w:p w14:paraId="328EFFD4"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Standardizer¹</w:t>
            </w:r>
          </w:p>
        </w:tc>
        <w:tc>
          <w:tcPr>
            <w:tcW w:w="1371" w:type="dxa"/>
            <w:vMerge w:val="restart"/>
            <w:vAlign w:val="center"/>
          </w:tcPr>
          <w:p w14:paraId="328EFFD5"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Point Estimate</w:t>
            </w:r>
          </w:p>
        </w:tc>
        <w:tc>
          <w:tcPr>
            <w:tcW w:w="2671" w:type="dxa"/>
            <w:gridSpan w:val="2"/>
            <w:vAlign w:val="center"/>
          </w:tcPr>
          <w:p w14:paraId="328EFFD6"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 Confidence Interval</w:t>
            </w:r>
          </w:p>
        </w:tc>
      </w:tr>
      <w:tr w:rsidR="00EB1ECB" w14:paraId="328EFFDE" w14:textId="77777777" w:rsidTr="00BA5920">
        <w:tc>
          <w:tcPr>
            <w:tcW w:w="1242" w:type="dxa"/>
            <w:vMerge/>
            <w:vAlign w:val="center"/>
          </w:tcPr>
          <w:p w14:paraId="328EFFD8"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138" w:type="dxa"/>
            <w:vMerge/>
            <w:vAlign w:val="center"/>
          </w:tcPr>
          <w:p w14:paraId="328EFFD9"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434" w:type="dxa"/>
            <w:vMerge/>
            <w:vAlign w:val="center"/>
          </w:tcPr>
          <w:p w14:paraId="328EFFDA"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371" w:type="dxa"/>
            <w:vMerge/>
            <w:vAlign w:val="center"/>
          </w:tcPr>
          <w:p w14:paraId="328EFFDB"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335" w:type="dxa"/>
            <w:vAlign w:val="center"/>
          </w:tcPr>
          <w:p w14:paraId="328EFFDC"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Lower</w:t>
            </w:r>
          </w:p>
        </w:tc>
        <w:tc>
          <w:tcPr>
            <w:tcW w:w="1336" w:type="dxa"/>
            <w:vAlign w:val="center"/>
          </w:tcPr>
          <w:p w14:paraId="328EFFDD"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Upper</w:t>
            </w:r>
          </w:p>
        </w:tc>
      </w:tr>
      <w:tr w:rsidR="00EB1ECB" w14:paraId="328EFFE5" w14:textId="77777777" w:rsidTr="00BA5920">
        <w:tc>
          <w:tcPr>
            <w:tcW w:w="1242" w:type="dxa"/>
            <w:vMerge w:val="restart"/>
            <w:vAlign w:val="center"/>
          </w:tcPr>
          <w:p w14:paraId="328EFFDF"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Fixation percentage</w:t>
            </w:r>
          </w:p>
        </w:tc>
        <w:tc>
          <w:tcPr>
            <w:tcW w:w="2138" w:type="dxa"/>
            <w:vAlign w:val="center"/>
          </w:tcPr>
          <w:p w14:paraId="328EFFE0"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Cohen's d</w:t>
            </w:r>
          </w:p>
        </w:tc>
        <w:tc>
          <w:tcPr>
            <w:tcW w:w="1434" w:type="dxa"/>
            <w:vAlign w:val="center"/>
          </w:tcPr>
          <w:p w14:paraId="328EFFE1"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11.15200</w:t>
            </w:r>
          </w:p>
        </w:tc>
        <w:tc>
          <w:tcPr>
            <w:tcW w:w="1371" w:type="dxa"/>
            <w:vAlign w:val="center"/>
          </w:tcPr>
          <w:p w14:paraId="328EFFE2"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5.135</w:t>
            </w:r>
          </w:p>
        </w:tc>
        <w:tc>
          <w:tcPr>
            <w:tcW w:w="1335" w:type="dxa"/>
            <w:vAlign w:val="center"/>
          </w:tcPr>
          <w:p w14:paraId="328EFFE3"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4.142</w:t>
            </w:r>
          </w:p>
        </w:tc>
        <w:tc>
          <w:tcPr>
            <w:tcW w:w="1336" w:type="dxa"/>
            <w:vAlign w:val="center"/>
          </w:tcPr>
          <w:p w14:paraId="328EFFE4"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6.118</w:t>
            </w:r>
          </w:p>
        </w:tc>
      </w:tr>
      <w:tr w:rsidR="00EB1ECB" w14:paraId="328EFFEC" w14:textId="77777777" w:rsidTr="00BA5920">
        <w:tc>
          <w:tcPr>
            <w:tcW w:w="1242" w:type="dxa"/>
            <w:vMerge/>
            <w:vAlign w:val="center"/>
          </w:tcPr>
          <w:p w14:paraId="328EFFE6"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138" w:type="dxa"/>
            <w:vAlign w:val="center"/>
          </w:tcPr>
          <w:p w14:paraId="328EFFE7"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Hedges' correction</w:t>
            </w:r>
          </w:p>
        </w:tc>
        <w:tc>
          <w:tcPr>
            <w:tcW w:w="1434" w:type="dxa"/>
            <w:vAlign w:val="center"/>
          </w:tcPr>
          <w:p w14:paraId="328EFFE8"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11.27880</w:t>
            </w:r>
          </w:p>
        </w:tc>
        <w:tc>
          <w:tcPr>
            <w:tcW w:w="1371" w:type="dxa"/>
            <w:vAlign w:val="center"/>
          </w:tcPr>
          <w:p w14:paraId="328EFFE9"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5.077</w:t>
            </w:r>
          </w:p>
        </w:tc>
        <w:tc>
          <w:tcPr>
            <w:tcW w:w="1335" w:type="dxa"/>
            <w:vAlign w:val="center"/>
          </w:tcPr>
          <w:p w14:paraId="328EFFEA"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4.096</w:t>
            </w:r>
          </w:p>
        </w:tc>
        <w:tc>
          <w:tcPr>
            <w:tcW w:w="1336" w:type="dxa"/>
            <w:vAlign w:val="center"/>
          </w:tcPr>
          <w:p w14:paraId="328EFFEB"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6.049</w:t>
            </w:r>
          </w:p>
        </w:tc>
      </w:tr>
      <w:tr w:rsidR="00EB1ECB" w14:paraId="328EFFF3" w14:textId="77777777" w:rsidTr="00BA5920">
        <w:tc>
          <w:tcPr>
            <w:tcW w:w="1242" w:type="dxa"/>
            <w:vMerge/>
            <w:vAlign w:val="center"/>
          </w:tcPr>
          <w:p w14:paraId="328EFFED"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138" w:type="dxa"/>
            <w:vAlign w:val="center"/>
          </w:tcPr>
          <w:p w14:paraId="328EFFEE"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Glass's delta</w:t>
            </w:r>
          </w:p>
        </w:tc>
        <w:tc>
          <w:tcPr>
            <w:tcW w:w="1434" w:type="dxa"/>
            <w:vAlign w:val="center"/>
          </w:tcPr>
          <w:p w14:paraId="328EFFEF"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9.46390</w:t>
            </w:r>
          </w:p>
        </w:tc>
        <w:tc>
          <w:tcPr>
            <w:tcW w:w="1371" w:type="dxa"/>
            <w:vAlign w:val="center"/>
          </w:tcPr>
          <w:p w14:paraId="328EFFF0"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6.051</w:t>
            </w:r>
          </w:p>
        </w:tc>
        <w:tc>
          <w:tcPr>
            <w:tcW w:w="1335" w:type="dxa"/>
            <w:vAlign w:val="center"/>
          </w:tcPr>
          <w:p w14:paraId="328EFFF1"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4.496</w:t>
            </w:r>
          </w:p>
        </w:tc>
        <w:tc>
          <w:tcPr>
            <w:tcW w:w="1336" w:type="dxa"/>
            <w:vAlign w:val="center"/>
          </w:tcPr>
          <w:p w14:paraId="328EFFF2"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7.594</w:t>
            </w:r>
          </w:p>
        </w:tc>
      </w:tr>
      <w:tr w:rsidR="00EB1ECB" w14:paraId="328EFFFA" w14:textId="77777777" w:rsidTr="00BA5920">
        <w:tc>
          <w:tcPr>
            <w:tcW w:w="1242" w:type="dxa"/>
            <w:vMerge w:val="restart"/>
            <w:vAlign w:val="center"/>
          </w:tcPr>
          <w:p w14:paraId="328EFFF4"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Fixation words</w:t>
            </w:r>
          </w:p>
        </w:tc>
        <w:tc>
          <w:tcPr>
            <w:tcW w:w="2138" w:type="dxa"/>
            <w:vAlign w:val="center"/>
          </w:tcPr>
          <w:p w14:paraId="328EFFF5"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Cohen's d</w:t>
            </w:r>
          </w:p>
        </w:tc>
        <w:tc>
          <w:tcPr>
            <w:tcW w:w="1434" w:type="dxa"/>
            <w:vAlign w:val="center"/>
          </w:tcPr>
          <w:p w14:paraId="328EFFF6"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15.215</w:t>
            </w:r>
          </w:p>
        </w:tc>
        <w:tc>
          <w:tcPr>
            <w:tcW w:w="1371" w:type="dxa"/>
            <w:vAlign w:val="center"/>
          </w:tcPr>
          <w:p w14:paraId="328EFFF7"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2.285</w:t>
            </w:r>
          </w:p>
        </w:tc>
        <w:tc>
          <w:tcPr>
            <w:tcW w:w="1335" w:type="dxa"/>
            <w:vAlign w:val="center"/>
          </w:tcPr>
          <w:p w14:paraId="328EFFF8"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1.669</w:t>
            </w:r>
          </w:p>
        </w:tc>
        <w:tc>
          <w:tcPr>
            <w:tcW w:w="1336" w:type="dxa"/>
            <w:vAlign w:val="center"/>
          </w:tcPr>
          <w:p w14:paraId="328EFFF9"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2.890</w:t>
            </w:r>
          </w:p>
        </w:tc>
      </w:tr>
      <w:tr w:rsidR="00EB1ECB" w14:paraId="328F0001" w14:textId="77777777" w:rsidTr="00BA5920">
        <w:tc>
          <w:tcPr>
            <w:tcW w:w="1242" w:type="dxa"/>
            <w:vMerge/>
            <w:vAlign w:val="center"/>
          </w:tcPr>
          <w:p w14:paraId="328EFFFB"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138" w:type="dxa"/>
            <w:vAlign w:val="center"/>
          </w:tcPr>
          <w:p w14:paraId="328EFFFC"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Hedges' correction</w:t>
            </w:r>
          </w:p>
        </w:tc>
        <w:tc>
          <w:tcPr>
            <w:tcW w:w="1434" w:type="dxa"/>
            <w:vAlign w:val="center"/>
          </w:tcPr>
          <w:p w14:paraId="328EFFFD"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15.388</w:t>
            </w:r>
          </w:p>
        </w:tc>
        <w:tc>
          <w:tcPr>
            <w:tcW w:w="1371" w:type="dxa"/>
            <w:vAlign w:val="center"/>
          </w:tcPr>
          <w:p w14:paraId="328EFFFE"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2.259</w:t>
            </w:r>
          </w:p>
        </w:tc>
        <w:tc>
          <w:tcPr>
            <w:tcW w:w="1335" w:type="dxa"/>
            <w:vAlign w:val="center"/>
          </w:tcPr>
          <w:p w14:paraId="328EFFFF"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1.651</w:t>
            </w:r>
          </w:p>
        </w:tc>
        <w:tc>
          <w:tcPr>
            <w:tcW w:w="1336" w:type="dxa"/>
            <w:vAlign w:val="center"/>
          </w:tcPr>
          <w:p w14:paraId="328F0000"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2.857</w:t>
            </w:r>
          </w:p>
        </w:tc>
      </w:tr>
      <w:tr w:rsidR="00EB1ECB" w14:paraId="328F0008" w14:textId="77777777" w:rsidTr="00BA5920">
        <w:tc>
          <w:tcPr>
            <w:tcW w:w="1242" w:type="dxa"/>
            <w:vMerge/>
            <w:vAlign w:val="center"/>
          </w:tcPr>
          <w:p w14:paraId="328F0002"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138" w:type="dxa"/>
            <w:vAlign w:val="center"/>
          </w:tcPr>
          <w:p w14:paraId="328F0003"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Glass's delta</w:t>
            </w:r>
          </w:p>
        </w:tc>
        <w:tc>
          <w:tcPr>
            <w:tcW w:w="1434" w:type="dxa"/>
            <w:vAlign w:val="center"/>
          </w:tcPr>
          <w:p w14:paraId="328F0004"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7.178</w:t>
            </w:r>
          </w:p>
        </w:tc>
        <w:tc>
          <w:tcPr>
            <w:tcW w:w="1371" w:type="dxa"/>
            <w:vAlign w:val="center"/>
          </w:tcPr>
          <w:p w14:paraId="328F0005"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4.843</w:t>
            </w:r>
          </w:p>
        </w:tc>
        <w:tc>
          <w:tcPr>
            <w:tcW w:w="1335" w:type="dxa"/>
            <w:vAlign w:val="center"/>
          </w:tcPr>
          <w:p w14:paraId="328F0006"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3.565</w:t>
            </w:r>
          </w:p>
        </w:tc>
        <w:tc>
          <w:tcPr>
            <w:tcW w:w="1336" w:type="dxa"/>
            <w:vAlign w:val="center"/>
          </w:tcPr>
          <w:p w14:paraId="328F0007"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6.108</w:t>
            </w:r>
          </w:p>
        </w:tc>
      </w:tr>
      <w:tr w:rsidR="00EB1ECB" w14:paraId="328F000F" w14:textId="77777777" w:rsidTr="00BA5920">
        <w:tc>
          <w:tcPr>
            <w:tcW w:w="1242" w:type="dxa"/>
            <w:vMerge w:val="restart"/>
            <w:vAlign w:val="center"/>
          </w:tcPr>
          <w:p w14:paraId="328F0009" w14:textId="77777777" w:rsidR="00EB1ECB" w:rsidRDefault="0066010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Revisitation number</w:t>
            </w:r>
          </w:p>
        </w:tc>
        <w:tc>
          <w:tcPr>
            <w:tcW w:w="2138" w:type="dxa"/>
            <w:vAlign w:val="center"/>
          </w:tcPr>
          <w:p w14:paraId="328F000A"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Cohen's d</w:t>
            </w:r>
          </w:p>
        </w:tc>
        <w:tc>
          <w:tcPr>
            <w:tcW w:w="1434" w:type="dxa"/>
            <w:vAlign w:val="center"/>
          </w:tcPr>
          <w:p w14:paraId="328F000B"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2.246</w:t>
            </w:r>
          </w:p>
        </w:tc>
        <w:tc>
          <w:tcPr>
            <w:tcW w:w="1371" w:type="dxa"/>
            <w:vAlign w:val="center"/>
          </w:tcPr>
          <w:p w14:paraId="328F000C"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1.046</w:t>
            </w:r>
          </w:p>
        </w:tc>
        <w:tc>
          <w:tcPr>
            <w:tcW w:w="1335" w:type="dxa"/>
            <w:vAlign w:val="center"/>
          </w:tcPr>
          <w:p w14:paraId="328F000D"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.538</w:t>
            </w:r>
          </w:p>
        </w:tc>
        <w:tc>
          <w:tcPr>
            <w:tcW w:w="1336" w:type="dxa"/>
            <w:vAlign w:val="center"/>
          </w:tcPr>
          <w:p w14:paraId="328F000E"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1.547</w:t>
            </w:r>
          </w:p>
        </w:tc>
      </w:tr>
      <w:tr w:rsidR="00EB1ECB" w14:paraId="328F0016" w14:textId="77777777" w:rsidTr="00BA5920">
        <w:tc>
          <w:tcPr>
            <w:tcW w:w="1242" w:type="dxa"/>
            <w:vMerge/>
            <w:vAlign w:val="center"/>
          </w:tcPr>
          <w:p w14:paraId="328F0010"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138" w:type="dxa"/>
            <w:vAlign w:val="center"/>
          </w:tcPr>
          <w:p w14:paraId="328F0011"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Hedges' correction</w:t>
            </w:r>
          </w:p>
        </w:tc>
        <w:tc>
          <w:tcPr>
            <w:tcW w:w="1434" w:type="dxa"/>
            <w:vAlign w:val="center"/>
          </w:tcPr>
          <w:p w14:paraId="328F0012"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2.271</w:t>
            </w:r>
          </w:p>
        </w:tc>
        <w:tc>
          <w:tcPr>
            <w:tcW w:w="1371" w:type="dxa"/>
            <w:vAlign w:val="center"/>
          </w:tcPr>
          <w:p w14:paraId="328F0013"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1.034</w:t>
            </w:r>
          </w:p>
        </w:tc>
        <w:tc>
          <w:tcPr>
            <w:tcW w:w="1335" w:type="dxa"/>
            <w:vAlign w:val="center"/>
          </w:tcPr>
          <w:p w14:paraId="328F0014"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1336" w:type="dxa"/>
            <w:vAlign w:val="center"/>
          </w:tcPr>
          <w:p w14:paraId="328F0015"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1.529</w:t>
            </w:r>
          </w:p>
        </w:tc>
      </w:tr>
      <w:tr w:rsidR="00EB1ECB" w14:paraId="328F001D" w14:textId="77777777" w:rsidTr="00BA5920">
        <w:tc>
          <w:tcPr>
            <w:tcW w:w="1242" w:type="dxa"/>
            <w:vMerge/>
            <w:vAlign w:val="center"/>
          </w:tcPr>
          <w:p w14:paraId="328F0017" w14:textId="77777777" w:rsidR="00EB1ECB" w:rsidRDefault="00EB1E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138" w:type="dxa"/>
            <w:vAlign w:val="center"/>
          </w:tcPr>
          <w:p w14:paraId="328F0018"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Glass's delta</w:t>
            </w:r>
          </w:p>
        </w:tc>
        <w:tc>
          <w:tcPr>
            <w:tcW w:w="1434" w:type="dxa"/>
            <w:vAlign w:val="center"/>
          </w:tcPr>
          <w:p w14:paraId="328F0019"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1.286</w:t>
            </w:r>
          </w:p>
        </w:tc>
        <w:tc>
          <w:tcPr>
            <w:tcW w:w="1371" w:type="dxa"/>
            <w:vAlign w:val="center"/>
          </w:tcPr>
          <w:p w14:paraId="328F001A"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1.826</w:t>
            </w:r>
          </w:p>
        </w:tc>
        <w:tc>
          <w:tcPr>
            <w:tcW w:w="1335" w:type="dxa"/>
            <w:vAlign w:val="center"/>
          </w:tcPr>
          <w:p w14:paraId="328F001B"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1.169</w:t>
            </w:r>
          </w:p>
        </w:tc>
        <w:tc>
          <w:tcPr>
            <w:tcW w:w="1336" w:type="dxa"/>
            <w:vAlign w:val="center"/>
          </w:tcPr>
          <w:p w14:paraId="328F001C" w14:textId="77777777" w:rsidR="00EB1ECB" w:rsidRDefault="006601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2.468</w:t>
            </w:r>
          </w:p>
        </w:tc>
      </w:tr>
    </w:tbl>
    <w:p w14:paraId="328F001E" w14:textId="77777777" w:rsidR="00EB1ECB" w:rsidRDefault="00EB1ECB">
      <w:pPr>
        <w:spacing w:line="240" w:lineRule="auto"/>
        <w:jc w:val="both"/>
        <w:rPr>
          <w:rFonts w:ascii="Times New Roman" w:eastAsia="Times New Roman" w:hAnsi="Times New Roman" w:cs="Times New Roman"/>
          <w:i/>
          <w:sz w:val="20"/>
          <w:szCs w:val="20"/>
        </w:rPr>
      </w:pPr>
    </w:p>
    <w:p w14:paraId="328F001F" w14:textId="77777777" w:rsidR="00EB1ECB" w:rsidRDefault="00EB1ECB">
      <w:pPr>
        <w:spacing w:line="240" w:lineRule="auto"/>
        <w:jc w:val="both"/>
        <w:rPr>
          <w:rFonts w:ascii="Times New Roman" w:eastAsia="Times New Roman" w:hAnsi="Times New Roman" w:cs="Times New Roman"/>
          <w:i/>
          <w:sz w:val="20"/>
          <w:szCs w:val="20"/>
        </w:rPr>
        <w:sectPr w:rsidR="00EB1ECB">
          <w:type w:val="continuous"/>
          <w:pgSz w:w="12240" w:h="15840"/>
          <w:pgMar w:top="1440" w:right="1440" w:bottom="1440" w:left="1440" w:header="720" w:footer="720" w:gutter="0"/>
          <w:cols w:space="720"/>
        </w:sectPr>
      </w:pPr>
    </w:p>
    <w:p w14:paraId="328F002A"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lastRenderedPageBreak/>
        <w:t xml:space="preserve">Fig. 2. Receiver operating characteristic (ROC) curves for three univariate eye-tracking metrics distinguishing children with dyslexia from typically developing peers during Arabic text reading. Curves and areas under the curve (AUC): fixation-time proportion (blue), AUC = 1.000; word-level fixation count (teal), AUC = 0.937; </w:t>
      </w:r>
      <w:proofErr w:type="spellStart"/>
      <w:r w:rsidRPr="006D7F88">
        <w:rPr>
          <w:rFonts w:ascii="Times New Roman" w:eastAsia="SimSun" w:hAnsi="Times New Roman" w:cs="Times New Roman"/>
          <w:spacing w:val="-1"/>
          <w:sz w:val="20"/>
          <w:szCs w:val="20"/>
          <w:lang w:val="x-none" w:eastAsia="x-none"/>
        </w:rPr>
        <w:t>revisitation</w:t>
      </w:r>
      <w:proofErr w:type="spellEnd"/>
      <w:r w:rsidRPr="006D7F88">
        <w:rPr>
          <w:rFonts w:ascii="Times New Roman" w:eastAsia="SimSun" w:hAnsi="Times New Roman" w:cs="Times New Roman"/>
          <w:spacing w:val="-1"/>
          <w:sz w:val="20"/>
          <w:szCs w:val="20"/>
          <w:lang w:val="x-none" w:eastAsia="x-none"/>
        </w:rPr>
        <w:t xml:space="preserve"> (regression) count (maroon), AUC = 0.801. The diagonal line denotes chance performance (AUC = 0.5). Higher curves/AUCs indicate better discrimination.</w:t>
      </w:r>
      <w:r>
        <w:rPr>
          <w:rFonts w:ascii="Times New Roman" w:eastAsia="Times New Roman" w:hAnsi="Times New Roman" w:cs="Times New Roman"/>
          <w:sz w:val="20"/>
          <w:szCs w:val="20"/>
        </w:rPr>
        <w:t xml:space="preserve"> </w:t>
      </w:r>
      <w:r w:rsidRPr="006D7F88">
        <w:rPr>
          <w:rFonts w:ascii="Times New Roman" w:eastAsia="SimSun" w:hAnsi="Times New Roman" w:cs="Times New Roman"/>
          <w:spacing w:val="-1"/>
          <w:sz w:val="20"/>
          <w:szCs w:val="20"/>
          <w:lang w:val="x-none" w:eastAsia="x-none"/>
        </w:rPr>
        <w:t>Thresholds and corresponding sensitivity/specificity are not shown.</w:t>
      </w:r>
    </w:p>
    <w:p w14:paraId="328F0030" w14:textId="77777777" w:rsidR="00EB1ECB" w:rsidRPr="00395582" w:rsidRDefault="0066010B" w:rsidP="002638B5">
      <w:pPr>
        <w:pStyle w:val="Heading1"/>
        <w:numPr>
          <w:ilvl w:val="0"/>
          <w:numId w:val="7"/>
        </w:numPr>
        <w:tabs>
          <w:tab w:val="left" w:pos="216"/>
        </w:tabs>
        <w:spacing w:before="160" w:line="240" w:lineRule="auto"/>
        <w:jc w:val="center"/>
        <w:rPr>
          <w:rFonts w:ascii="Times New Roman" w:eastAsia="SimSun" w:hAnsi="Times New Roman" w:cs="Times New Roman"/>
          <w:smallCaps/>
          <w:noProof/>
          <w:color w:val="auto"/>
          <w:sz w:val="20"/>
          <w:szCs w:val="20"/>
          <w:lang w:val="en-US" w:eastAsia="en-US"/>
        </w:rPr>
      </w:pPr>
      <w:r w:rsidRPr="00395582">
        <w:rPr>
          <w:rFonts w:ascii="Times New Roman" w:eastAsia="SimSun" w:hAnsi="Times New Roman" w:cs="Times New Roman"/>
          <w:smallCaps/>
          <w:noProof/>
          <w:color w:val="auto"/>
          <w:sz w:val="20"/>
          <w:szCs w:val="20"/>
          <w:lang w:val="en-US" w:eastAsia="en-US"/>
        </w:rPr>
        <w:t>RESULTS</w:t>
      </w:r>
    </w:p>
    <w:p w14:paraId="328F0031" w14:textId="77777777" w:rsidR="00EB1ECB" w:rsidRPr="00F07979" w:rsidRDefault="0066010B" w:rsidP="002A47F2">
      <w:pPr>
        <w:pStyle w:val="Heading2"/>
        <w:numPr>
          <w:ilvl w:val="0"/>
          <w:numId w:val="11"/>
        </w:numPr>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Statistical Analysis</w:t>
      </w:r>
    </w:p>
    <w:p w14:paraId="328F0032"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Groups were compared on three eye-tracking metrics: fixation-time percentage (% of trial in fixation), word-level fixation count, and regression (</w:t>
      </w:r>
      <w:proofErr w:type="spellStart"/>
      <w:r w:rsidRPr="006D7F88">
        <w:rPr>
          <w:rFonts w:ascii="Times New Roman" w:eastAsia="SimSun" w:hAnsi="Times New Roman" w:cs="Times New Roman"/>
          <w:spacing w:val="-1"/>
          <w:sz w:val="20"/>
          <w:szCs w:val="20"/>
          <w:lang w:val="x-none" w:eastAsia="x-none"/>
        </w:rPr>
        <w:t>revisitation</w:t>
      </w:r>
      <w:proofErr w:type="spellEnd"/>
      <w:r w:rsidRPr="006D7F88">
        <w:rPr>
          <w:rFonts w:ascii="Times New Roman" w:eastAsia="SimSun" w:hAnsi="Times New Roman" w:cs="Times New Roman"/>
          <w:spacing w:val="-1"/>
          <w:sz w:val="20"/>
          <w:szCs w:val="20"/>
          <w:lang w:val="x-none" w:eastAsia="x-none"/>
        </w:rPr>
        <w:t>) count. Metrics were expressed in their natural units (percentages or counts).</w:t>
      </w:r>
    </w:p>
    <w:p w14:paraId="328F0033"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Fixation-time percentage. Children with dyslexia showed a markedly higher fixation load than controls: 72.53 ± 12.50% (95% CI, 68.30–76.76) vs. 15.26 ± 9.46% (95% CI, 11.97–18.62). The group difference was statistically significant (independent-samples t-test, two-tailed, p &lt; .001).</w:t>
      </w:r>
    </w:p>
    <w:p w14:paraId="328F0034"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Word-level fixation count. Dyslexia group: 42.94 ± 19.90 (95% CI 36.21–49.68); control group: 8.18 ± 7.18 (95% CI 5.64–10.73). The difference was significant (p &lt; 0.001).</w:t>
      </w:r>
    </w:p>
    <w:p w14:paraId="328F0035" w14:textId="77777777" w:rsidR="00EB1ECB"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Regression (</w:t>
      </w:r>
      <w:proofErr w:type="spellStart"/>
      <w:r w:rsidRPr="006D7F88">
        <w:rPr>
          <w:rFonts w:ascii="Times New Roman" w:eastAsia="SimSun" w:hAnsi="Times New Roman" w:cs="Times New Roman"/>
          <w:spacing w:val="-1"/>
          <w:sz w:val="20"/>
          <w:szCs w:val="20"/>
          <w:lang w:val="x-none" w:eastAsia="x-none"/>
        </w:rPr>
        <w:t>revisitation</w:t>
      </w:r>
      <w:proofErr w:type="spellEnd"/>
      <w:r w:rsidRPr="006D7F88">
        <w:rPr>
          <w:rFonts w:ascii="Times New Roman" w:eastAsia="SimSun" w:hAnsi="Times New Roman" w:cs="Times New Roman"/>
          <w:spacing w:val="-1"/>
          <w:sz w:val="20"/>
          <w:szCs w:val="20"/>
          <w:lang w:val="x-none" w:eastAsia="x-none"/>
        </w:rPr>
        <w:t>) count. Dyslexia group: 3.17 ± 2.85 (95% CI 2.20–4.13); control group: 0.82 ± 1.29 (95% CI 0.36–1.27). The difference was significant (p &lt; 0.001).</w:t>
      </w: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505E2E" w:rsidRPr="00505E2E" w14:paraId="565B8FFC" w14:textId="77777777" w:rsidTr="008339A4">
        <w:tc>
          <w:tcPr>
            <w:tcW w:w="4320" w:type="dxa"/>
          </w:tcPr>
          <w:p w14:paraId="38775DF0" w14:textId="77777777" w:rsidR="00505E2E" w:rsidRPr="00505E2E" w:rsidRDefault="00505E2E" w:rsidP="00505E2E">
            <w:pPr>
              <w:spacing w:line="240" w:lineRule="auto"/>
              <w:jc w:val="both"/>
              <w:rPr>
                <w:rFonts w:ascii="Times New Roman" w:eastAsia="SimSun" w:hAnsi="Times New Roman" w:cs="Times New Roman"/>
                <w:spacing w:val="-1"/>
                <w:sz w:val="20"/>
                <w:szCs w:val="20"/>
                <w:lang w:eastAsia="x-none"/>
              </w:rPr>
            </w:pPr>
            <w:r w:rsidRPr="00505E2E">
              <w:rPr>
                <w:rFonts w:ascii="Times New Roman" w:eastAsia="SimSun" w:hAnsi="Times New Roman" w:cs="Times New Roman"/>
                <w:noProof/>
                <w:spacing w:val="-1"/>
                <w:sz w:val="20"/>
                <w:szCs w:val="20"/>
                <w:lang w:val="en-US" w:eastAsia="en-US"/>
              </w:rPr>
              <w:drawing>
                <wp:inline distT="0" distB="0" distL="0" distR="0" wp14:anchorId="241FBA91" wp14:editId="704523F7">
                  <wp:extent cx="2743200" cy="2318385"/>
                  <wp:effectExtent l="0" t="0" r="0" b="0"/>
                  <wp:docPr id="1888199179" name="image3.png" descr="A graph with a li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graph with a line&#10;&#10;AI-generated content may be incorrect."/>
                          <pic:cNvPicPr preferRelativeResize="0"/>
                        </pic:nvPicPr>
                        <pic:blipFill>
                          <a:blip r:embed="rId16"/>
                          <a:srcRect/>
                          <a:stretch>
                            <a:fillRect/>
                          </a:stretch>
                        </pic:blipFill>
                        <pic:spPr>
                          <a:xfrm>
                            <a:off x="0" y="0"/>
                            <a:ext cx="2743200" cy="2318385"/>
                          </a:xfrm>
                          <a:prstGeom prst="rect">
                            <a:avLst/>
                          </a:prstGeom>
                          <a:ln/>
                        </pic:spPr>
                      </pic:pic>
                    </a:graphicData>
                  </a:graphic>
                </wp:inline>
              </w:drawing>
            </w:r>
          </w:p>
        </w:tc>
      </w:tr>
      <w:tr w:rsidR="00505E2E" w:rsidRPr="00505E2E" w14:paraId="19D53A06" w14:textId="77777777" w:rsidTr="008339A4">
        <w:tc>
          <w:tcPr>
            <w:tcW w:w="4320" w:type="dxa"/>
          </w:tcPr>
          <w:p w14:paraId="11AFA18C" w14:textId="77777777" w:rsidR="00505E2E" w:rsidRPr="00505E2E" w:rsidRDefault="00505E2E" w:rsidP="00505E2E">
            <w:pPr>
              <w:spacing w:line="240" w:lineRule="auto"/>
              <w:jc w:val="both"/>
              <w:rPr>
                <w:rFonts w:ascii="Times New Roman" w:eastAsia="SimSun" w:hAnsi="Times New Roman" w:cs="Times New Roman"/>
                <w:spacing w:val="-1"/>
                <w:sz w:val="20"/>
                <w:szCs w:val="20"/>
                <w:lang w:eastAsia="x-none"/>
              </w:rPr>
            </w:pPr>
            <w:r w:rsidRPr="00505E2E">
              <w:rPr>
                <w:rFonts w:ascii="Times New Roman" w:eastAsia="SimSun" w:hAnsi="Times New Roman" w:cs="Times New Roman"/>
                <w:i/>
                <w:spacing w:val="-1"/>
                <w:sz w:val="20"/>
                <w:szCs w:val="20"/>
                <w:lang w:eastAsia="x-none"/>
              </w:rPr>
              <w:t>Fig 1. ROC Curve for all parameters.</w:t>
            </w:r>
          </w:p>
        </w:tc>
      </w:tr>
    </w:tbl>
    <w:p w14:paraId="112653D4" w14:textId="77777777" w:rsidR="00A93EE6" w:rsidRDefault="009476DE">
      <w:pPr>
        <w:spacing w:line="240" w:lineRule="auto"/>
        <w:jc w:val="both"/>
        <w:rPr>
          <w:rFonts w:ascii="Times New Roman" w:eastAsia="SimSun" w:hAnsi="Times New Roman" w:cs="Times New Roman"/>
          <w:spacing w:val="-1"/>
          <w:sz w:val="20"/>
          <w:szCs w:val="20"/>
          <w:lang w:eastAsia="x-none"/>
        </w:rPr>
      </w:pPr>
      <w:r w:rsidRPr="009476DE">
        <w:rPr>
          <w:rFonts w:ascii="Times New Roman" w:eastAsia="SimSun" w:hAnsi="Times New Roman" w:cs="Times New Roman"/>
          <w:spacing w:val="-1"/>
          <w:sz w:val="20"/>
          <w:szCs w:val="20"/>
          <w:lang w:eastAsia="x-none"/>
        </w:rPr>
        <w:lastRenderedPageBreak/>
        <w:t xml:space="preserve">Receiver operating characteristic curves </w:t>
      </w:r>
      <w:r>
        <w:rPr>
          <w:rFonts w:ascii="Times New Roman" w:eastAsia="SimSun" w:hAnsi="Times New Roman" w:cs="Times New Roman"/>
          <w:spacing w:val="-1"/>
          <w:sz w:val="20"/>
          <w:szCs w:val="20"/>
          <w:lang w:eastAsia="x-none"/>
        </w:rPr>
        <w:t>summarize the discriminative performance of fixation percentage, fixation words, and regressions between groups, as shown in Fig. 1</w:t>
      </w:r>
      <w:r w:rsidRPr="009476DE">
        <w:rPr>
          <w:rFonts w:ascii="Times New Roman" w:eastAsia="SimSun" w:hAnsi="Times New Roman" w:cs="Times New Roman"/>
          <w:spacing w:val="-1"/>
          <w:sz w:val="20"/>
          <w:szCs w:val="20"/>
          <w:lang w:eastAsia="x-none"/>
        </w:rPr>
        <w:t xml:space="preserve">. </w:t>
      </w:r>
      <w:r w:rsidR="007F4F0C" w:rsidRPr="007F4F0C">
        <w:rPr>
          <w:rFonts w:ascii="Times New Roman" w:eastAsia="SimSun" w:hAnsi="Times New Roman" w:cs="Times New Roman"/>
          <w:spacing w:val="-1"/>
          <w:sz w:val="20"/>
          <w:szCs w:val="20"/>
          <w:lang w:eastAsia="x-none"/>
        </w:rPr>
        <w:t xml:space="preserve">Univariate </w:t>
      </w: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A93EE6" w:rsidRPr="00A93EE6" w14:paraId="5040F9A5" w14:textId="77777777" w:rsidTr="008339A4">
        <w:tc>
          <w:tcPr>
            <w:tcW w:w="4320" w:type="dxa"/>
          </w:tcPr>
          <w:p w14:paraId="02108EBF" w14:textId="77777777" w:rsidR="00A93EE6" w:rsidRPr="00A93EE6" w:rsidRDefault="00A93EE6" w:rsidP="00A93EE6">
            <w:pPr>
              <w:spacing w:line="240" w:lineRule="auto"/>
              <w:jc w:val="both"/>
              <w:rPr>
                <w:rFonts w:ascii="Times New Roman" w:eastAsia="SimSun" w:hAnsi="Times New Roman" w:cs="Times New Roman"/>
                <w:spacing w:val="-1"/>
                <w:sz w:val="20"/>
                <w:szCs w:val="20"/>
                <w:lang w:eastAsia="x-none"/>
              </w:rPr>
            </w:pPr>
            <w:r w:rsidRPr="00A93EE6">
              <w:rPr>
                <w:rFonts w:ascii="Times New Roman" w:eastAsia="SimSun" w:hAnsi="Times New Roman" w:cs="Times New Roman"/>
                <w:noProof/>
                <w:spacing w:val="-1"/>
                <w:sz w:val="20"/>
                <w:szCs w:val="20"/>
                <w:lang w:val="en-US" w:eastAsia="en-US"/>
              </w:rPr>
              <w:drawing>
                <wp:inline distT="0" distB="0" distL="0" distR="0" wp14:anchorId="4DBE15A2" wp14:editId="1050C537">
                  <wp:extent cx="2621789" cy="1503887"/>
                  <wp:effectExtent l="0" t="0" r="0" b="0"/>
                  <wp:docPr id="1568808351" name="image4.png" descr="A graph of a b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graph of a bar&#10;&#10;AI-generated content may be incorrect."/>
                          <pic:cNvPicPr preferRelativeResize="0"/>
                        </pic:nvPicPr>
                        <pic:blipFill>
                          <a:blip r:embed="rId17"/>
                          <a:srcRect/>
                          <a:stretch>
                            <a:fillRect/>
                          </a:stretch>
                        </pic:blipFill>
                        <pic:spPr>
                          <a:xfrm>
                            <a:off x="0" y="0"/>
                            <a:ext cx="2621789" cy="1503887"/>
                          </a:xfrm>
                          <a:prstGeom prst="rect">
                            <a:avLst/>
                          </a:prstGeom>
                          <a:ln/>
                        </pic:spPr>
                      </pic:pic>
                    </a:graphicData>
                  </a:graphic>
                </wp:inline>
              </w:drawing>
            </w:r>
          </w:p>
        </w:tc>
      </w:tr>
      <w:tr w:rsidR="00A93EE6" w:rsidRPr="00A93EE6" w14:paraId="503649E7" w14:textId="77777777" w:rsidTr="008339A4">
        <w:trPr>
          <w:trHeight w:val="448"/>
        </w:trPr>
        <w:tc>
          <w:tcPr>
            <w:tcW w:w="4320" w:type="dxa"/>
          </w:tcPr>
          <w:p w14:paraId="67B61AFD" w14:textId="77777777" w:rsidR="00A93EE6" w:rsidRPr="00A93EE6" w:rsidRDefault="00A93EE6" w:rsidP="00A93EE6">
            <w:pPr>
              <w:spacing w:line="240" w:lineRule="auto"/>
              <w:jc w:val="both"/>
              <w:rPr>
                <w:rFonts w:ascii="Times New Roman" w:eastAsia="SimSun" w:hAnsi="Times New Roman" w:cs="Times New Roman"/>
                <w:spacing w:val="-1"/>
                <w:sz w:val="20"/>
                <w:szCs w:val="20"/>
                <w:lang w:eastAsia="x-none"/>
              </w:rPr>
            </w:pPr>
            <w:r w:rsidRPr="00A93EE6">
              <w:rPr>
                <w:rFonts w:ascii="Times New Roman" w:eastAsia="SimSun" w:hAnsi="Times New Roman" w:cs="Times New Roman"/>
                <w:i/>
                <w:spacing w:val="-1"/>
                <w:sz w:val="20"/>
                <w:szCs w:val="20"/>
                <w:lang w:eastAsia="x-none"/>
              </w:rPr>
              <w:t>Fig.2 ROC Analysis: Fixation %, Fixation Words, and Regressions</w:t>
            </w:r>
          </w:p>
        </w:tc>
      </w:tr>
    </w:tbl>
    <w:p w14:paraId="1B11E302" w14:textId="62FA0A25" w:rsidR="00505E2E" w:rsidRDefault="00A93EE6">
      <w:pPr>
        <w:spacing w:line="240"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 xml:space="preserve">Fig. 2 shows </w:t>
      </w:r>
      <w:r w:rsidR="007F4F0C" w:rsidRPr="007F4F0C">
        <w:rPr>
          <w:rFonts w:ascii="Times New Roman" w:eastAsia="SimSun" w:hAnsi="Times New Roman" w:cs="Times New Roman"/>
          <w:spacing w:val="-1"/>
          <w:sz w:val="20"/>
          <w:szCs w:val="20"/>
          <w:lang w:eastAsia="x-none"/>
        </w:rPr>
        <w:t xml:space="preserve">ROC curves </w:t>
      </w:r>
      <w:r>
        <w:rPr>
          <w:rFonts w:ascii="Times New Roman" w:eastAsia="SimSun" w:hAnsi="Times New Roman" w:cs="Times New Roman"/>
          <w:spacing w:val="-1"/>
          <w:sz w:val="20"/>
          <w:szCs w:val="20"/>
          <w:lang w:eastAsia="x-none"/>
        </w:rPr>
        <w:t xml:space="preserve">for </w:t>
      </w:r>
      <w:r w:rsidR="007F4F0C" w:rsidRPr="007F4F0C">
        <w:rPr>
          <w:rFonts w:ascii="Times New Roman" w:eastAsia="SimSun" w:hAnsi="Times New Roman" w:cs="Times New Roman"/>
          <w:spacing w:val="-1"/>
          <w:sz w:val="20"/>
          <w:szCs w:val="20"/>
          <w:lang w:eastAsia="x-none"/>
        </w:rPr>
        <w:t>UCs of 1.000 (fixation %), 0.937 (fixation words), and 0.801 (regressions), indicating strong to excellent separation.</w:t>
      </w: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A844A6" w:rsidRPr="00A844A6" w14:paraId="230243ED" w14:textId="77777777" w:rsidTr="008339A4">
        <w:tc>
          <w:tcPr>
            <w:tcW w:w="4320" w:type="dxa"/>
          </w:tcPr>
          <w:p w14:paraId="204C1D06" w14:textId="77777777" w:rsidR="00A844A6" w:rsidRPr="00A844A6" w:rsidRDefault="00A844A6" w:rsidP="00A844A6">
            <w:pPr>
              <w:spacing w:line="240" w:lineRule="auto"/>
              <w:jc w:val="both"/>
              <w:rPr>
                <w:rFonts w:ascii="Times New Roman" w:eastAsia="SimSun" w:hAnsi="Times New Roman" w:cs="Times New Roman"/>
                <w:spacing w:val="-1"/>
                <w:sz w:val="20"/>
                <w:szCs w:val="20"/>
                <w:lang w:eastAsia="x-none"/>
              </w:rPr>
            </w:pPr>
            <w:r w:rsidRPr="00A844A6">
              <w:rPr>
                <w:rFonts w:ascii="Times New Roman" w:eastAsia="SimSun" w:hAnsi="Times New Roman" w:cs="Times New Roman"/>
                <w:noProof/>
                <w:spacing w:val="-1"/>
                <w:sz w:val="20"/>
                <w:szCs w:val="20"/>
                <w:lang w:val="en-US" w:eastAsia="en-US"/>
              </w:rPr>
              <w:drawing>
                <wp:inline distT="0" distB="0" distL="0" distR="0" wp14:anchorId="591E42E9" wp14:editId="78F9B9AF">
                  <wp:extent cx="2661145" cy="612310"/>
                  <wp:effectExtent l="0" t="0" r="0" b="0"/>
                  <wp:docPr id="1568808350" name="image2.png" descr="A white background with a blue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white background with a blue and white text&#10;&#10;AI-generated content may be incorrect."/>
                          <pic:cNvPicPr preferRelativeResize="0"/>
                        </pic:nvPicPr>
                        <pic:blipFill>
                          <a:blip r:embed="rId18"/>
                          <a:srcRect/>
                          <a:stretch>
                            <a:fillRect/>
                          </a:stretch>
                        </pic:blipFill>
                        <pic:spPr>
                          <a:xfrm>
                            <a:off x="0" y="0"/>
                            <a:ext cx="2661145" cy="612310"/>
                          </a:xfrm>
                          <a:prstGeom prst="rect">
                            <a:avLst/>
                          </a:prstGeom>
                          <a:ln/>
                        </pic:spPr>
                      </pic:pic>
                    </a:graphicData>
                  </a:graphic>
                </wp:inline>
              </w:drawing>
            </w:r>
          </w:p>
        </w:tc>
      </w:tr>
      <w:tr w:rsidR="00A844A6" w:rsidRPr="00A844A6" w14:paraId="4B8F723C" w14:textId="77777777" w:rsidTr="008339A4">
        <w:tc>
          <w:tcPr>
            <w:tcW w:w="4320" w:type="dxa"/>
          </w:tcPr>
          <w:p w14:paraId="28F49F49" w14:textId="045AE3E7" w:rsidR="00A844A6" w:rsidRPr="00A844A6" w:rsidRDefault="00A844A6" w:rsidP="00A844A6">
            <w:pPr>
              <w:spacing w:line="240" w:lineRule="auto"/>
              <w:jc w:val="both"/>
              <w:rPr>
                <w:rFonts w:ascii="Times New Roman" w:eastAsia="SimSun" w:hAnsi="Times New Roman" w:cs="Times New Roman"/>
                <w:spacing w:val="-1"/>
                <w:sz w:val="20"/>
                <w:szCs w:val="20"/>
                <w:lang w:eastAsia="x-none"/>
              </w:rPr>
            </w:pPr>
            <w:r w:rsidRPr="00A844A6">
              <w:rPr>
                <w:rFonts w:ascii="Times New Roman" w:eastAsia="SimSun" w:hAnsi="Times New Roman" w:cs="Times New Roman"/>
                <w:i/>
                <w:spacing w:val="-1"/>
                <w:sz w:val="20"/>
                <w:szCs w:val="20"/>
                <w:lang w:eastAsia="x-none"/>
              </w:rPr>
              <w:t xml:space="preserve">Fig </w:t>
            </w:r>
            <w:r>
              <w:rPr>
                <w:rFonts w:ascii="Times New Roman" w:eastAsia="SimSun" w:hAnsi="Times New Roman" w:cs="Times New Roman"/>
                <w:i/>
                <w:spacing w:val="-1"/>
                <w:sz w:val="20"/>
                <w:szCs w:val="20"/>
                <w:lang w:eastAsia="x-none"/>
              </w:rPr>
              <w:t>3</w:t>
            </w:r>
            <w:r w:rsidRPr="00A844A6">
              <w:rPr>
                <w:rFonts w:ascii="Times New Roman" w:eastAsia="SimSun" w:hAnsi="Times New Roman" w:cs="Times New Roman"/>
                <w:i/>
                <w:spacing w:val="-1"/>
                <w:sz w:val="20"/>
                <w:szCs w:val="20"/>
                <w:lang w:eastAsia="x-none"/>
              </w:rPr>
              <w:t>. Scatter Plot Diagram for Fixation Percentage Parameter.</w:t>
            </w:r>
          </w:p>
        </w:tc>
      </w:tr>
    </w:tbl>
    <w:p w14:paraId="66C64619" w14:textId="6C55C69E" w:rsidR="00A844A6" w:rsidRDefault="00A844A6">
      <w:pPr>
        <w:spacing w:line="240" w:lineRule="auto"/>
        <w:jc w:val="both"/>
        <w:rPr>
          <w:rFonts w:ascii="Times New Roman" w:eastAsia="SimSun" w:hAnsi="Times New Roman" w:cs="Times New Roman"/>
          <w:spacing w:val="-1"/>
          <w:sz w:val="20"/>
          <w:szCs w:val="20"/>
          <w:lang w:eastAsia="x-none"/>
        </w:rPr>
      </w:pPr>
      <w:r w:rsidRPr="00A844A6">
        <w:rPr>
          <w:rFonts w:ascii="Times New Roman" w:eastAsia="SimSun" w:hAnsi="Times New Roman" w:cs="Times New Roman"/>
          <w:spacing w:val="-1"/>
          <w:sz w:val="20"/>
          <w:szCs w:val="20"/>
          <w:lang w:eastAsia="x-none"/>
        </w:rPr>
        <w:t>Individual fixation-percentage values exhibit clear between-group separation consistent with the ROC results</w:t>
      </w:r>
      <w:r>
        <w:rPr>
          <w:rFonts w:ascii="Times New Roman" w:eastAsia="SimSun" w:hAnsi="Times New Roman" w:cs="Times New Roman"/>
          <w:spacing w:val="-1"/>
          <w:sz w:val="20"/>
          <w:szCs w:val="20"/>
          <w:lang w:eastAsia="x-none"/>
        </w:rPr>
        <w:t xml:space="preserve"> as shown in Fig. 3</w:t>
      </w:r>
      <w:r w:rsidRPr="00A844A6">
        <w:rPr>
          <w:rFonts w:ascii="Times New Roman" w:eastAsia="SimSun" w:hAnsi="Times New Roman" w:cs="Times New Roman"/>
          <w:spacing w:val="-1"/>
          <w:sz w:val="20"/>
          <w:szCs w:val="20"/>
          <w:lang w:eastAsia="x-none"/>
        </w:rPr>
        <w:t xml:space="preserve">. </w:t>
      </w: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2180"/>
        <w:gridCol w:w="2140"/>
      </w:tblGrid>
      <w:tr w:rsidR="005C0F15" w:rsidRPr="005C0F15" w14:paraId="6264B0B6" w14:textId="77777777" w:rsidTr="008339A4">
        <w:tc>
          <w:tcPr>
            <w:tcW w:w="2180" w:type="dxa"/>
          </w:tcPr>
          <w:p w14:paraId="25D764E8" w14:textId="77777777" w:rsidR="005C0F15" w:rsidRPr="005C0F15" w:rsidRDefault="005C0F15" w:rsidP="005C0F15">
            <w:pPr>
              <w:spacing w:line="240" w:lineRule="auto"/>
              <w:jc w:val="both"/>
              <w:rPr>
                <w:rFonts w:ascii="Times New Roman" w:eastAsia="SimSun" w:hAnsi="Times New Roman" w:cs="Times New Roman"/>
                <w:i/>
                <w:spacing w:val="-1"/>
                <w:sz w:val="20"/>
                <w:szCs w:val="20"/>
                <w:lang w:eastAsia="x-none"/>
              </w:rPr>
            </w:pPr>
            <w:r w:rsidRPr="005C0F15">
              <w:rPr>
                <w:rFonts w:ascii="Times New Roman" w:eastAsia="SimSun" w:hAnsi="Times New Roman" w:cs="Times New Roman"/>
                <w:i/>
                <w:noProof/>
                <w:spacing w:val="-1"/>
                <w:sz w:val="20"/>
                <w:szCs w:val="20"/>
                <w:lang w:val="en-US" w:eastAsia="en-US"/>
              </w:rPr>
              <w:drawing>
                <wp:inline distT="0" distB="0" distL="0" distR="0" wp14:anchorId="7B778E74" wp14:editId="38C9DFFD">
                  <wp:extent cx="1289949" cy="987455"/>
                  <wp:effectExtent l="0" t="0" r="0" b="0"/>
                  <wp:docPr id="1568808353" name="image5.png" descr="A blue and white text with blue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1568808353" name="image5.png" descr="A blue and white text with blue circles&#10;&#10;AI-generated content may be incorrect."/>
                          <pic:cNvPicPr preferRelativeResize="0"/>
                        </pic:nvPicPr>
                        <pic:blipFill>
                          <a:blip r:embed="rId19"/>
                          <a:srcRect/>
                          <a:stretch>
                            <a:fillRect/>
                          </a:stretch>
                        </pic:blipFill>
                        <pic:spPr>
                          <a:xfrm>
                            <a:off x="0" y="0"/>
                            <a:ext cx="1289949" cy="987455"/>
                          </a:xfrm>
                          <a:prstGeom prst="rect">
                            <a:avLst/>
                          </a:prstGeom>
                          <a:ln/>
                        </pic:spPr>
                      </pic:pic>
                    </a:graphicData>
                  </a:graphic>
                </wp:inline>
              </w:drawing>
            </w:r>
          </w:p>
        </w:tc>
        <w:tc>
          <w:tcPr>
            <w:tcW w:w="2140" w:type="dxa"/>
          </w:tcPr>
          <w:p w14:paraId="5346E8FA" w14:textId="77777777" w:rsidR="005C0F15" w:rsidRPr="005C0F15" w:rsidRDefault="005C0F15" w:rsidP="005C0F15">
            <w:pPr>
              <w:spacing w:line="240" w:lineRule="auto"/>
              <w:jc w:val="both"/>
              <w:rPr>
                <w:rFonts w:ascii="Times New Roman" w:eastAsia="SimSun" w:hAnsi="Times New Roman" w:cs="Times New Roman"/>
                <w:i/>
                <w:spacing w:val="-1"/>
                <w:sz w:val="20"/>
                <w:szCs w:val="20"/>
                <w:lang w:eastAsia="x-none"/>
              </w:rPr>
            </w:pPr>
            <w:r w:rsidRPr="005C0F15">
              <w:rPr>
                <w:rFonts w:ascii="Times New Roman" w:eastAsia="SimSun" w:hAnsi="Times New Roman" w:cs="Times New Roman"/>
                <w:i/>
                <w:noProof/>
                <w:spacing w:val="-1"/>
                <w:sz w:val="20"/>
                <w:szCs w:val="20"/>
                <w:lang w:val="en-US" w:eastAsia="en-US"/>
              </w:rPr>
              <w:drawing>
                <wp:inline distT="0" distB="0" distL="0" distR="0" wp14:anchorId="1CCBEC15" wp14:editId="33A2BC8F">
                  <wp:extent cx="1279501" cy="960810"/>
                  <wp:effectExtent l="0" t="0" r="0" b="0"/>
                  <wp:docPr id="1568808352" name="image1.png" descr="A close-up of a paper&#10;&#10;AI-generated content may be incorrect."/>
                  <wp:cNvGraphicFramePr/>
                  <a:graphic xmlns:a="http://schemas.openxmlformats.org/drawingml/2006/main">
                    <a:graphicData uri="http://schemas.openxmlformats.org/drawingml/2006/picture">
                      <pic:pic xmlns:pic="http://schemas.openxmlformats.org/drawingml/2006/picture">
                        <pic:nvPicPr>
                          <pic:cNvPr id="1568808352" name="image1.png" descr="A close-up of a paper&#10;&#10;AI-generated content may be incorrect."/>
                          <pic:cNvPicPr preferRelativeResize="0"/>
                        </pic:nvPicPr>
                        <pic:blipFill>
                          <a:blip r:embed="rId20"/>
                          <a:srcRect/>
                          <a:stretch>
                            <a:fillRect/>
                          </a:stretch>
                        </pic:blipFill>
                        <pic:spPr>
                          <a:xfrm>
                            <a:off x="0" y="0"/>
                            <a:ext cx="1279501" cy="960810"/>
                          </a:xfrm>
                          <a:prstGeom prst="rect">
                            <a:avLst/>
                          </a:prstGeom>
                          <a:ln/>
                        </pic:spPr>
                      </pic:pic>
                    </a:graphicData>
                  </a:graphic>
                </wp:inline>
              </w:drawing>
            </w:r>
          </w:p>
        </w:tc>
      </w:tr>
      <w:tr w:rsidR="005C0F15" w:rsidRPr="005C0F15" w14:paraId="3B63CFFD" w14:textId="77777777" w:rsidTr="008339A4">
        <w:tc>
          <w:tcPr>
            <w:tcW w:w="2180" w:type="dxa"/>
            <w:vAlign w:val="center"/>
          </w:tcPr>
          <w:p w14:paraId="4BDC138D" w14:textId="77777777" w:rsidR="005C0F15" w:rsidRPr="005C0F15" w:rsidRDefault="005C0F15" w:rsidP="005C0F15">
            <w:pPr>
              <w:spacing w:line="240" w:lineRule="auto"/>
              <w:jc w:val="both"/>
              <w:rPr>
                <w:rFonts w:ascii="Times New Roman" w:eastAsia="SimSun" w:hAnsi="Times New Roman" w:cs="Times New Roman"/>
                <w:i/>
                <w:spacing w:val="-1"/>
                <w:sz w:val="20"/>
                <w:szCs w:val="20"/>
                <w:lang w:eastAsia="x-none"/>
              </w:rPr>
            </w:pPr>
            <w:r w:rsidRPr="005C0F15">
              <w:rPr>
                <w:rFonts w:ascii="Times New Roman" w:eastAsia="SimSun" w:hAnsi="Times New Roman" w:cs="Times New Roman"/>
                <w:spacing w:val="-1"/>
                <w:sz w:val="20"/>
                <w:szCs w:val="20"/>
                <w:lang w:eastAsia="x-none"/>
              </w:rPr>
              <w:t>(a)</w:t>
            </w:r>
          </w:p>
        </w:tc>
        <w:tc>
          <w:tcPr>
            <w:tcW w:w="2140" w:type="dxa"/>
            <w:vAlign w:val="center"/>
          </w:tcPr>
          <w:p w14:paraId="54E6F578" w14:textId="77777777" w:rsidR="005C0F15" w:rsidRPr="005C0F15" w:rsidRDefault="005C0F15" w:rsidP="005C0F15">
            <w:pPr>
              <w:spacing w:line="240" w:lineRule="auto"/>
              <w:jc w:val="both"/>
              <w:rPr>
                <w:rFonts w:ascii="Times New Roman" w:eastAsia="SimSun" w:hAnsi="Times New Roman" w:cs="Times New Roman"/>
                <w:i/>
                <w:spacing w:val="-1"/>
                <w:sz w:val="20"/>
                <w:szCs w:val="20"/>
                <w:lang w:eastAsia="x-none"/>
              </w:rPr>
            </w:pPr>
            <w:r w:rsidRPr="005C0F15">
              <w:rPr>
                <w:rFonts w:ascii="Times New Roman" w:eastAsia="SimSun" w:hAnsi="Times New Roman" w:cs="Times New Roman"/>
                <w:spacing w:val="-1"/>
                <w:sz w:val="20"/>
                <w:szCs w:val="20"/>
                <w:lang w:eastAsia="x-none"/>
              </w:rPr>
              <w:t>(b)</w:t>
            </w:r>
          </w:p>
        </w:tc>
      </w:tr>
      <w:tr w:rsidR="005C0F15" w:rsidRPr="005C0F15" w14:paraId="54813267" w14:textId="77777777" w:rsidTr="008339A4">
        <w:tc>
          <w:tcPr>
            <w:tcW w:w="4320" w:type="dxa"/>
            <w:gridSpan w:val="2"/>
          </w:tcPr>
          <w:p w14:paraId="48B14A6E" w14:textId="3085CBC4" w:rsidR="005C0F15" w:rsidRPr="005C0F15" w:rsidRDefault="005C0F15" w:rsidP="005C0F15">
            <w:pPr>
              <w:spacing w:line="240" w:lineRule="auto"/>
              <w:jc w:val="both"/>
              <w:rPr>
                <w:rFonts w:ascii="Times New Roman" w:eastAsia="SimSun" w:hAnsi="Times New Roman" w:cs="Times New Roman"/>
                <w:spacing w:val="-1"/>
                <w:sz w:val="20"/>
                <w:szCs w:val="20"/>
                <w:lang w:eastAsia="x-none"/>
              </w:rPr>
            </w:pPr>
            <w:r w:rsidRPr="005C0F15">
              <w:rPr>
                <w:rFonts w:ascii="Times New Roman" w:eastAsia="SimSun" w:hAnsi="Times New Roman" w:cs="Times New Roman"/>
                <w:i/>
                <w:spacing w:val="-1"/>
                <w:sz w:val="20"/>
                <w:szCs w:val="20"/>
                <w:lang w:eastAsia="x-none"/>
              </w:rPr>
              <w:t>Fig 4. Reading Path from a Dyslexic Reader (a) and a typical reader (b). The blue circles represent fixations, while the green lines represent saccades, and the red lines represent regressions.</w:t>
            </w:r>
          </w:p>
        </w:tc>
      </w:tr>
    </w:tbl>
    <w:p w14:paraId="328F0036" w14:textId="77777777" w:rsidR="00EB1ECB"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Notes: Confidence intervals were computed as 95% t-intervals for group means. Where homogeneity of variance was not met, Welch’s correction was applied. Collectively, these results indicate substantially greater fixation and regression behavior among children with dyslexia relative to age-matched controls.</w:t>
      </w:r>
    </w:p>
    <w:p w14:paraId="328F0037" w14:textId="77777777" w:rsidR="00EB1ECB" w:rsidRPr="002A47F2" w:rsidRDefault="0066010B" w:rsidP="002A47F2">
      <w:pPr>
        <w:pStyle w:val="Heading2"/>
        <w:numPr>
          <w:ilvl w:val="0"/>
          <w:numId w:val="11"/>
        </w:numPr>
        <w:spacing w:before="120" w:after="60" w:line="240" w:lineRule="auto"/>
        <w:rPr>
          <w:rFonts w:ascii="Times New Roman" w:eastAsia="SimSun" w:hAnsi="Times New Roman" w:cs="Times New Roman"/>
          <w:i/>
          <w:iCs/>
          <w:noProof/>
          <w:color w:val="auto"/>
          <w:sz w:val="20"/>
          <w:szCs w:val="20"/>
          <w:lang w:val="en-US" w:eastAsia="en-US"/>
        </w:rPr>
      </w:pPr>
      <w:r w:rsidRPr="002A47F2">
        <w:rPr>
          <w:rFonts w:ascii="Times New Roman" w:eastAsia="SimSun" w:hAnsi="Times New Roman" w:cs="Times New Roman"/>
          <w:i/>
          <w:iCs/>
          <w:noProof/>
          <w:color w:val="auto"/>
          <w:sz w:val="20"/>
          <w:szCs w:val="20"/>
          <w:lang w:val="en-US" w:eastAsia="en-US"/>
        </w:rPr>
        <w:lastRenderedPageBreak/>
        <w:t>Graphical Analysis</w:t>
      </w:r>
    </w:p>
    <w:p w14:paraId="328F0038" w14:textId="68D3EA32"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 xml:space="preserve">The eye movements collected from the eye tracker are then drawn as a picture, along with the text and the subject's eye movements. Our parameters indicate that participants with dyslexic eye movements exhibit fixations and regressions, where they focus on one point for a minimum of 300 </w:t>
      </w:r>
      <w:proofErr w:type="spellStart"/>
      <w:r w:rsidRPr="006D7F88">
        <w:rPr>
          <w:rFonts w:ascii="Times New Roman" w:eastAsia="SimSun" w:hAnsi="Times New Roman" w:cs="Times New Roman"/>
          <w:spacing w:val="-1"/>
          <w:sz w:val="20"/>
          <w:szCs w:val="20"/>
          <w:lang w:val="x-none" w:eastAsia="x-none"/>
        </w:rPr>
        <w:t>ms</w:t>
      </w:r>
      <w:proofErr w:type="spellEnd"/>
      <w:r w:rsidRPr="006D7F88">
        <w:rPr>
          <w:rFonts w:ascii="Times New Roman" w:eastAsia="SimSun" w:hAnsi="Times New Roman" w:cs="Times New Roman"/>
          <w:spacing w:val="-1"/>
          <w:sz w:val="20"/>
          <w:szCs w:val="20"/>
          <w:lang w:val="x-none" w:eastAsia="x-none"/>
        </w:rPr>
        <w:t xml:space="preserve"> (fixation) and then move back in the text to a line or word they have previously read. This pattern was shown in all participants with dyslexia, and it was not as strongly present in TD participants.</w:t>
      </w:r>
      <w:r w:rsidR="00B17E28">
        <w:rPr>
          <w:rFonts w:ascii="Times New Roman" w:eastAsia="SimSun" w:hAnsi="Times New Roman" w:cs="Times New Roman"/>
          <w:spacing w:val="-1"/>
          <w:sz w:val="20"/>
          <w:szCs w:val="20"/>
          <w:lang w:val="x-none" w:eastAsia="x-none"/>
        </w:rPr>
        <w:t xml:space="preserve"> Fig. 4 shows </w:t>
      </w:r>
      <w:r w:rsidR="00B17E28" w:rsidRPr="00B17E28">
        <w:rPr>
          <w:rFonts w:ascii="Times New Roman" w:eastAsia="SimSun" w:hAnsi="Times New Roman" w:cs="Times New Roman"/>
          <w:spacing w:val="-1"/>
          <w:sz w:val="20"/>
          <w:szCs w:val="20"/>
          <w:lang w:val="x-none" w:eastAsia="x-none"/>
        </w:rPr>
        <w:t xml:space="preserve">Example gaze plots </w:t>
      </w:r>
      <w:r w:rsidR="00E26FA9">
        <w:rPr>
          <w:rFonts w:ascii="Times New Roman" w:eastAsia="SimSun" w:hAnsi="Times New Roman" w:cs="Times New Roman"/>
          <w:spacing w:val="-1"/>
          <w:sz w:val="20"/>
          <w:szCs w:val="20"/>
          <w:lang w:val="x-none" w:eastAsia="x-none"/>
        </w:rPr>
        <w:t xml:space="preserve">that </w:t>
      </w:r>
      <w:r w:rsidR="00B17E28" w:rsidRPr="00B17E28">
        <w:rPr>
          <w:rFonts w:ascii="Times New Roman" w:eastAsia="SimSun" w:hAnsi="Times New Roman" w:cs="Times New Roman"/>
          <w:spacing w:val="-1"/>
          <w:sz w:val="20"/>
          <w:szCs w:val="20"/>
          <w:lang w:val="x-none" w:eastAsia="x-none"/>
        </w:rPr>
        <w:t>show denser fixations and more regressions in a dyslexic reader compared with a typical reader.</w:t>
      </w:r>
    </w:p>
    <w:p w14:paraId="328F0042" w14:textId="77777777" w:rsidR="00EB1ECB" w:rsidRPr="00395582" w:rsidRDefault="0066010B" w:rsidP="008E6F29">
      <w:pPr>
        <w:pStyle w:val="Heading1"/>
        <w:numPr>
          <w:ilvl w:val="0"/>
          <w:numId w:val="7"/>
        </w:numPr>
        <w:tabs>
          <w:tab w:val="left" w:pos="216"/>
        </w:tabs>
        <w:spacing w:before="160" w:line="240" w:lineRule="auto"/>
        <w:jc w:val="center"/>
        <w:rPr>
          <w:rFonts w:ascii="Times New Roman" w:eastAsia="SimSun" w:hAnsi="Times New Roman" w:cs="Times New Roman"/>
          <w:smallCaps/>
          <w:noProof/>
          <w:color w:val="auto"/>
          <w:sz w:val="20"/>
          <w:szCs w:val="20"/>
          <w:lang w:val="en-US" w:eastAsia="en-US"/>
        </w:rPr>
      </w:pPr>
      <w:r w:rsidRPr="00395582">
        <w:rPr>
          <w:rFonts w:ascii="Times New Roman" w:eastAsia="SimSun" w:hAnsi="Times New Roman" w:cs="Times New Roman"/>
          <w:smallCaps/>
          <w:noProof/>
          <w:color w:val="auto"/>
          <w:sz w:val="20"/>
          <w:szCs w:val="20"/>
          <w:lang w:val="en-US" w:eastAsia="en-US"/>
        </w:rPr>
        <w:t>DISCUSSION</w:t>
      </w:r>
    </w:p>
    <w:p w14:paraId="328F0043" w14:textId="77777777" w:rsidR="00EB1ECB" w:rsidRPr="006D7F88" w:rsidRDefault="0066010B" w:rsidP="006D7F88">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 xml:space="preserve">The eye movement of dyslexic children consisted of fixations and regressions. The mean, median, and </w:t>
      </w:r>
    </w:p>
    <w:p w14:paraId="328F0044" w14:textId="77777777" w:rsidR="00EB1ECB" w:rsidRPr="006D7F88" w:rsidRDefault="0066010B" w:rsidP="006D7F88">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 xml:space="preserve">mode for each parameter being almost the same show that the graph is bell-shaped, allowing us to use the t-distribution. The fixation percentage and the number of words being higher for dyslexic children indicate that they tend to get ‘stuck’ on words more often than normal children. Dyslexic children showed a higher number of regressions. The low Standard Deviation across all parameters indicates the closeness of the readings and the small range. </w:t>
      </w:r>
    </w:p>
    <w:p w14:paraId="328F0045" w14:textId="1E0D5801"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The confidence interval for means shown in Table 1 is used as a range for screening, and the unpaired t-test yielded a two-tailed P-value of less than 0.0001. This method achieved high sensitivity and specificity, as evidenced by the ROC curves, with the fixation percentage being the most accurate parameter due to the significant gaps between the confidence intervals. The confidence interval for equality of means</w:t>
      </w:r>
      <w:r w:rsidR="009476DE">
        <w:rPr>
          <w:rFonts w:ascii="Times New Roman" w:eastAsia="SimSun" w:hAnsi="Times New Roman" w:cs="Times New Roman"/>
          <w:spacing w:val="-1"/>
          <w:sz w:val="20"/>
          <w:szCs w:val="20"/>
          <w:lang w:val="x-none" w:eastAsia="x-none"/>
        </w:rPr>
        <w:t xml:space="preserve">, as shown in Table 2, supports the conclusion that the difference in means for all parameters is statistically significant. Since P &lt; 0.0001, the variances are also </w:t>
      </w:r>
      <w:r w:rsidRPr="006D7F88">
        <w:rPr>
          <w:rFonts w:ascii="Times New Roman" w:eastAsia="SimSun" w:hAnsi="Times New Roman" w:cs="Times New Roman"/>
          <w:spacing w:val="-1"/>
          <w:sz w:val="20"/>
          <w:szCs w:val="20"/>
          <w:lang w:val="x-none" w:eastAsia="x-none"/>
        </w:rPr>
        <w:t xml:space="preserve">significantly different. </w:t>
      </w:r>
    </w:p>
    <w:p w14:paraId="328F0046"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 xml:space="preserve">The Point Estimate in Table 3 for all parameters indicates that the difference between the two groups (Normal and Dyslexia) is significant (p&gt; 0.8). In practical terms, this suggests that the performance of the Normal Group is significantly better than that of the Dyslexia Group, with a large magnitude of the difference. Confidence intervals in the Independent-Samples Effect Sizes (Table 3) are interpreted as supporting the existence of a significant population effect between the two groups. </w:t>
      </w:r>
    </w:p>
    <w:p w14:paraId="328F0047" w14:textId="77777777" w:rsidR="00EB1ECB" w:rsidRPr="00F07979" w:rsidRDefault="0066010B" w:rsidP="002A47F2">
      <w:pPr>
        <w:pStyle w:val="Heading2"/>
        <w:numPr>
          <w:ilvl w:val="0"/>
          <w:numId w:val="12"/>
        </w:numPr>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Applications</w:t>
      </w:r>
    </w:p>
    <w:p w14:paraId="328F0048"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 xml:space="preserve">This eye-tracking system can be used in Dyslexia centers because it can be part of their diagnosis system as an extra indicator. It can be used in schools and kindergartens if one of the teachers suspects of an </w:t>
      </w:r>
      <w:r w:rsidRPr="006D7F88">
        <w:rPr>
          <w:rFonts w:ascii="Times New Roman" w:eastAsia="SimSun" w:hAnsi="Times New Roman" w:cs="Times New Roman"/>
          <w:spacing w:val="-1"/>
          <w:sz w:val="20"/>
          <w:szCs w:val="20"/>
          <w:lang w:val="x-none" w:eastAsia="x-none"/>
        </w:rPr>
        <w:lastRenderedPageBreak/>
        <w:t>undiagnosed child with dyslexia, as it is easy and fast to use and an affordable option. This eye-tracking system can be used as both a pre-training assessment and a post-training assessment tool.</w:t>
      </w:r>
    </w:p>
    <w:p w14:paraId="328F0049" w14:textId="77777777" w:rsidR="00EB1ECB" w:rsidRPr="00F07979" w:rsidRDefault="0066010B" w:rsidP="002A47F2">
      <w:pPr>
        <w:pStyle w:val="Heading2"/>
        <w:numPr>
          <w:ilvl w:val="0"/>
          <w:numId w:val="12"/>
        </w:numPr>
        <w:tabs>
          <w:tab w:val="num" w:pos="288"/>
        </w:tabs>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Limitations</w:t>
      </w:r>
    </w:p>
    <w:p w14:paraId="328F004A"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Recruiting children with dyslexia proved challenging. Few schools in the region maintain formal identification or dedicated programs, and some families declined participation, which limited the sample size and may affect the generalizability of the results. Additionally, data were collected at a single site using a single device and a single text passage, which limited our ability to assess variability across different settings, hardware, and materials.</w:t>
      </w:r>
    </w:p>
    <w:p w14:paraId="328F004B" w14:textId="77777777" w:rsidR="00EB1ECB" w:rsidRPr="00F07979" w:rsidRDefault="0066010B" w:rsidP="002A47F2">
      <w:pPr>
        <w:pStyle w:val="Heading2"/>
        <w:numPr>
          <w:ilvl w:val="0"/>
          <w:numId w:val="12"/>
        </w:numPr>
        <w:tabs>
          <w:tab w:val="num" w:pos="288"/>
        </w:tabs>
        <w:spacing w:before="120" w:after="60" w:line="240" w:lineRule="auto"/>
        <w:rPr>
          <w:rFonts w:ascii="Times New Roman" w:eastAsia="SimSun" w:hAnsi="Times New Roman" w:cs="Times New Roman"/>
          <w:i/>
          <w:iCs/>
          <w:noProof/>
          <w:color w:val="auto"/>
          <w:sz w:val="20"/>
          <w:szCs w:val="20"/>
          <w:lang w:val="en-US" w:eastAsia="en-US"/>
        </w:rPr>
      </w:pPr>
      <w:r w:rsidRPr="00F07979">
        <w:rPr>
          <w:rFonts w:ascii="Times New Roman" w:eastAsia="SimSun" w:hAnsi="Times New Roman" w:cs="Times New Roman"/>
          <w:i/>
          <w:iCs/>
          <w:noProof/>
          <w:color w:val="auto"/>
          <w:sz w:val="20"/>
          <w:szCs w:val="20"/>
          <w:lang w:val="en-US" w:eastAsia="en-US"/>
        </w:rPr>
        <w:t>Future Plans</w:t>
      </w:r>
    </w:p>
    <w:p w14:paraId="328F004C" w14:textId="77777777" w:rsidR="00EB1ECB" w:rsidRDefault="006601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research group plans </w:t>
      </w:r>
      <w:proofErr w:type="gramStart"/>
      <w:r>
        <w:rPr>
          <w:rFonts w:ascii="Times New Roman" w:eastAsia="Times New Roman" w:hAnsi="Times New Roman" w:cs="Times New Roman"/>
          <w:sz w:val="20"/>
          <w:szCs w:val="20"/>
        </w:rPr>
        <w:t>is</w:t>
      </w:r>
      <w:proofErr w:type="gramEnd"/>
      <w:r>
        <w:rPr>
          <w:rFonts w:ascii="Times New Roman" w:eastAsia="Times New Roman" w:hAnsi="Times New Roman" w:cs="Times New Roman"/>
          <w:sz w:val="20"/>
          <w:szCs w:val="20"/>
        </w:rPr>
        <w:t xml:space="preserve"> to:</w:t>
      </w:r>
    </w:p>
    <w:p w14:paraId="328F004D" w14:textId="77777777" w:rsidR="00EB1ECB" w:rsidRDefault="0066010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Expand the sample by partnering with additional schools and clinics to improve statistical power and external validity.</w:t>
      </w:r>
    </w:p>
    <w:p w14:paraId="328F004E" w14:textId="77777777" w:rsidR="00EB1ECB" w:rsidRDefault="0066010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Broaden feature extraction by evaluating additional eye-tracking parameters and composite indices that may enhance discrimination.</w:t>
      </w:r>
    </w:p>
    <w:p w14:paraId="328F004F" w14:textId="77777777" w:rsidR="00EB1ECB" w:rsidRDefault="0066010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Extend language coverage to include other widely used UN languages, enabling cross-linguistic validation.</w:t>
      </w:r>
    </w:p>
    <w:p w14:paraId="328F0050" w14:textId="77777777" w:rsidR="00EB1ECB" w:rsidRDefault="0066010B">
      <w:pPr>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Improve the software by refining the desktop application for enhanced usability, improved data quality monitoring, and automated reporting.</w:t>
      </w:r>
    </w:p>
    <w:p w14:paraId="328F0051" w14:textId="77777777" w:rsidR="00EB1ECB" w:rsidRPr="002638B5" w:rsidRDefault="0066010B" w:rsidP="002638B5">
      <w:pPr>
        <w:pStyle w:val="ListParagraph"/>
        <w:numPr>
          <w:ilvl w:val="0"/>
          <w:numId w:val="7"/>
        </w:numPr>
        <w:spacing w:line="240" w:lineRule="auto"/>
        <w:jc w:val="center"/>
        <w:rPr>
          <w:rFonts w:ascii="Times New Roman" w:eastAsia="Times New Roman" w:hAnsi="Times New Roman" w:cs="Times New Roman"/>
          <w:sz w:val="20"/>
          <w:szCs w:val="20"/>
        </w:rPr>
      </w:pPr>
      <w:r w:rsidRPr="002638B5">
        <w:rPr>
          <w:rFonts w:ascii="Times New Roman" w:eastAsia="Times New Roman" w:hAnsi="Times New Roman" w:cs="Times New Roman"/>
          <w:sz w:val="20"/>
          <w:szCs w:val="20"/>
        </w:rPr>
        <w:t>CONCLUSION</w:t>
      </w:r>
    </w:p>
    <w:p w14:paraId="328F0052" w14:textId="77777777" w:rsidR="00EB1ECB" w:rsidRPr="006D7F88" w:rsidRDefault="0066010B">
      <w:pPr>
        <w:spacing w:line="240" w:lineRule="auto"/>
        <w:jc w:val="both"/>
        <w:rPr>
          <w:rFonts w:ascii="Times New Roman" w:eastAsia="SimSun" w:hAnsi="Times New Roman" w:cs="Times New Roman"/>
          <w:spacing w:val="-1"/>
          <w:sz w:val="20"/>
          <w:szCs w:val="20"/>
          <w:lang w:val="x-none" w:eastAsia="x-none"/>
        </w:rPr>
      </w:pPr>
      <w:r w:rsidRPr="006D7F88">
        <w:rPr>
          <w:rFonts w:ascii="Times New Roman" w:eastAsia="SimSun" w:hAnsi="Times New Roman" w:cs="Times New Roman"/>
          <w:spacing w:val="-1"/>
          <w:sz w:val="20"/>
          <w:szCs w:val="20"/>
          <w:lang w:val="x-none" w:eastAsia="x-none"/>
        </w:rPr>
        <w:t xml:space="preserve">This study demonstrated that a brief eye-movement task can consistently differentiate Arabic-speaking children with reading dyslexia from age-matched typically developing readers. The dyslexic group showed much higher values on three main metrics: Fixation Percentage, Fixation Words, and Regression Number. All the differences between the two groups were statistically significant (two-tailed p &lt; 0.0001). ROC analyses demonstrated significant discriminative power, highlighting the appropriateness of these oculomotor features for expedited screening. Due to its low cost, non-invasive nature, and ease of administration, the procedure is ideal for implementation in schools and clinics as a primary screening tool to prioritize children for thorough diagnostic evaluation. The current sample is small and comes from a limited area; however, the results suggest that the idea is effective. Future research should enlarge the cohort, authenticate thresholds across dialects and </w:t>
      </w:r>
      <w:r w:rsidRPr="006D7F88">
        <w:rPr>
          <w:rFonts w:ascii="Times New Roman" w:eastAsia="SimSun" w:hAnsi="Times New Roman" w:cs="Times New Roman"/>
          <w:spacing w:val="-1"/>
          <w:sz w:val="20"/>
          <w:szCs w:val="20"/>
          <w:lang w:val="x-none" w:eastAsia="x-none"/>
        </w:rPr>
        <w:lastRenderedPageBreak/>
        <w:t>reading materials, integrate supplementary eye-movement features, and incorporate the pipeline into a user-friendly application to facilitate broader implementation. These findings indicate that eye-tracking-based screening is a viable and scalable method for the early identification and support of children at risk of dyslexia. This work directly supports the United Nations Sustainable Development Goals, particularly SDG 4 (Quality Education) and SDG 10 (Reduced Inequalities), by making it easier for people to access literacy tests and receive help.</w:t>
      </w:r>
    </w:p>
    <w:p w14:paraId="328F0053" w14:textId="77777777" w:rsidR="00EB1ECB" w:rsidRPr="008E6F29" w:rsidRDefault="0066010B" w:rsidP="008E6F29">
      <w:pPr>
        <w:spacing w:line="240" w:lineRule="auto"/>
        <w:jc w:val="center"/>
        <w:rPr>
          <w:rFonts w:ascii="Times New Roman" w:eastAsia="Times New Roman" w:hAnsi="Times New Roman" w:cs="Times New Roman"/>
          <w:sz w:val="20"/>
          <w:szCs w:val="20"/>
        </w:rPr>
      </w:pPr>
      <w:r w:rsidRPr="008E6F29">
        <w:rPr>
          <w:rFonts w:ascii="Times New Roman" w:eastAsia="Times New Roman" w:hAnsi="Times New Roman" w:cs="Times New Roman"/>
          <w:sz w:val="20"/>
          <w:szCs w:val="20"/>
        </w:rPr>
        <w:t>ACKNOWLEDGMENT</w:t>
      </w:r>
    </w:p>
    <w:p w14:paraId="328F0054" w14:textId="77777777" w:rsidR="00EB1ECB" w:rsidRDefault="006601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authors would also like to express their sincere gratitude to the Mind Clinic of Jordan, Dr. </w:t>
      </w:r>
      <w:proofErr w:type="spellStart"/>
      <w:r>
        <w:rPr>
          <w:rFonts w:ascii="Times New Roman" w:eastAsia="Times New Roman" w:hAnsi="Times New Roman" w:cs="Times New Roman"/>
          <w:sz w:val="20"/>
          <w:szCs w:val="20"/>
        </w:rPr>
        <w:t>Laith</w:t>
      </w:r>
      <w:proofErr w:type="spellEnd"/>
      <w:r>
        <w:rPr>
          <w:rFonts w:ascii="Times New Roman" w:eastAsia="Times New Roman" w:hAnsi="Times New Roman" w:cs="Times New Roman"/>
          <w:sz w:val="20"/>
          <w:szCs w:val="20"/>
        </w:rPr>
        <w:t xml:space="preserve"> Al-</w:t>
      </w:r>
      <w:proofErr w:type="spellStart"/>
      <w:r>
        <w:rPr>
          <w:rFonts w:ascii="Times New Roman" w:eastAsia="Times New Roman" w:hAnsi="Times New Roman" w:cs="Times New Roman"/>
          <w:sz w:val="20"/>
          <w:szCs w:val="20"/>
        </w:rPr>
        <w:t>Abbadi</w:t>
      </w:r>
      <w:proofErr w:type="spellEnd"/>
      <w:r>
        <w:rPr>
          <w:rFonts w:ascii="Times New Roman" w:eastAsia="Times New Roman" w:hAnsi="Times New Roman" w:cs="Times New Roman"/>
          <w:sz w:val="20"/>
          <w:szCs w:val="20"/>
        </w:rPr>
        <w:t xml:space="preserve">, and Psychiatric Lana </w:t>
      </w:r>
      <w:proofErr w:type="spellStart"/>
      <w:r>
        <w:rPr>
          <w:rFonts w:ascii="Times New Roman" w:eastAsia="Times New Roman" w:hAnsi="Times New Roman" w:cs="Times New Roman"/>
          <w:sz w:val="20"/>
          <w:szCs w:val="20"/>
        </w:rPr>
        <w:t>Dahbour</w:t>
      </w:r>
      <w:proofErr w:type="spellEnd"/>
      <w:r>
        <w:rPr>
          <w:rFonts w:ascii="Times New Roman" w:eastAsia="Times New Roman" w:hAnsi="Times New Roman" w:cs="Times New Roman"/>
          <w:sz w:val="20"/>
          <w:szCs w:val="20"/>
        </w:rPr>
        <w:t xml:space="preserve"> for their kind collaboration in providing their academic advice and support for this research. The author would like to thank the schools for participating in this research and providing valuable educational insights. Finally, the author would like to thank those who contributed to this critical and ambitious new open-source research in the field of dyslexia, as well as for their valuable discussions and cooperation.</w:t>
      </w:r>
      <w:r>
        <w:rPr>
          <w:rFonts w:ascii="Times New Roman" w:eastAsia="Times New Roman" w:hAnsi="Times New Roman" w:cs="Times New Roman"/>
          <w:b/>
          <w:sz w:val="20"/>
          <w:szCs w:val="20"/>
        </w:rPr>
        <w:t xml:space="preserve"> </w:t>
      </w:r>
    </w:p>
    <w:p w14:paraId="328F0055" w14:textId="77777777" w:rsidR="00EB1ECB" w:rsidRPr="00FD5BA2" w:rsidRDefault="0066010B" w:rsidP="008E6F29">
      <w:pPr>
        <w:pStyle w:val="Heading1"/>
        <w:tabs>
          <w:tab w:val="left" w:pos="216"/>
        </w:tabs>
        <w:spacing w:before="160" w:line="240" w:lineRule="auto"/>
        <w:jc w:val="center"/>
        <w:rPr>
          <w:rFonts w:ascii="Times New Roman" w:eastAsia="SimSun" w:hAnsi="Times New Roman" w:cs="Times New Roman"/>
          <w:smallCaps/>
          <w:noProof/>
          <w:color w:val="auto"/>
          <w:sz w:val="16"/>
          <w:szCs w:val="16"/>
          <w:lang w:val="en-US" w:eastAsia="en-US"/>
        </w:rPr>
      </w:pPr>
      <w:r w:rsidRPr="00395582">
        <w:rPr>
          <w:rFonts w:ascii="Times New Roman" w:eastAsia="SimSun" w:hAnsi="Times New Roman" w:cs="Times New Roman"/>
          <w:smallCaps/>
          <w:noProof/>
          <w:color w:val="auto"/>
          <w:sz w:val="20"/>
          <w:szCs w:val="20"/>
          <w:lang w:val="en-US" w:eastAsia="en-US"/>
        </w:rPr>
        <w:t>REFERENCES</w:t>
      </w:r>
    </w:p>
    <w:p w14:paraId="328F0056"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[1]</w:t>
      </w:r>
      <w:r w:rsidRPr="00FD5BA2">
        <w:rPr>
          <w:rFonts w:ascii="Times New Roman" w:eastAsia="Times New Roman" w:hAnsi="Times New Roman" w:cs="Times New Roman"/>
          <w:sz w:val="16"/>
          <w:szCs w:val="16"/>
        </w:rPr>
        <w:tab/>
        <w:t xml:space="preserve">M. N. </w:t>
      </w:r>
      <w:proofErr w:type="spellStart"/>
      <w:r w:rsidRPr="00FD5BA2">
        <w:rPr>
          <w:rFonts w:ascii="Times New Roman" w:eastAsia="Times New Roman" w:hAnsi="Times New Roman" w:cs="Times New Roman"/>
          <w:sz w:val="16"/>
          <w:szCs w:val="16"/>
        </w:rPr>
        <w:t>Benfatto</w:t>
      </w:r>
      <w:proofErr w:type="spellEnd"/>
      <w:r w:rsidRPr="00FD5BA2">
        <w:rPr>
          <w:rFonts w:ascii="Times New Roman" w:eastAsia="Times New Roman" w:hAnsi="Times New Roman" w:cs="Times New Roman"/>
          <w:sz w:val="16"/>
          <w:szCs w:val="16"/>
        </w:rPr>
        <w:t xml:space="preserve">, G. Ö. </w:t>
      </w:r>
      <w:proofErr w:type="spellStart"/>
      <w:r w:rsidRPr="00FD5BA2">
        <w:rPr>
          <w:rFonts w:ascii="Times New Roman" w:eastAsia="Times New Roman" w:hAnsi="Times New Roman" w:cs="Times New Roman"/>
          <w:sz w:val="16"/>
          <w:szCs w:val="16"/>
        </w:rPr>
        <w:t>Seimyr</w:t>
      </w:r>
      <w:proofErr w:type="spellEnd"/>
      <w:r w:rsidRPr="00FD5BA2">
        <w:rPr>
          <w:rFonts w:ascii="Times New Roman" w:eastAsia="Times New Roman" w:hAnsi="Times New Roman" w:cs="Times New Roman"/>
          <w:sz w:val="16"/>
          <w:szCs w:val="16"/>
        </w:rPr>
        <w:t xml:space="preserve">, J. </w:t>
      </w:r>
      <w:proofErr w:type="spellStart"/>
      <w:r w:rsidRPr="00FD5BA2">
        <w:rPr>
          <w:rFonts w:ascii="Times New Roman" w:eastAsia="Times New Roman" w:hAnsi="Times New Roman" w:cs="Times New Roman"/>
          <w:sz w:val="16"/>
          <w:szCs w:val="16"/>
        </w:rPr>
        <w:t>Ygge</w:t>
      </w:r>
      <w:proofErr w:type="spellEnd"/>
      <w:r w:rsidRPr="00FD5BA2">
        <w:rPr>
          <w:rFonts w:ascii="Times New Roman" w:eastAsia="Times New Roman" w:hAnsi="Times New Roman" w:cs="Times New Roman"/>
          <w:sz w:val="16"/>
          <w:szCs w:val="16"/>
        </w:rPr>
        <w:t xml:space="preserve">, T. </w:t>
      </w:r>
      <w:proofErr w:type="spellStart"/>
      <w:r w:rsidRPr="00FD5BA2">
        <w:rPr>
          <w:rFonts w:ascii="Times New Roman" w:eastAsia="Times New Roman" w:hAnsi="Times New Roman" w:cs="Times New Roman"/>
          <w:sz w:val="16"/>
          <w:szCs w:val="16"/>
        </w:rPr>
        <w:t>Pansell</w:t>
      </w:r>
      <w:proofErr w:type="spellEnd"/>
      <w:r w:rsidRPr="00FD5BA2">
        <w:rPr>
          <w:rFonts w:ascii="Times New Roman" w:eastAsia="Times New Roman" w:hAnsi="Times New Roman" w:cs="Times New Roman"/>
          <w:sz w:val="16"/>
          <w:szCs w:val="16"/>
        </w:rPr>
        <w:t xml:space="preserve">, A. Rydberg, and C. Jacobson, “Screening for dyslexia using eye tracking during reading,” </w:t>
      </w:r>
      <w:proofErr w:type="spellStart"/>
      <w:r w:rsidRPr="00FD5BA2">
        <w:rPr>
          <w:rFonts w:ascii="Times New Roman" w:eastAsia="Times New Roman" w:hAnsi="Times New Roman" w:cs="Times New Roman"/>
          <w:i/>
          <w:sz w:val="16"/>
          <w:szCs w:val="16"/>
        </w:rPr>
        <w:t>PLoS</w:t>
      </w:r>
      <w:proofErr w:type="spellEnd"/>
      <w:r w:rsidRPr="00FD5BA2">
        <w:rPr>
          <w:rFonts w:ascii="Times New Roman" w:eastAsia="Times New Roman" w:hAnsi="Times New Roman" w:cs="Times New Roman"/>
          <w:i/>
          <w:sz w:val="16"/>
          <w:szCs w:val="16"/>
        </w:rPr>
        <w:t xml:space="preserve"> One</w:t>
      </w:r>
      <w:r w:rsidRPr="00FD5BA2">
        <w:rPr>
          <w:rFonts w:ascii="Times New Roman" w:eastAsia="Times New Roman" w:hAnsi="Times New Roman" w:cs="Times New Roman"/>
          <w:sz w:val="16"/>
          <w:szCs w:val="16"/>
        </w:rPr>
        <w:t xml:space="preserve">, vol. 11, no. 12, pp. 1–16, 2016, </w:t>
      </w:r>
      <w:proofErr w:type="spellStart"/>
      <w:r w:rsidRPr="00FD5BA2">
        <w:rPr>
          <w:rFonts w:ascii="Times New Roman" w:eastAsia="Times New Roman" w:hAnsi="Times New Roman" w:cs="Times New Roman"/>
          <w:sz w:val="16"/>
          <w:szCs w:val="16"/>
        </w:rPr>
        <w:t>doi</w:t>
      </w:r>
      <w:proofErr w:type="spellEnd"/>
      <w:r w:rsidRPr="00FD5BA2">
        <w:rPr>
          <w:rFonts w:ascii="Times New Roman" w:eastAsia="Times New Roman" w:hAnsi="Times New Roman" w:cs="Times New Roman"/>
          <w:sz w:val="16"/>
          <w:szCs w:val="16"/>
        </w:rPr>
        <w:t>: 10.1371/journal.pone.0165508.</w:t>
      </w:r>
    </w:p>
    <w:p w14:paraId="328F0057"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[2]</w:t>
      </w:r>
      <w:r w:rsidRPr="00FD5BA2">
        <w:rPr>
          <w:rFonts w:ascii="Times New Roman" w:eastAsia="Times New Roman" w:hAnsi="Times New Roman" w:cs="Times New Roman"/>
          <w:sz w:val="16"/>
          <w:szCs w:val="16"/>
        </w:rPr>
        <w:tab/>
        <w:t>“Dyslexia: What It Is, Causes, Symptoms, Treatment &amp; Types.” Accessed: Jun. 19, 2025. [Online]. Available: https://my.clevelandclinic.org/health/diseases/6005-dyslexia</w:t>
      </w:r>
    </w:p>
    <w:p w14:paraId="328F0058"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[3]</w:t>
      </w:r>
      <w:r w:rsidRPr="00FD5BA2">
        <w:rPr>
          <w:rFonts w:ascii="Times New Roman" w:eastAsia="Times New Roman" w:hAnsi="Times New Roman" w:cs="Times New Roman"/>
          <w:sz w:val="16"/>
          <w:szCs w:val="16"/>
        </w:rPr>
        <w:tab/>
        <w:t>“Dyslexia - British Dyslexia Association.” Accessed: Mar. 08, 2025. [Online]. Available: https://www.bdadyslexia.org.uk/dyslexia</w:t>
      </w:r>
    </w:p>
    <w:p w14:paraId="328F0059"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[4]</w:t>
      </w:r>
      <w:r w:rsidRPr="00FD5BA2">
        <w:rPr>
          <w:rFonts w:ascii="Times New Roman" w:eastAsia="Times New Roman" w:hAnsi="Times New Roman" w:cs="Times New Roman"/>
          <w:sz w:val="16"/>
          <w:szCs w:val="16"/>
        </w:rPr>
        <w:tab/>
        <w:t>J. Bryce, S. Faheem, A. Ali, and A. Shina, “Writing strategies used by secondary school students in the Maldives: A combination of EMI and L2 experiences,” Issues in Educational Research, vol. 33, no. 4, pp. 1308–1323, 2023.</w:t>
      </w:r>
    </w:p>
    <w:p w14:paraId="328F005B"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[5]</w:t>
      </w:r>
      <w:r w:rsidRPr="00FD5BA2">
        <w:rPr>
          <w:rFonts w:ascii="Times New Roman" w:eastAsia="Times New Roman" w:hAnsi="Times New Roman" w:cs="Times New Roman"/>
          <w:sz w:val="16"/>
          <w:szCs w:val="16"/>
        </w:rPr>
        <w:tab/>
        <w:t>“The Yale Center for Dyslexia &amp; Creativity - Yale School of Medicine.” Accessed: Mar. 08, 2025. [Online]. Available: https://dyslexia.yale.edu/</w:t>
      </w:r>
    </w:p>
    <w:p w14:paraId="328F005C"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[6]</w:t>
      </w:r>
      <w:r w:rsidRPr="00FD5BA2">
        <w:rPr>
          <w:rFonts w:ascii="Times New Roman" w:eastAsia="Times New Roman" w:hAnsi="Times New Roman" w:cs="Times New Roman"/>
          <w:sz w:val="16"/>
          <w:szCs w:val="16"/>
        </w:rPr>
        <w:tab/>
        <w:t>“Dyslexia - Diagnosis and treatment - Mayo Clinic.” Accessed: Mar. 11, 2025. [Online]. Available: https://www.mayoclinic.org/diseases-conditions/dyslexia/diagnosis-treatment/drc-20353557</w:t>
      </w:r>
    </w:p>
    <w:p w14:paraId="328F005D"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[7]</w:t>
      </w:r>
      <w:r w:rsidRPr="00FD5BA2">
        <w:rPr>
          <w:rFonts w:ascii="Times New Roman" w:eastAsia="Times New Roman" w:hAnsi="Times New Roman" w:cs="Times New Roman"/>
          <w:sz w:val="16"/>
          <w:szCs w:val="16"/>
        </w:rPr>
        <w:tab/>
      </w:r>
      <w:proofErr w:type="spellStart"/>
      <w:r w:rsidRPr="00FD5BA2">
        <w:rPr>
          <w:rFonts w:ascii="Times New Roman" w:eastAsia="Times New Roman" w:hAnsi="Times New Roman" w:cs="Times New Roman"/>
          <w:sz w:val="16"/>
          <w:szCs w:val="16"/>
        </w:rPr>
        <w:t>Deif</w:t>
      </w:r>
      <w:proofErr w:type="spellEnd"/>
      <w:r w:rsidRPr="00FD5BA2">
        <w:rPr>
          <w:rFonts w:ascii="Times New Roman" w:eastAsia="Times New Roman" w:hAnsi="Times New Roman" w:cs="Times New Roman"/>
          <w:sz w:val="16"/>
          <w:szCs w:val="16"/>
        </w:rPr>
        <w:t xml:space="preserve">, M. A., Attar, H., </w:t>
      </w:r>
      <w:proofErr w:type="spellStart"/>
      <w:r w:rsidRPr="00FD5BA2">
        <w:rPr>
          <w:rFonts w:ascii="Times New Roman" w:eastAsia="Times New Roman" w:hAnsi="Times New Roman" w:cs="Times New Roman"/>
          <w:sz w:val="16"/>
          <w:szCs w:val="16"/>
        </w:rPr>
        <w:t>Alrosan</w:t>
      </w:r>
      <w:proofErr w:type="spellEnd"/>
      <w:r w:rsidRPr="00FD5BA2">
        <w:rPr>
          <w:rFonts w:ascii="Times New Roman" w:eastAsia="Times New Roman" w:hAnsi="Times New Roman" w:cs="Times New Roman"/>
          <w:sz w:val="16"/>
          <w:szCs w:val="16"/>
        </w:rPr>
        <w:t xml:space="preserve">, A., </w:t>
      </w:r>
      <w:r w:rsidRPr="00FD5BA2">
        <w:rPr>
          <w:rFonts w:ascii="Times New Roman" w:eastAsia="Times New Roman" w:hAnsi="Times New Roman" w:cs="Times New Roman"/>
          <w:i/>
          <w:sz w:val="16"/>
          <w:szCs w:val="16"/>
        </w:rPr>
        <w:t>et al.</w:t>
      </w:r>
      <w:r w:rsidRPr="00FD5BA2">
        <w:rPr>
          <w:rFonts w:ascii="Times New Roman" w:eastAsia="Times New Roman" w:hAnsi="Times New Roman" w:cs="Times New Roman"/>
          <w:sz w:val="16"/>
          <w:szCs w:val="16"/>
        </w:rPr>
        <w:t xml:space="preserve">, and Ahmed A. A. </w:t>
      </w:r>
      <w:proofErr w:type="spellStart"/>
      <w:r w:rsidRPr="00FD5BA2">
        <w:rPr>
          <w:rFonts w:ascii="Times New Roman" w:eastAsia="Times New Roman" w:hAnsi="Times New Roman" w:cs="Times New Roman"/>
          <w:sz w:val="16"/>
          <w:szCs w:val="16"/>
        </w:rPr>
        <w:t>Solyman</w:t>
      </w:r>
      <w:proofErr w:type="spellEnd"/>
      <w:r w:rsidRPr="00FD5BA2">
        <w:rPr>
          <w:rFonts w:ascii="Times New Roman" w:eastAsia="Times New Roman" w:hAnsi="Times New Roman" w:cs="Times New Roman"/>
          <w:sz w:val="16"/>
          <w:szCs w:val="16"/>
        </w:rPr>
        <w:t xml:space="preserve">, “Design and development of an intelligent neck and head support system based on eye-blink recognition for cervical dystonia,” </w:t>
      </w:r>
      <w:r w:rsidRPr="00FD5BA2">
        <w:rPr>
          <w:rFonts w:ascii="Times New Roman" w:eastAsia="Times New Roman" w:hAnsi="Times New Roman" w:cs="Times New Roman"/>
          <w:i/>
          <w:sz w:val="16"/>
          <w:szCs w:val="16"/>
        </w:rPr>
        <w:t>Discover Applied Sciences</w:t>
      </w:r>
      <w:r w:rsidRPr="00FD5BA2">
        <w:rPr>
          <w:rFonts w:ascii="Times New Roman" w:eastAsia="Times New Roman" w:hAnsi="Times New Roman" w:cs="Times New Roman"/>
          <w:sz w:val="16"/>
          <w:szCs w:val="16"/>
        </w:rPr>
        <w:t>, 6(11), 602, 2024.</w:t>
      </w:r>
    </w:p>
    <w:p w14:paraId="328F005F"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[8]</w:t>
      </w:r>
      <w:r w:rsidRPr="00FD5BA2">
        <w:rPr>
          <w:rFonts w:ascii="Times New Roman" w:eastAsia="Times New Roman" w:hAnsi="Times New Roman" w:cs="Times New Roman"/>
          <w:sz w:val="16"/>
          <w:szCs w:val="16"/>
        </w:rPr>
        <w:tab/>
        <w:t>G. Schulte-</w:t>
      </w:r>
      <w:proofErr w:type="spellStart"/>
      <w:r w:rsidRPr="00FD5BA2">
        <w:rPr>
          <w:rFonts w:ascii="Times New Roman" w:eastAsia="Times New Roman" w:hAnsi="Times New Roman" w:cs="Times New Roman"/>
          <w:sz w:val="16"/>
          <w:szCs w:val="16"/>
        </w:rPr>
        <w:t>Körne</w:t>
      </w:r>
      <w:proofErr w:type="spellEnd"/>
      <w:r w:rsidRPr="00FD5BA2">
        <w:rPr>
          <w:rFonts w:ascii="Times New Roman" w:eastAsia="Times New Roman" w:hAnsi="Times New Roman" w:cs="Times New Roman"/>
          <w:sz w:val="16"/>
          <w:szCs w:val="16"/>
        </w:rPr>
        <w:t>, “</w:t>
      </w:r>
      <w:proofErr w:type="spellStart"/>
      <w:r w:rsidRPr="00FD5BA2">
        <w:rPr>
          <w:rFonts w:ascii="Times New Roman" w:eastAsia="Times New Roman" w:hAnsi="Times New Roman" w:cs="Times New Roman"/>
          <w:sz w:val="16"/>
          <w:szCs w:val="16"/>
        </w:rPr>
        <w:t>Diagnostik</w:t>
      </w:r>
      <w:proofErr w:type="spellEnd"/>
      <w:r w:rsidRPr="00FD5BA2">
        <w:rPr>
          <w:rFonts w:ascii="Times New Roman" w:eastAsia="Times New Roman" w:hAnsi="Times New Roman" w:cs="Times New Roman"/>
          <w:sz w:val="16"/>
          <w:szCs w:val="16"/>
        </w:rPr>
        <w:t xml:space="preserve"> und </w:t>
      </w:r>
      <w:proofErr w:type="spellStart"/>
      <w:r w:rsidRPr="00FD5BA2">
        <w:rPr>
          <w:rFonts w:ascii="Times New Roman" w:eastAsia="Times New Roman" w:hAnsi="Times New Roman" w:cs="Times New Roman"/>
          <w:sz w:val="16"/>
          <w:szCs w:val="16"/>
        </w:rPr>
        <w:t>therapie</w:t>
      </w:r>
      <w:proofErr w:type="spellEnd"/>
      <w:r w:rsidRPr="00FD5BA2">
        <w:rPr>
          <w:rFonts w:ascii="Times New Roman" w:eastAsia="Times New Roman" w:hAnsi="Times New Roman" w:cs="Times New Roman"/>
          <w:sz w:val="16"/>
          <w:szCs w:val="16"/>
        </w:rPr>
        <w:t xml:space="preserve"> der lese-</w:t>
      </w:r>
      <w:proofErr w:type="spellStart"/>
      <w:r w:rsidRPr="00FD5BA2">
        <w:rPr>
          <w:rFonts w:ascii="Times New Roman" w:eastAsia="Times New Roman" w:hAnsi="Times New Roman" w:cs="Times New Roman"/>
          <w:sz w:val="16"/>
          <w:szCs w:val="16"/>
        </w:rPr>
        <w:t>rechtschreib</w:t>
      </w:r>
      <w:proofErr w:type="spellEnd"/>
      <w:r w:rsidRPr="00FD5BA2">
        <w:rPr>
          <w:rFonts w:ascii="Times New Roman" w:eastAsia="Times New Roman" w:hAnsi="Times New Roman" w:cs="Times New Roman"/>
          <w:sz w:val="16"/>
          <w:szCs w:val="16"/>
        </w:rPr>
        <w:t>-</w:t>
      </w:r>
      <w:proofErr w:type="spellStart"/>
      <w:r w:rsidRPr="00FD5BA2">
        <w:rPr>
          <w:rFonts w:ascii="Times New Roman" w:eastAsia="Times New Roman" w:hAnsi="Times New Roman" w:cs="Times New Roman"/>
          <w:sz w:val="16"/>
          <w:szCs w:val="16"/>
        </w:rPr>
        <w:t>störung</w:t>
      </w:r>
      <w:proofErr w:type="spellEnd"/>
      <w:r w:rsidRPr="00FD5BA2">
        <w:rPr>
          <w:rFonts w:ascii="Times New Roman" w:eastAsia="Times New Roman" w:hAnsi="Times New Roman" w:cs="Times New Roman"/>
          <w:sz w:val="16"/>
          <w:szCs w:val="16"/>
        </w:rPr>
        <w:t xml:space="preserve"> </w:t>
      </w:r>
      <w:proofErr w:type="spellStart"/>
      <w:r w:rsidRPr="00FD5BA2">
        <w:rPr>
          <w:rFonts w:ascii="Times New Roman" w:eastAsia="Times New Roman" w:hAnsi="Times New Roman" w:cs="Times New Roman"/>
          <w:sz w:val="16"/>
          <w:szCs w:val="16"/>
        </w:rPr>
        <w:t>gerd</w:t>
      </w:r>
      <w:proofErr w:type="spellEnd"/>
      <w:r w:rsidRPr="00FD5BA2">
        <w:rPr>
          <w:rFonts w:ascii="Times New Roman" w:eastAsia="Times New Roman" w:hAnsi="Times New Roman" w:cs="Times New Roman"/>
          <w:sz w:val="16"/>
          <w:szCs w:val="16"/>
        </w:rPr>
        <w:t xml:space="preserve"> </w:t>
      </w:r>
      <w:proofErr w:type="spellStart"/>
      <w:r w:rsidRPr="00FD5BA2">
        <w:rPr>
          <w:rFonts w:ascii="Times New Roman" w:eastAsia="Times New Roman" w:hAnsi="Times New Roman" w:cs="Times New Roman"/>
          <w:sz w:val="16"/>
          <w:szCs w:val="16"/>
        </w:rPr>
        <w:t>schulte-körne</w:t>
      </w:r>
      <w:proofErr w:type="spellEnd"/>
      <w:r w:rsidRPr="00FD5BA2">
        <w:rPr>
          <w:rFonts w:ascii="Times New Roman" w:eastAsia="Times New Roman" w:hAnsi="Times New Roman" w:cs="Times New Roman"/>
          <w:sz w:val="16"/>
          <w:szCs w:val="16"/>
        </w:rPr>
        <w:t xml:space="preserve">,” </w:t>
      </w:r>
      <w:proofErr w:type="spellStart"/>
      <w:r w:rsidRPr="00FD5BA2">
        <w:rPr>
          <w:rFonts w:ascii="Times New Roman" w:eastAsia="Times New Roman" w:hAnsi="Times New Roman" w:cs="Times New Roman"/>
          <w:i/>
          <w:sz w:val="16"/>
          <w:szCs w:val="16"/>
        </w:rPr>
        <w:t>Dtsch</w:t>
      </w:r>
      <w:proofErr w:type="spellEnd"/>
      <w:r w:rsidRPr="00FD5BA2">
        <w:rPr>
          <w:rFonts w:ascii="Times New Roman" w:eastAsia="Times New Roman" w:hAnsi="Times New Roman" w:cs="Times New Roman"/>
          <w:i/>
          <w:sz w:val="16"/>
          <w:szCs w:val="16"/>
        </w:rPr>
        <w:t xml:space="preserve">. </w:t>
      </w:r>
      <w:proofErr w:type="spellStart"/>
      <w:r w:rsidRPr="00FD5BA2">
        <w:rPr>
          <w:rFonts w:ascii="Times New Roman" w:eastAsia="Times New Roman" w:hAnsi="Times New Roman" w:cs="Times New Roman"/>
          <w:i/>
          <w:sz w:val="16"/>
          <w:szCs w:val="16"/>
        </w:rPr>
        <w:t>Arztebl</w:t>
      </w:r>
      <w:proofErr w:type="spellEnd"/>
      <w:r w:rsidRPr="00FD5BA2">
        <w:rPr>
          <w:rFonts w:ascii="Times New Roman" w:eastAsia="Times New Roman" w:hAnsi="Times New Roman" w:cs="Times New Roman"/>
          <w:i/>
          <w:sz w:val="16"/>
          <w:szCs w:val="16"/>
        </w:rPr>
        <w:t>.</w:t>
      </w:r>
      <w:r w:rsidRPr="00FD5BA2">
        <w:rPr>
          <w:rFonts w:ascii="Times New Roman" w:eastAsia="Times New Roman" w:hAnsi="Times New Roman" w:cs="Times New Roman"/>
          <w:sz w:val="16"/>
          <w:szCs w:val="16"/>
        </w:rPr>
        <w:t xml:space="preserve">, vol. 107, no. 41, pp. 717–727, 2010, </w:t>
      </w:r>
      <w:proofErr w:type="spellStart"/>
      <w:r w:rsidRPr="00FD5BA2">
        <w:rPr>
          <w:rFonts w:ascii="Times New Roman" w:eastAsia="Times New Roman" w:hAnsi="Times New Roman" w:cs="Times New Roman"/>
          <w:sz w:val="16"/>
          <w:szCs w:val="16"/>
        </w:rPr>
        <w:t>doi</w:t>
      </w:r>
      <w:proofErr w:type="spellEnd"/>
      <w:r w:rsidRPr="00FD5BA2">
        <w:rPr>
          <w:rFonts w:ascii="Times New Roman" w:eastAsia="Times New Roman" w:hAnsi="Times New Roman" w:cs="Times New Roman"/>
          <w:sz w:val="16"/>
          <w:szCs w:val="16"/>
        </w:rPr>
        <w:t xml:space="preserve">: </w:t>
      </w:r>
      <w:r w:rsidRPr="00FD5BA2">
        <w:rPr>
          <w:rFonts w:ascii="Times New Roman" w:eastAsia="Times New Roman" w:hAnsi="Times New Roman" w:cs="Times New Roman"/>
          <w:sz w:val="16"/>
          <w:szCs w:val="16"/>
        </w:rPr>
        <w:lastRenderedPageBreak/>
        <w:t>10.3238/arztebl.2010.0718.</w:t>
      </w:r>
    </w:p>
    <w:p w14:paraId="328F0061"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[9]</w:t>
      </w:r>
      <w:r w:rsidRPr="00FD5BA2">
        <w:rPr>
          <w:rFonts w:ascii="Times New Roman" w:eastAsia="Times New Roman" w:hAnsi="Times New Roman" w:cs="Times New Roman"/>
          <w:sz w:val="16"/>
          <w:szCs w:val="16"/>
        </w:rPr>
        <w:tab/>
        <w:t xml:space="preserve">R. K. Wagner </w:t>
      </w:r>
      <w:r w:rsidRPr="00FD5BA2">
        <w:rPr>
          <w:rFonts w:ascii="Times New Roman" w:eastAsia="Times New Roman" w:hAnsi="Times New Roman" w:cs="Times New Roman"/>
          <w:i/>
          <w:sz w:val="16"/>
          <w:szCs w:val="16"/>
        </w:rPr>
        <w:t>et al.</w:t>
      </w:r>
      <w:r w:rsidRPr="00FD5BA2">
        <w:rPr>
          <w:rFonts w:ascii="Times New Roman" w:eastAsia="Times New Roman" w:hAnsi="Times New Roman" w:cs="Times New Roman"/>
          <w:sz w:val="16"/>
          <w:szCs w:val="16"/>
        </w:rPr>
        <w:t xml:space="preserve">, “The Prevalence of Dyslexia: A New Approach to Its Estimation,” </w:t>
      </w:r>
      <w:r w:rsidRPr="00FD5BA2">
        <w:rPr>
          <w:rFonts w:ascii="Times New Roman" w:eastAsia="Times New Roman" w:hAnsi="Times New Roman" w:cs="Times New Roman"/>
          <w:i/>
          <w:sz w:val="16"/>
          <w:szCs w:val="16"/>
        </w:rPr>
        <w:t xml:space="preserve">J. Learn. </w:t>
      </w:r>
      <w:proofErr w:type="spellStart"/>
      <w:r w:rsidRPr="00FD5BA2">
        <w:rPr>
          <w:rFonts w:ascii="Times New Roman" w:eastAsia="Times New Roman" w:hAnsi="Times New Roman" w:cs="Times New Roman"/>
          <w:i/>
          <w:sz w:val="16"/>
          <w:szCs w:val="16"/>
        </w:rPr>
        <w:t>Disabil</w:t>
      </w:r>
      <w:proofErr w:type="spellEnd"/>
      <w:r w:rsidRPr="00FD5BA2">
        <w:rPr>
          <w:rFonts w:ascii="Times New Roman" w:eastAsia="Times New Roman" w:hAnsi="Times New Roman" w:cs="Times New Roman"/>
          <w:i/>
          <w:sz w:val="16"/>
          <w:szCs w:val="16"/>
        </w:rPr>
        <w:t>.</w:t>
      </w:r>
      <w:r w:rsidRPr="00FD5BA2">
        <w:rPr>
          <w:rFonts w:ascii="Times New Roman" w:eastAsia="Times New Roman" w:hAnsi="Times New Roman" w:cs="Times New Roman"/>
          <w:sz w:val="16"/>
          <w:szCs w:val="16"/>
        </w:rPr>
        <w:t xml:space="preserve">, vol. 53, no. 5, pp. 354–365, 2020, </w:t>
      </w:r>
      <w:proofErr w:type="spellStart"/>
      <w:r w:rsidRPr="00FD5BA2">
        <w:rPr>
          <w:rFonts w:ascii="Times New Roman" w:eastAsia="Times New Roman" w:hAnsi="Times New Roman" w:cs="Times New Roman"/>
          <w:sz w:val="16"/>
          <w:szCs w:val="16"/>
        </w:rPr>
        <w:t>doi</w:t>
      </w:r>
      <w:proofErr w:type="spellEnd"/>
      <w:r w:rsidRPr="00FD5BA2">
        <w:rPr>
          <w:rFonts w:ascii="Times New Roman" w:eastAsia="Times New Roman" w:hAnsi="Times New Roman" w:cs="Times New Roman"/>
          <w:sz w:val="16"/>
          <w:szCs w:val="16"/>
        </w:rPr>
        <w:t>: 10.1177/0022219420920377.</w:t>
      </w:r>
    </w:p>
    <w:p w14:paraId="328F0062" w14:textId="60B4B2A2"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[10]</w:t>
      </w:r>
      <w:r w:rsidRPr="00FD5BA2">
        <w:rPr>
          <w:rFonts w:ascii="Times New Roman" w:eastAsia="Times New Roman" w:hAnsi="Times New Roman" w:cs="Times New Roman"/>
          <w:sz w:val="16"/>
          <w:szCs w:val="16"/>
        </w:rPr>
        <w:tab/>
        <w:t xml:space="preserve">A. </w:t>
      </w:r>
      <w:proofErr w:type="spellStart"/>
      <w:r w:rsidRPr="00FD5BA2">
        <w:rPr>
          <w:rFonts w:ascii="Times New Roman" w:eastAsia="Times New Roman" w:hAnsi="Times New Roman" w:cs="Times New Roman"/>
          <w:sz w:val="16"/>
          <w:szCs w:val="16"/>
        </w:rPr>
        <w:t>JothiPrabha</w:t>
      </w:r>
      <w:proofErr w:type="spellEnd"/>
      <w:r w:rsidRPr="00FD5BA2">
        <w:rPr>
          <w:rFonts w:ascii="Times New Roman" w:eastAsia="Times New Roman" w:hAnsi="Times New Roman" w:cs="Times New Roman"/>
          <w:sz w:val="16"/>
          <w:szCs w:val="16"/>
        </w:rPr>
        <w:t xml:space="preserve">, R. </w:t>
      </w:r>
      <w:proofErr w:type="spellStart"/>
      <w:r w:rsidRPr="00FD5BA2">
        <w:rPr>
          <w:rFonts w:ascii="Times New Roman" w:eastAsia="Times New Roman" w:hAnsi="Times New Roman" w:cs="Times New Roman"/>
          <w:sz w:val="16"/>
          <w:szCs w:val="16"/>
        </w:rPr>
        <w:t>Bhargavi</w:t>
      </w:r>
      <w:proofErr w:type="spellEnd"/>
      <w:r w:rsidRPr="00FD5BA2">
        <w:rPr>
          <w:rFonts w:ascii="Times New Roman" w:eastAsia="Times New Roman" w:hAnsi="Times New Roman" w:cs="Times New Roman"/>
          <w:sz w:val="16"/>
          <w:szCs w:val="16"/>
        </w:rPr>
        <w:t xml:space="preserve">, and B. V. </w:t>
      </w:r>
      <w:proofErr w:type="spellStart"/>
      <w:r w:rsidRPr="00FD5BA2">
        <w:rPr>
          <w:rFonts w:ascii="Times New Roman" w:eastAsia="Times New Roman" w:hAnsi="Times New Roman" w:cs="Times New Roman"/>
          <w:sz w:val="16"/>
          <w:szCs w:val="16"/>
        </w:rPr>
        <w:t>Deepa</w:t>
      </w:r>
      <w:proofErr w:type="spellEnd"/>
      <w:r w:rsidRPr="00FD5BA2">
        <w:rPr>
          <w:rFonts w:ascii="Times New Roman" w:eastAsia="Times New Roman" w:hAnsi="Times New Roman" w:cs="Times New Roman"/>
          <w:sz w:val="16"/>
          <w:szCs w:val="16"/>
        </w:rPr>
        <w:t xml:space="preserve"> Rani, “Prediction of dyslexia severity levels from fixation and saccadic eye movement using machine learning,” </w:t>
      </w:r>
      <w:r w:rsidRPr="00FD5BA2">
        <w:rPr>
          <w:rFonts w:ascii="Times New Roman" w:eastAsia="Times New Roman" w:hAnsi="Times New Roman" w:cs="Times New Roman"/>
          <w:i/>
          <w:sz w:val="16"/>
          <w:szCs w:val="16"/>
        </w:rPr>
        <w:t>Biomed. Signal Process. Control</w:t>
      </w:r>
      <w:r w:rsidRPr="00FD5BA2">
        <w:rPr>
          <w:rFonts w:ascii="Times New Roman" w:eastAsia="Times New Roman" w:hAnsi="Times New Roman" w:cs="Times New Roman"/>
          <w:sz w:val="16"/>
          <w:szCs w:val="16"/>
        </w:rPr>
        <w:t xml:space="preserve">, vol. 79, p. 104094, Jan. 2023, </w:t>
      </w:r>
      <w:proofErr w:type="spellStart"/>
      <w:r w:rsidRPr="00FD5BA2">
        <w:rPr>
          <w:rFonts w:ascii="Times New Roman" w:eastAsia="Times New Roman" w:hAnsi="Times New Roman" w:cs="Times New Roman"/>
          <w:sz w:val="16"/>
          <w:szCs w:val="16"/>
        </w:rPr>
        <w:t>doi</w:t>
      </w:r>
      <w:proofErr w:type="spellEnd"/>
      <w:r w:rsidRPr="00FD5BA2">
        <w:rPr>
          <w:rFonts w:ascii="Times New Roman" w:eastAsia="Times New Roman" w:hAnsi="Times New Roman" w:cs="Times New Roman"/>
          <w:sz w:val="16"/>
          <w:szCs w:val="16"/>
        </w:rPr>
        <w:t>: 10.1016/J.BSPC.2022.104094.</w:t>
      </w:r>
    </w:p>
    <w:p w14:paraId="328F0063"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[11]</w:t>
      </w:r>
      <w:r w:rsidRPr="00FD5BA2">
        <w:rPr>
          <w:rFonts w:ascii="Times New Roman" w:eastAsia="Times New Roman" w:hAnsi="Times New Roman" w:cs="Times New Roman"/>
          <w:sz w:val="16"/>
          <w:szCs w:val="16"/>
        </w:rPr>
        <w:tab/>
        <w:t xml:space="preserve">O. V. C. A. Andrade, P. E. Andrade, and S. A. </w:t>
      </w:r>
      <w:proofErr w:type="spellStart"/>
      <w:r w:rsidRPr="00FD5BA2">
        <w:rPr>
          <w:rFonts w:ascii="Times New Roman" w:eastAsia="Times New Roman" w:hAnsi="Times New Roman" w:cs="Times New Roman"/>
          <w:sz w:val="16"/>
          <w:szCs w:val="16"/>
        </w:rPr>
        <w:t>Capellini</w:t>
      </w:r>
      <w:proofErr w:type="spellEnd"/>
      <w:r w:rsidRPr="00FD5BA2">
        <w:rPr>
          <w:rFonts w:ascii="Times New Roman" w:eastAsia="Times New Roman" w:hAnsi="Times New Roman" w:cs="Times New Roman"/>
          <w:sz w:val="16"/>
          <w:szCs w:val="16"/>
        </w:rPr>
        <w:t xml:space="preserve">, “Collective screening tools for early identification of dyslexia,” </w:t>
      </w:r>
      <w:r w:rsidRPr="00FD5BA2">
        <w:rPr>
          <w:rFonts w:ascii="Times New Roman" w:eastAsia="Times New Roman" w:hAnsi="Times New Roman" w:cs="Times New Roman"/>
          <w:i/>
          <w:sz w:val="16"/>
          <w:szCs w:val="16"/>
        </w:rPr>
        <w:t>Front. Psychol.</w:t>
      </w:r>
      <w:r w:rsidRPr="00FD5BA2">
        <w:rPr>
          <w:rFonts w:ascii="Times New Roman" w:eastAsia="Times New Roman" w:hAnsi="Times New Roman" w:cs="Times New Roman"/>
          <w:sz w:val="16"/>
          <w:szCs w:val="16"/>
        </w:rPr>
        <w:t xml:space="preserve">, vol. 5, no. January, pp. 1–13, 2015, </w:t>
      </w:r>
      <w:proofErr w:type="spellStart"/>
      <w:r w:rsidRPr="00FD5BA2">
        <w:rPr>
          <w:rFonts w:ascii="Times New Roman" w:eastAsia="Times New Roman" w:hAnsi="Times New Roman" w:cs="Times New Roman"/>
          <w:sz w:val="16"/>
          <w:szCs w:val="16"/>
        </w:rPr>
        <w:t>doi</w:t>
      </w:r>
      <w:proofErr w:type="spellEnd"/>
      <w:r w:rsidRPr="00FD5BA2">
        <w:rPr>
          <w:rFonts w:ascii="Times New Roman" w:eastAsia="Times New Roman" w:hAnsi="Times New Roman" w:cs="Times New Roman"/>
          <w:sz w:val="16"/>
          <w:szCs w:val="16"/>
        </w:rPr>
        <w:t>: 10.3389/fpsyg.2014.01581.</w:t>
      </w:r>
    </w:p>
    <w:p w14:paraId="328F0064"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[12]</w:t>
      </w:r>
      <w:r w:rsidRPr="00FD5BA2">
        <w:rPr>
          <w:rFonts w:ascii="Times New Roman" w:eastAsia="Times New Roman" w:hAnsi="Times New Roman" w:cs="Times New Roman"/>
          <w:sz w:val="16"/>
          <w:szCs w:val="16"/>
        </w:rPr>
        <w:tab/>
        <w:t xml:space="preserve">L. </w:t>
      </w:r>
      <w:proofErr w:type="spellStart"/>
      <w:r w:rsidRPr="00FD5BA2">
        <w:rPr>
          <w:rFonts w:ascii="Times New Roman" w:eastAsia="Times New Roman" w:hAnsi="Times New Roman" w:cs="Times New Roman"/>
          <w:sz w:val="16"/>
          <w:szCs w:val="16"/>
        </w:rPr>
        <w:t>Franzen</w:t>
      </w:r>
      <w:proofErr w:type="spellEnd"/>
      <w:r w:rsidRPr="00FD5BA2">
        <w:rPr>
          <w:rFonts w:ascii="Times New Roman" w:eastAsia="Times New Roman" w:hAnsi="Times New Roman" w:cs="Times New Roman"/>
          <w:sz w:val="16"/>
          <w:szCs w:val="16"/>
        </w:rPr>
        <w:t xml:space="preserve">, Z. Stark, and A. P. Johnson, “Individuals with dyslexia use a different visual sampling strategy to read text,” </w:t>
      </w:r>
      <w:r w:rsidRPr="00FD5BA2">
        <w:rPr>
          <w:rFonts w:ascii="Times New Roman" w:eastAsia="Times New Roman" w:hAnsi="Times New Roman" w:cs="Times New Roman"/>
          <w:i/>
          <w:sz w:val="16"/>
          <w:szCs w:val="16"/>
        </w:rPr>
        <w:t>Sci. Rep.</w:t>
      </w:r>
      <w:r w:rsidRPr="00FD5BA2">
        <w:rPr>
          <w:rFonts w:ascii="Times New Roman" w:eastAsia="Times New Roman" w:hAnsi="Times New Roman" w:cs="Times New Roman"/>
          <w:sz w:val="16"/>
          <w:szCs w:val="16"/>
        </w:rPr>
        <w:t xml:space="preserve">, vol. 11, no. 1, pp. 1–17, 2021, </w:t>
      </w:r>
      <w:proofErr w:type="spellStart"/>
      <w:r w:rsidRPr="00FD5BA2">
        <w:rPr>
          <w:rFonts w:ascii="Times New Roman" w:eastAsia="Times New Roman" w:hAnsi="Times New Roman" w:cs="Times New Roman"/>
          <w:sz w:val="16"/>
          <w:szCs w:val="16"/>
        </w:rPr>
        <w:t>doi</w:t>
      </w:r>
      <w:proofErr w:type="spellEnd"/>
      <w:r w:rsidRPr="00FD5BA2">
        <w:rPr>
          <w:rFonts w:ascii="Times New Roman" w:eastAsia="Times New Roman" w:hAnsi="Times New Roman" w:cs="Times New Roman"/>
          <w:sz w:val="16"/>
          <w:szCs w:val="16"/>
        </w:rPr>
        <w:t>: 10.1038/s41598-021-84945-9.</w:t>
      </w:r>
    </w:p>
    <w:p w14:paraId="328F0065"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[13]</w:t>
      </w:r>
      <w:r w:rsidRPr="00FD5BA2">
        <w:rPr>
          <w:rFonts w:ascii="Times New Roman" w:eastAsia="Times New Roman" w:hAnsi="Times New Roman" w:cs="Times New Roman"/>
          <w:sz w:val="16"/>
          <w:szCs w:val="16"/>
        </w:rPr>
        <w:tab/>
        <w:t xml:space="preserve">A. </w:t>
      </w:r>
      <w:proofErr w:type="spellStart"/>
      <w:r w:rsidRPr="00FD5BA2">
        <w:rPr>
          <w:rFonts w:ascii="Times New Roman" w:eastAsia="Times New Roman" w:hAnsi="Times New Roman" w:cs="Times New Roman"/>
          <w:sz w:val="16"/>
          <w:szCs w:val="16"/>
        </w:rPr>
        <w:t>Nursikuwagus</w:t>
      </w:r>
      <w:proofErr w:type="spellEnd"/>
      <w:r w:rsidRPr="00FD5BA2">
        <w:rPr>
          <w:rFonts w:ascii="Times New Roman" w:eastAsia="Times New Roman" w:hAnsi="Times New Roman" w:cs="Times New Roman"/>
          <w:sz w:val="16"/>
          <w:szCs w:val="16"/>
        </w:rPr>
        <w:t xml:space="preserve">, H. </w:t>
      </w:r>
      <w:proofErr w:type="spellStart"/>
      <w:r w:rsidRPr="00FD5BA2">
        <w:rPr>
          <w:rFonts w:ascii="Times New Roman" w:eastAsia="Times New Roman" w:hAnsi="Times New Roman" w:cs="Times New Roman"/>
          <w:sz w:val="16"/>
          <w:szCs w:val="16"/>
        </w:rPr>
        <w:t>Purwanto</w:t>
      </w:r>
      <w:proofErr w:type="spellEnd"/>
      <w:r w:rsidRPr="00FD5BA2">
        <w:rPr>
          <w:rFonts w:ascii="Times New Roman" w:eastAsia="Times New Roman" w:hAnsi="Times New Roman" w:cs="Times New Roman"/>
          <w:sz w:val="16"/>
          <w:szCs w:val="16"/>
        </w:rPr>
        <w:t xml:space="preserve">, and D. A. </w:t>
      </w:r>
      <w:proofErr w:type="spellStart"/>
      <w:r w:rsidRPr="00FD5BA2">
        <w:rPr>
          <w:rFonts w:ascii="Times New Roman" w:eastAsia="Times New Roman" w:hAnsi="Times New Roman" w:cs="Times New Roman"/>
          <w:sz w:val="16"/>
          <w:szCs w:val="16"/>
        </w:rPr>
        <w:t>Dewi</w:t>
      </w:r>
      <w:proofErr w:type="spellEnd"/>
      <w:r w:rsidRPr="00FD5BA2">
        <w:rPr>
          <w:rFonts w:ascii="Times New Roman" w:eastAsia="Times New Roman" w:hAnsi="Times New Roman" w:cs="Times New Roman"/>
          <w:sz w:val="16"/>
          <w:szCs w:val="16"/>
        </w:rPr>
        <w:t>, “Feature classification based on heterogeneous data using hybrid machine learning: A review,” Journal of Theoretical and Applied Information Technology, vol. 101, no. 17, pp. 6991–7010, 2023.</w:t>
      </w:r>
    </w:p>
    <w:p w14:paraId="328F0066" w14:textId="77777777" w:rsidR="00EB1ECB" w:rsidRPr="00FD5BA2" w:rsidRDefault="0066010B">
      <w:pPr>
        <w:widowControl w:val="0"/>
        <w:spacing w:line="240" w:lineRule="auto"/>
        <w:ind w:left="640" w:hanging="640"/>
        <w:jc w:val="both"/>
        <w:rPr>
          <w:rFonts w:ascii="Times New Roman" w:eastAsia="Times New Roman" w:hAnsi="Times New Roman" w:cs="Times New Roman"/>
          <w:sz w:val="16"/>
          <w:szCs w:val="16"/>
        </w:rPr>
      </w:pPr>
      <w:r w:rsidRPr="00FD5BA2">
        <w:rPr>
          <w:rFonts w:ascii="Times New Roman" w:eastAsia="Times New Roman" w:hAnsi="Times New Roman" w:cs="Times New Roman"/>
          <w:sz w:val="16"/>
          <w:szCs w:val="16"/>
        </w:rPr>
        <w:t>[14]</w:t>
      </w:r>
      <w:r w:rsidRPr="00FD5BA2">
        <w:rPr>
          <w:rFonts w:ascii="Times New Roman" w:eastAsia="Times New Roman" w:hAnsi="Times New Roman" w:cs="Times New Roman"/>
          <w:sz w:val="16"/>
          <w:szCs w:val="16"/>
        </w:rPr>
        <w:tab/>
      </w:r>
      <w:proofErr w:type="spellStart"/>
      <w:r w:rsidRPr="00FD5BA2">
        <w:rPr>
          <w:rFonts w:ascii="Times New Roman" w:eastAsia="Times New Roman" w:hAnsi="Times New Roman" w:cs="Times New Roman"/>
          <w:sz w:val="16"/>
          <w:szCs w:val="16"/>
        </w:rPr>
        <w:t>Alghanim</w:t>
      </w:r>
      <w:proofErr w:type="spellEnd"/>
      <w:r w:rsidRPr="00FD5BA2">
        <w:rPr>
          <w:rFonts w:ascii="Times New Roman" w:eastAsia="Times New Roman" w:hAnsi="Times New Roman" w:cs="Times New Roman"/>
          <w:sz w:val="16"/>
          <w:szCs w:val="16"/>
        </w:rPr>
        <w:t xml:space="preserve">, M. H., Attar, H. H., </w:t>
      </w:r>
      <w:proofErr w:type="spellStart"/>
      <w:r w:rsidRPr="00FD5BA2">
        <w:rPr>
          <w:rFonts w:ascii="Times New Roman" w:eastAsia="Times New Roman" w:hAnsi="Times New Roman" w:cs="Times New Roman"/>
          <w:sz w:val="16"/>
          <w:szCs w:val="16"/>
        </w:rPr>
        <w:t>Rezaee</w:t>
      </w:r>
      <w:proofErr w:type="spellEnd"/>
      <w:r w:rsidRPr="00FD5BA2">
        <w:rPr>
          <w:rFonts w:ascii="Times New Roman" w:eastAsia="Times New Roman" w:hAnsi="Times New Roman" w:cs="Times New Roman"/>
          <w:sz w:val="16"/>
          <w:szCs w:val="16"/>
        </w:rPr>
        <w:t xml:space="preserve">, K., Ahmed A. A. </w:t>
      </w:r>
      <w:proofErr w:type="spellStart"/>
      <w:r w:rsidRPr="00FD5BA2">
        <w:rPr>
          <w:rFonts w:ascii="Times New Roman" w:eastAsia="Times New Roman" w:hAnsi="Times New Roman" w:cs="Times New Roman"/>
          <w:sz w:val="16"/>
          <w:szCs w:val="16"/>
        </w:rPr>
        <w:t>Solyman</w:t>
      </w:r>
      <w:proofErr w:type="spellEnd"/>
      <w:r w:rsidRPr="00FD5BA2">
        <w:rPr>
          <w:rFonts w:ascii="Times New Roman" w:eastAsia="Times New Roman" w:hAnsi="Times New Roman" w:cs="Times New Roman"/>
          <w:sz w:val="16"/>
          <w:szCs w:val="16"/>
        </w:rPr>
        <w:t xml:space="preserve">, and M. A. </w:t>
      </w:r>
      <w:proofErr w:type="spellStart"/>
      <w:r w:rsidRPr="00FD5BA2">
        <w:rPr>
          <w:rFonts w:ascii="Times New Roman" w:eastAsia="Times New Roman" w:hAnsi="Times New Roman" w:cs="Times New Roman"/>
          <w:sz w:val="16"/>
          <w:szCs w:val="16"/>
        </w:rPr>
        <w:t>Kanan</w:t>
      </w:r>
      <w:proofErr w:type="spellEnd"/>
      <w:r w:rsidRPr="00FD5BA2">
        <w:rPr>
          <w:rFonts w:ascii="Times New Roman" w:eastAsia="Times New Roman" w:hAnsi="Times New Roman" w:cs="Times New Roman"/>
          <w:sz w:val="16"/>
          <w:szCs w:val="16"/>
        </w:rPr>
        <w:t xml:space="preserve">, “A hybrid deep neural network approach to recognize driving fatigue based on EEG signals,” </w:t>
      </w:r>
      <w:r w:rsidRPr="00FD5BA2">
        <w:rPr>
          <w:rFonts w:ascii="Times New Roman" w:eastAsia="Times New Roman" w:hAnsi="Times New Roman" w:cs="Times New Roman"/>
          <w:i/>
          <w:sz w:val="16"/>
          <w:szCs w:val="16"/>
        </w:rPr>
        <w:t>International Journal of Intelligent Systems</w:t>
      </w:r>
      <w:r w:rsidRPr="00FD5BA2">
        <w:rPr>
          <w:rFonts w:ascii="Times New Roman" w:eastAsia="Times New Roman" w:hAnsi="Times New Roman" w:cs="Times New Roman"/>
          <w:sz w:val="16"/>
          <w:szCs w:val="16"/>
        </w:rPr>
        <w:t>, 2024: 9898333.</w:t>
      </w:r>
      <w:r w:rsidRPr="00FD5BA2">
        <w:rPr>
          <w:rFonts w:ascii="Times New Roman" w:eastAsia="Times New Roman" w:hAnsi="Times New Roman" w:cs="Times New Roman"/>
          <w:sz w:val="16"/>
          <w:szCs w:val="16"/>
        </w:rPr>
        <w:br/>
      </w:r>
      <w:r w:rsidRPr="00FD5BA2">
        <w:rPr>
          <w:rFonts w:ascii="Times New Roman" w:eastAsia="Times New Roman" w:hAnsi="Times New Roman" w:cs="Times New Roman"/>
          <w:i/>
          <w:sz w:val="16"/>
          <w:szCs w:val="16"/>
        </w:rPr>
        <w:t>Why it fits:</w:t>
      </w:r>
      <w:r w:rsidRPr="00FD5BA2">
        <w:rPr>
          <w:rFonts w:ascii="Times New Roman" w:eastAsia="Times New Roman" w:hAnsi="Times New Roman" w:cs="Times New Roman"/>
          <w:sz w:val="16"/>
          <w:szCs w:val="16"/>
        </w:rPr>
        <w:t xml:space="preserve"> Physiological-signal classification with hybrid deep learning—supports your methodology for feature-driven prediction.</w:t>
      </w:r>
    </w:p>
    <w:sectPr w:rsidR="00EB1ECB" w:rsidRPr="00FD5BA2">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DEFB0" w14:textId="77777777" w:rsidR="00BB0CB1" w:rsidRDefault="00BB0CB1">
      <w:pPr>
        <w:spacing w:after="0" w:line="240" w:lineRule="auto"/>
      </w:pPr>
      <w:r>
        <w:separator/>
      </w:r>
    </w:p>
  </w:endnote>
  <w:endnote w:type="continuationSeparator" w:id="0">
    <w:p w14:paraId="49CEC0EE" w14:textId="77777777" w:rsidR="00BB0CB1" w:rsidRDefault="00BB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embedRegular r:id="rId1" w:fontKey="{C0587502-1DD3-41BF-A0EF-F594422D739A}"/>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embedRegular r:id="rId2" w:fontKey="{658B0408-5D84-47C9-A3E3-1E142168A8B5}"/>
    <w:embedItalic r:id="rId3" w:fontKey="{A0C35722-D514-4586-90CC-3839CBB0F390}"/>
  </w:font>
  <w:font w:name="Play">
    <w:charset w:val="00"/>
    <w:family w:val="auto"/>
    <w:pitch w:val="default"/>
    <w:embedRegular r:id="rId4" w:fontKey="{AF4E6C0F-28CB-481A-9AA6-738E31676A55}"/>
  </w:font>
  <w:font w:name="Aptos Display">
    <w:altName w:val="Arial"/>
    <w:charset w:val="00"/>
    <w:family w:val="swiss"/>
    <w:pitch w:val="variable"/>
    <w:sig w:usb0="20000287" w:usb1="00000003" w:usb2="00000000" w:usb3="00000000" w:csb0="0000019F" w:csb1="00000000"/>
    <w:embedRegular r:id="rId5" w:fontKey="{913A8D0A-EB95-4BA4-80EB-AB0E3043AA4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0071" w14:textId="77777777" w:rsidR="00EB1ECB" w:rsidRDefault="00EB1EC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2B655" w14:textId="77777777" w:rsidR="00BB0CB1" w:rsidRDefault="00BB0CB1">
      <w:pPr>
        <w:spacing w:after="0" w:line="240" w:lineRule="auto"/>
      </w:pPr>
      <w:r>
        <w:separator/>
      </w:r>
    </w:p>
  </w:footnote>
  <w:footnote w:type="continuationSeparator" w:id="0">
    <w:p w14:paraId="4DACA95D" w14:textId="77777777" w:rsidR="00BB0CB1" w:rsidRDefault="00BB0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83B"/>
    <w:multiLevelType w:val="multilevel"/>
    <w:tmpl w:val="DA78BFE2"/>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32D603E"/>
    <w:multiLevelType w:val="multilevel"/>
    <w:tmpl w:val="DA78BFE2"/>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B9014ED"/>
    <w:multiLevelType w:val="multilevel"/>
    <w:tmpl w:val="0B5AC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1728A4"/>
    <w:multiLevelType w:val="multilevel"/>
    <w:tmpl w:val="B1BC1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1328F9"/>
    <w:multiLevelType w:val="multilevel"/>
    <w:tmpl w:val="32B47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D543E4"/>
    <w:multiLevelType w:val="multilevel"/>
    <w:tmpl w:val="9D345C36"/>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55B253D"/>
    <w:multiLevelType w:val="hybridMultilevel"/>
    <w:tmpl w:val="AC282E3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F318A6"/>
    <w:multiLevelType w:val="hybridMultilevel"/>
    <w:tmpl w:val="92344E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8E7836"/>
    <w:multiLevelType w:val="multilevel"/>
    <w:tmpl w:val="DA78BFE2"/>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3935238"/>
    <w:multiLevelType w:val="multilevel"/>
    <w:tmpl w:val="DA78BFE2"/>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70A7A4B"/>
    <w:multiLevelType w:val="multilevel"/>
    <w:tmpl w:val="C6AC3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DA7DEC"/>
    <w:multiLevelType w:val="multilevel"/>
    <w:tmpl w:val="3216C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1"/>
  </w:num>
  <w:num w:numId="4">
    <w:abstractNumId w:val="3"/>
  </w:num>
  <w:num w:numId="5">
    <w:abstractNumId w:val="10"/>
  </w:num>
  <w:num w:numId="6">
    <w:abstractNumId w:val="2"/>
  </w:num>
  <w:num w:numId="7">
    <w:abstractNumId w:val="7"/>
  </w:num>
  <w:num w:numId="8">
    <w:abstractNumId w:val="9"/>
  </w:num>
  <w:num w:numId="9">
    <w:abstractNumId w:val="6"/>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CB"/>
    <w:rsid w:val="00023239"/>
    <w:rsid w:val="0016763D"/>
    <w:rsid w:val="002638B5"/>
    <w:rsid w:val="002A47F2"/>
    <w:rsid w:val="00342A1B"/>
    <w:rsid w:val="00395582"/>
    <w:rsid w:val="00424E57"/>
    <w:rsid w:val="004516A8"/>
    <w:rsid w:val="00505E2E"/>
    <w:rsid w:val="005C0F15"/>
    <w:rsid w:val="00655FB8"/>
    <w:rsid w:val="0066010B"/>
    <w:rsid w:val="006716D4"/>
    <w:rsid w:val="006C030F"/>
    <w:rsid w:val="006D7F88"/>
    <w:rsid w:val="006E2A8F"/>
    <w:rsid w:val="006F082C"/>
    <w:rsid w:val="00767C12"/>
    <w:rsid w:val="007D430A"/>
    <w:rsid w:val="007F4F0C"/>
    <w:rsid w:val="007F61D7"/>
    <w:rsid w:val="00871E79"/>
    <w:rsid w:val="008E6F29"/>
    <w:rsid w:val="008E75B8"/>
    <w:rsid w:val="00906237"/>
    <w:rsid w:val="0092389C"/>
    <w:rsid w:val="009476DE"/>
    <w:rsid w:val="00A21F48"/>
    <w:rsid w:val="00A47242"/>
    <w:rsid w:val="00A844A6"/>
    <w:rsid w:val="00A93EE6"/>
    <w:rsid w:val="00B17E28"/>
    <w:rsid w:val="00B47CCA"/>
    <w:rsid w:val="00B63D6B"/>
    <w:rsid w:val="00B761D2"/>
    <w:rsid w:val="00BA5920"/>
    <w:rsid w:val="00BB0CB1"/>
    <w:rsid w:val="00D00258"/>
    <w:rsid w:val="00DA118C"/>
    <w:rsid w:val="00DB6F1F"/>
    <w:rsid w:val="00DE013A"/>
    <w:rsid w:val="00E121E7"/>
    <w:rsid w:val="00E26FA9"/>
    <w:rsid w:val="00E64B9E"/>
    <w:rsid w:val="00EB1ECB"/>
    <w:rsid w:val="00F07979"/>
    <w:rsid w:val="00F46084"/>
    <w:rsid w:val="00FD5B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EFEE6"/>
  <w15:docId w15:val="{2F48BADE-F9D7-4952-B3D8-7A8421F7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E2E"/>
  </w:style>
  <w:style w:type="paragraph" w:styleId="Heading1">
    <w:name w:val="heading 1"/>
    <w:basedOn w:val="Normal"/>
    <w:next w:val="Normal"/>
    <w:link w:val="Heading1Char"/>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27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72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364"/>
    <w:rPr>
      <w:rFonts w:eastAsiaTheme="majorEastAsia" w:cstheme="majorBidi"/>
      <w:color w:val="272727" w:themeColor="text1" w:themeTint="D8"/>
    </w:rPr>
  </w:style>
  <w:style w:type="character" w:customStyle="1" w:styleId="TitleChar">
    <w:name w:val="Title Char"/>
    <w:basedOn w:val="DefaultParagraphFont"/>
    <w:link w:val="Title"/>
    <w:uiPriority w:val="10"/>
    <w:rsid w:val="0027236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7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364"/>
    <w:pPr>
      <w:spacing w:before="160"/>
      <w:jc w:val="center"/>
    </w:pPr>
    <w:rPr>
      <w:i/>
      <w:iCs/>
      <w:color w:val="404040" w:themeColor="text1" w:themeTint="BF"/>
    </w:rPr>
  </w:style>
  <w:style w:type="character" w:customStyle="1" w:styleId="QuoteChar">
    <w:name w:val="Quote Char"/>
    <w:basedOn w:val="DefaultParagraphFont"/>
    <w:link w:val="Quote"/>
    <w:uiPriority w:val="29"/>
    <w:rsid w:val="00272364"/>
    <w:rPr>
      <w:i/>
      <w:iCs/>
      <w:color w:val="404040" w:themeColor="text1" w:themeTint="BF"/>
    </w:rPr>
  </w:style>
  <w:style w:type="paragraph" w:styleId="ListParagraph">
    <w:name w:val="List Paragraph"/>
    <w:basedOn w:val="Normal"/>
    <w:uiPriority w:val="34"/>
    <w:qFormat/>
    <w:rsid w:val="00272364"/>
    <w:pPr>
      <w:ind w:left="720"/>
      <w:contextualSpacing/>
    </w:pPr>
  </w:style>
  <w:style w:type="character" w:styleId="IntenseEmphasis">
    <w:name w:val="Intense Emphasis"/>
    <w:basedOn w:val="DefaultParagraphFont"/>
    <w:uiPriority w:val="21"/>
    <w:qFormat/>
    <w:rsid w:val="00272364"/>
    <w:rPr>
      <w:i/>
      <w:iCs/>
      <w:color w:val="0F4761" w:themeColor="accent1" w:themeShade="BF"/>
    </w:rPr>
  </w:style>
  <w:style w:type="paragraph" w:styleId="IntenseQuote">
    <w:name w:val="Intense Quote"/>
    <w:basedOn w:val="Normal"/>
    <w:next w:val="Normal"/>
    <w:link w:val="IntenseQuoteChar"/>
    <w:uiPriority w:val="30"/>
    <w:qFormat/>
    <w:rsid w:val="0027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364"/>
    <w:rPr>
      <w:i/>
      <w:iCs/>
      <w:color w:val="0F4761" w:themeColor="accent1" w:themeShade="BF"/>
    </w:rPr>
  </w:style>
  <w:style w:type="character" w:styleId="IntenseReference">
    <w:name w:val="Intense Reference"/>
    <w:basedOn w:val="DefaultParagraphFont"/>
    <w:uiPriority w:val="32"/>
    <w:qFormat/>
    <w:rsid w:val="00272364"/>
    <w:rPr>
      <w:b/>
      <w:bCs/>
      <w:smallCaps/>
      <w:color w:val="0F4761" w:themeColor="accent1" w:themeShade="BF"/>
      <w:spacing w:val="5"/>
    </w:rPr>
  </w:style>
  <w:style w:type="paragraph" w:customStyle="1" w:styleId="Author">
    <w:name w:val="Author"/>
    <w:rsid w:val="00274286"/>
    <w:pPr>
      <w:spacing w:before="360" w:after="40" w:line="240" w:lineRule="auto"/>
      <w:jc w:val="center"/>
    </w:pPr>
    <w:rPr>
      <w:rFonts w:ascii="Times New Roman" w:eastAsia="SimSun" w:hAnsi="Times New Roman" w:cs="Times New Roman"/>
      <w:noProof/>
      <w:sz w:val="22"/>
      <w:szCs w:val="22"/>
    </w:rPr>
  </w:style>
  <w:style w:type="character" w:styleId="Hyperlink">
    <w:name w:val="Hyperlink"/>
    <w:basedOn w:val="DefaultParagraphFont"/>
    <w:unhideWhenUsed/>
    <w:rsid w:val="00274286"/>
    <w:rPr>
      <w:color w:val="467886" w:themeColor="hyperlink"/>
      <w:u w:val="single"/>
    </w:rPr>
  </w:style>
  <w:style w:type="character" w:customStyle="1" w:styleId="UnresolvedMention">
    <w:name w:val="Unresolved Mention"/>
    <w:basedOn w:val="DefaultParagraphFont"/>
    <w:uiPriority w:val="99"/>
    <w:semiHidden/>
    <w:unhideWhenUsed/>
    <w:rsid w:val="00274286"/>
    <w:rPr>
      <w:color w:val="605E5C"/>
      <w:shd w:val="clear" w:color="auto" w:fill="E1DFDD"/>
    </w:rPr>
  </w:style>
  <w:style w:type="paragraph" w:styleId="Header">
    <w:name w:val="header"/>
    <w:basedOn w:val="Normal"/>
    <w:link w:val="HeaderChar"/>
    <w:uiPriority w:val="99"/>
    <w:unhideWhenUsed/>
    <w:rsid w:val="00DF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9D8"/>
  </w:style>
  <w:style w:type="paragraph" w:styleId="Footer">
    <w:name w:val="footer"/>
    <w:basedOn w:val="Normal"/>
    <w:link w:val="FooterChar"/>
    <w:uiPriority w:val="99"/>
    <w:unhideWhenUsed/>
    <w:rsid w:val="00DF1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9D8"/>
  </w:style>
  <w:style w:type="table" w:styleId="TableGrid">
    <w:name w:val="Table Grid"/>
    <w:basedOn w:val="TableNormal"/>
    <w:uiPriority w:val="59"/>
    <w:rsid w:val="006A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06D9"/>
    <w:rPr>
      <w:rFonts w:ascii="Times New Roman" w:hAnsi="Times New Roman" w:cs="Times New Roman"/>
    </w:rPr>
  </w:style>
  <w:style w:type="table" w:customStyle="1" w:styleId="TableGrid1">
    <w:name w:val="Table Grid1"/>
    <w:basedOn w:val="TableNormal"/>
    <w:next w:val="TableGrid"/>
    <w:uiPriority w:val="59"/>
    <w:rsid w:val="009976DA"/>
    <w:pPr>
      <w:spacing w:after="0" w:line="240" w:lineRule="auto"/>
    </w:pPr>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2"/>
      <w:szCs w:val="22"/>
    </w:r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BodyText">
    <w:name w:val="Body Text"/>
    <w:basedOn w:val="Normal"/>
    <w:link w:val="BodyTextChar"/>
    <w:rsid w:val="00B63D6B"/>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B63D6B"/>
    <w:rPr>
      <w:rFonts w:ascii="Times New Roman" w:eastAsia="SimSun" w:hAnsi="Times New Roman" w:cs="Times New Roman"/>
      <w:spacing w:val="-1"/>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maAlShaghnobi29@kingsacademy.edu.jo" TargetMode="External"/><Relationship Id="rId13" Type="http://schemas.openxmlformats.org/officeDocument/2006/relationships/hyperlink" Target="mailto:sabujammaah@jubilee.edu.jo"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lshaghnobi.ieu2025@student.ie.ed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dahdouh@jubilee.edu.j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3-1278-1257"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al-odat@qu.edu.qa" TargetMode="External"/><Relationship Id="rId14" Type="http://schemas.openxmlformats.org/officeDocument/2006/relationships/hyperlink" Target="mailto:mohdahmed.hafez@newinti.edu.my"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ygX4LwOlvz+UxxzsFbdro4MKw==">CgMxLjAaJQoBMBIgCh4IB0IaCg9UaW1lcyBOZXcgUm9tYW4SB0d1bmdzdWgaJQoBMRIgCh4IB0IaCg9UaW1lcyBOZXcgUm9tYW4SB0d1bmdzdWgyDmgubjBuY3NmM3BoMXZrOAByITFQMzZKNkVvVk9DcndTblBiRHI0REZ5dkYtN2Y0VlVnQg==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sima.alshaghnobi@outlook.com</dc:creator>
  <cp:lastModifiedBy>Khaled</cp:lastModifiedBy>
  <cp:revision>2</cp:revision>
  <dcterms:created xsi:type="dcterms:W3CDTF">2025-11-28T08:34:00Z</dcterms:created>
  <dcterms:modified xsi:type="dcterms:W3CDTF">2025-11-28T08:34:00Z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a64e5271-ccda-4966-9aa1-6c518c1b33ee</vt:lpwstr>
  </property>
  <property fmtid="{D5CDD505-2E9C-101B-9397-08002B2CF9AE}" pid="3" name="Mendeley Document_1">
    <vt:lpwstr>True</vt:lpwstr>
  </property>
  <property fmtid="{D5CDD505-2E9C-101B-9397-08002B2CF9AE}" pid="4" name="Mendeley Unique User Id_1">
    <vt:lpwstr>b3e4eb65-bb5e-3a3d-bc6b-0f07e6c34de0</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4th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