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E9448" w14:textId="77777777" w:rsidR="000E1DB2" w:rsidRPr="001C5F66" w:rsidRDefault="0090179E" w:rsidP="001C5F66">
      <w:pPr>
        <w:pStyle w:val="papertitle"/>
        <w:spacing w:before="120"/>
      </w:pPr>
      <w:r w:rsidRPr="001C5F66">
        <w:t>Implementing Blockchain-based Secure Payment Systems in Electronic Government Services</w:t>
      </w:r>
    </w:p>
    <w:p w14:paraId="0FA69AA6" w14:textId="77777777" w:rsidR="007C0942" w:rsidRDefault="007C0942" w:rsidP="007C0942">
      <w:pPr>
        <w:pStyle w:val="Author"/>
        <w:spacing w:before="0"/>
        <w:rPr>
          <w:i/>
          <w:sz w:val="18"/>
          <w:szCs w:val="18"/>
        </w:rPr>
        <w:sectPr w:rsidR="007C0942" w:rsidSect="003A46AF">
          <w:type w:val="continuous"/>
          <w:pgSz w:w="11909" w:h="16834" w:code="9"/>
          <w:pgMar w:top="1080" w:right="907" w:bottom="1440" w:left="907" w:header="720" w:footer="720" w:gutter="0"/>
          <w:cols w:space="720"/>
          <w:docGrid w:linePitch="360"/>
        </w:sectPr>
      </w:pPr>
    </w:p>
    <w:p w14:paraId="1E67187D" w14:textId="77777777" w:rsidR="007C0942" w:rsidRPr="007C0942" w:rsidRDefault="00B12BB5" w:rsidP="007C0942">
      <w:pPr>
        <w:pStyle w:val="Author"/>
        <w:spacing w:before="100" w:beforeAutospacing="1"/>
        <w:rPr>
          <w:sz w:val="18"/>
          <w:szCs w:val="18"/>
        </w:rPr>
      </w:pPr>
      <w:r w:rsidRPr="007C0942">
        <w:rPr>
          <w:sz w:val="18"/>
          <w:szCs w:val="18"/>
        </w:rPr>
        <w:lastRenderedPageBreak/>
        <w:t xml:space="preserve">Dr. Anukampa Behera, </w:t>
      </w:r>
    </w:p>
    <w:p w14:paraId="200DE20B" w14:textId="378962B6" w:rsidR="007C0942" w:rsidRPr="007C0942" w:rsidRDefault="00B12BB5" w:rsidP="007C0942">
      <w:pPr>
        <w:pStyle w:val="Author"/>
        <w:spacing w:before="0"/>
        <w:rPr>
          <w:i/>
          <w:sz w:val="18"/>
          <w:szCs w:val="18"/>
        </w:rPr>
      </w:pPr>
      <w:r w:rsidRPr="007C0942">
        <w:rPr>
          <w:i/>
          <w:sz w:val="18"/>
          <w:szCs w:val="18"/>
        </w:rPr>
        <w:t>Assistant Professor, Department of Computer Science and Engineering, Siksha 'O' Anusandhan (Deemed to be Universit</w:t>
      </w:r>
      <w:r w:rsidR="001C5F66" w:rsidRPr="007C0942">
        <w:rPr>
          <w:i/>
          <w:sz w:val="18"/>
          <w:szCs w:val="18"/>
        </w:rPr>
        <w:t xml:space="preserve">y), Bhubaneswar, Odisha, India. </w:t>
      </w:r>
      <w:r w:rsidRPr="007C0942">
        <w:rPr>
          <w:sz w:val="18"/>
          <w:szCs w:val="18"/>
        </w:rPr>
        <w:t>anukampabehera@soa.ac.in,</w:t>
      </w:r>
      <w:r w:rsidRPr="007C0942">
        <w:rPr>
          <w:i/>
          <w:sz w:val="18"/>
          <w:szCs w:val="18"/>
        </w:rPr>
        <w:t xml:space="preserve"> </w:t>
      </w:r>
      <w:hyperlink r:id="rId5" w:history="1">
        <w:r w:rsidR="007C0942" w:rsidRPr="007C0942">
          <w:rPr>
            <w:rStyle w:val="Hyperlink"/>
            <w:i/>
            <w:color w:val="auto"/>
            <w:sz w:val="18"/>
            <w:szCs w:val="18"/>
            <w:u w:val="none"/>
          </w:rPr>
          <w:t>https://orcid.org/0000-0002-6804-7660</w:t>
        </w:r>
      </w:hyperlink>
    </w:p>
    <w:p w14:paraId="7EC3CEF4" w14:textId="4FA58561" w:rsidR="007C0942" w:rsidRPr="007C0942" w:rsidRDefault="00B12BB5" w:rsidP="007C0942">
      <w:pPr>
        <w:pStyle w:val="Author"/>
        <w:spacing w:before="100" w:beforeAutospacing="1"/>
        <w:rPr>
          <w:sz w:val="18"/>
          <w:szCs w:val="18"/>
        </w:rPr>
      </w:pPr>
      <w:r w:rsidRPr="007C0942">
        <w:rPr>
          <w:sz w:val="18"/>
          <w:szCs w:val="18"/>
        </w:rPr>
        <w:t xml:space="preserve">K. Suneetha, </w:t>
      </w:r>
    </w:p>
    <w:p w14:paraId="62086C4D" w14:textId="38E764AC" w:rsidR="00B12BB5" w:rsidRPr="007C0942" w:rsidRDefault="00B12BB5" w:rsidP="007C0942">
      <w:pPr>
        <w:pStyle w:val="Author"/>
        <w:spacing w:before="0"/>
        <w:rPr>
          <w:i/>
          <w:sz w:val="18"/>
          <w:szCs w:val="18"/>
        </w:rPr>
      </w:pPr>
      <w:r w:rsidRPr="007C0942">
        <w:rPr>
          <w:i/>
          <w:sz w:val="18"/>
          <w:szCs w:val="18"/>
        </w:rPr>
        <w:t>Professor, Department of Computer Science and Information Technology, Jain (Deemed to be University</w:t>
      </w:r>
      <w:r w:rsidR="001C5F66" w:rsidRPr="007C0942">
        <w:rPr>
          <w:i/>
          <w:sz w:val="18"/>
          <w:szCs w:val="18"/>
        </w:rPr>
        <w:t xml:space="preserve">), Bangalore, Karnataka, India. </w:t>
      </w:r>
      <w:r w:rsidRPr="007C0942">
        <w:rPr>
          <w:sz w:val="18"/>
          <w:szCs w:val="18"/>
        </w:rPr>
        <w:t>k.suneetha@jainuniversity.ac.in,</w:t>
      </w:r>
      <w:r w:rsidRPr="007C0942">
        <w:rPr>
          <w:i/>
          <w:sz w:val="18"/>
          <w:szCs w:val="18"/>
        </w:rPr>
        <w:t xml:space="preserve"> </w:t>
      </w:r>
      <w:r w:rsidR="001C5F66" w:rsidRPr="007C0942">
        <w:rPr>
          <w:i/>
          <w:sz w:val="18"/>
          <w:szCs w:val="18"/>
        </w:rPr>
        <w:t>https://orcid.org/</w:t>
      </w:r>
      <w:r w:rsidRPr="007C0942">
        <w:rPr>
          <w:i/>
          <w:sz w:val="18"/>
          <w:szCs w:val="18"/>
        </w:rPr>
        <w:t>0000-0001-6738-3921</w:t>
      </w:r>
    </w:p>
    <w:p w14:paraId="2C9CAB0C" w14:textId="77777777" w:rsidR="007C0942" w:rsidRPr="007C0942" w:rsidRDefault="001C5F66" w:rsidP="007C0942">
      <w:pPr>
        <w:pStyle w:val="Author"/>
        <w:spacing w:before="100" w:beforeAutospacing="1"/>
        <w:rPr>
          <w:sz w:val="18"/>
          <w:szCs w:val="18"/>
        </w:rPr>
      </w:pPr>
      <w:r w:rsidRPr="007C0942">
        <w:rPr>
          <w:sz w:val="18"/>
          <w:szCs w:val="18"/>
        </w:rPr>
        <w:lastRenderedPageBreak/>
        <w:t xml:space="preserve">M. </w:t>
      </w:r>
      <w:r w:rsidR="00B12BB5" w:rsidRPr="007C0942">
        <w:rPr>
          <w:sz w:val="18"/>
          <w:szCs w:val="18"/>
        </w:rPr>
        <w:t xml:space="preserve">Kavitha, </w:t>
      </w:r>
    </w:p>
    <w:p w14:paraId="5B42C47C" w14:textId="115AC2E1" w:rsidR="00B12BB5" w:rsidRPr="007C0942" w:rsidRDefault="00B12BB5" w:rsidP="007C0942">
      <w:pPr>
        <w:pStyle w:val="Author"/>
        <w:spacing w:before="0"/>
        <w:rPr>
          <w:i/>
          <w:sz w:val="18"/>
          <w:szCs w:val="18"/>
        </w:rPr>
      </w:pPr>
      <w:r w:rsidRPr="007C0942">
        <w:rPr>
          <w:i/>
          <w:sz w:val="18"/>
          <w:szCs w:val="18"/>
        </w:rPr>
        <w:t>Assistant Professor, Department of Computer Applications (DCA), Presid</w:t>
      </w:r>
      <w:r w:rsidR="001C5F66" w:rsidRPr="007C0942">
        <w:rPr>
          <w:i/>
          <w:sz w:val="18"/>
          <w:szCs w:val="18"/>
        </w:rPr>
        <w:t xml:space="preserve">ency College, Bengaluru, India. </w:t>
      </w:r>
      <w:r w:rsidRPr="007C0942">
        <w:rPr>
          <w:sz w:val="18"/>
          <w:szCs w:val="18"/>
        </w:rPr>
        <w:t>kavitha.m@presidency.edu.in,</w:t>
      </w:r>
      <w:r w:rsidRPr="007C0942">
        <w:rPr>
          <w:i/>
          <w:sz w:val="18"/>
          <w:szCs w:val="18"/>
        </w:rPr>
        <w:t xml:space="preserve"> </w:t>
      </w:r>
      <w:r w:rsidR="001C5F66" w:rsidRPr="007C0942">
        <w:rPr>
          <w:i/>
          <w:sz w:val="18"/>
          <w:szCs w:val="18"/>
        </w:rPr>
        <w:t>https://orcid.org/</w:t>
      </w:r>
      <w:r w:rsidRPr="007C0942">
        <w:rPr>
          <w:i/>
          <w:sz w:val="18"/>
          <w:szCs w:val="18"/>
        </w:rPr>
        <w:t>0009-0005-5344-6684</w:t>
      </w:r>
    </w:p>
    <w:p w14:paraId="61F2EB35" w14:textId="77777777" w:rsidR="007C0942" w:rsidRPr="007C0942" w:rsidRDefault="001C5F66" w:rsidP="007C0942">
      <w:pPr>
        <w:pStyle w:val="Author"/>
        <w:spacing w:before="100" w:beforeAutospacing="1"/>
        <w:rPr>
          <w:sz w:val="18"/>
          <w:szCs w:val="18"/>
        </w:rPr>
      </w:pPr>
      <w:r w:rsidRPr="007C0942">
        <w:rPr>
          <w:sz w:val="18"/>
          <w:szCs w:val="18"/>
        </w:rPr>
        <w:t xml:space="preserve">T. </w:t>
      </w:r>
      <w:r w:rsidR="00B12BB5" w:rsidRPr="007C0942">
        <w:rPr>
          <w:sz w:val="18"/>
          <w:szCs w:val="18"/>
        </w:rPr>
        <w:t xml:space="preserve">Manikandan, </w:t>
      </w:r>
    </w:p>
    <w:p w14:paraId="501E9857" w14:textId="3F36364E" w:rsidR="00B12BB5" w:rsidRPr="007C0942" w:rsidRDefault="00B12BB5" w:rsidP="007C0942">
      <w:pPr>
        <w:pStyle w:val="Author"/>
        <w:spacing w:before="0"/>
        <w:rPr>
          <w:sz w:val="18"/>
          <w:szCs w:val="18"/>
        </w:rPr>
      </w:pPr>
      <w:r w:rsidRPr="007C0942">
        <w:rPr>
          <w:i/>
          <w:sz w:val="18"/>
          <w:szCs w:val="18"/>
        </w:rPr>
        <w:t>Assistant Professor, Department of Electronics and Communication Engineering, Presidency Universit</w:t>
      </w:r>
      <w:r w:rsidR="001C5F66" w:rsidRPr="007C0942">
        <w:rPr>
          <w:i/>
          <w:sz w:val="18"/>
          <w:szCs w:val="18"/>
        </w:rPr>
        <w:t xml:space="preserve">y, Bangalore, Karnataka, India. </w:t>
      </w:r>
      <w:r w:rsidRPr="007C0942">
        <w:rPr>
          <w:sz w:val="18"/>
          <w:szCs w:val="18"/>
        </w:rPr>
        <w:t>manikandan.t@presidencyuniversity.in</w:t>
      </w:r>
    </w:p>
    <w:p w14:paraId="1DCE3750" w14:textId="77777777" w:rsidR="007C0942" w:rsidRPr="007C0942" w:rsidRDefault="001C5F66" w:rsidP="007C0942">
      <w:pPr>
        <w:pStyle w:val="Author"/>
        <w:spacing w:before="100" w:beforeAutospacing="1"/>
        <w:rPr>
          <w:sz w:val="18"/>
          <w:szCs w:val="18"/>
        </w:rPr>
      </w:pPr>
      <w:r w:rsidRPr="007C0942">
        <w:rPr>
          <w:sz w:val="18"/>
          <w:szCs w:val="18"/>
        </w:rPr>
        <w:lastRenderedPageBreak/>
        <w:t>Dr.V. Nirmalrani</w:t>
      </w:r>
      <w:r w:rsidR="00B12BB5" w:rsidRPr="007C0942">
        <w:rPr>
          <w:sz w:val="18"/>
          <w:szCs w:val="18"/>
        </w:rPr>
        <w:t xml:space="preserve">, </w:t>
      </w:r>
    </w:p>
    <w:p w14:paraId="40C723FD" w14:textId="0B2CBDE6" w:rsidR="00B12BB5" w:rsidRPr="007C0942" w:rsidRDefault="00B12BB5" w:rsidP="007C0942">
      <w:pPr>
        <w:pStyle w:val="Author"/>
        <w:spacing w:before="0"/>
        <w:rPr>
          <w:sz w:val="18"/>
          <w:szCs w:val="18"/>
        </w:rPr>
      </w:pPr>
      <w:r w:rsidRPr="007C0942">
        <w:rPr>
          <w:i/>
          <w:sz w:val="18"/>
          <w:szCs w:val="18"/>
        </w:rPr>
        <w:t>Associate Professor, Department of Information Technology, Sathyabama Institute of Science and Technol</w:t>
      </w:r>
      <w:r w:rsidR="001C5F66" w:rsidRPr="007C0942">
        <w:rPr>
          <w:i/>
          <w:sz w:val="18"/>
          <w:szCs w:val="18"/>
        </w:rPr>
        <w:t xml:space="preserve">ogy, Chennai, Tamilnadu, India. </w:t>
      </w:r>
      <w:r w:rsidRPr="007C0942">
        <w:rPr>
          <w:sz w:val="18"/>
          <w:szCs w:val="18"/>
        </w:rPr>
        <w:t>nirmalrani.it@sathyabama.ac.in</w:t>
      </w:r>
    </w:p>
    <w:p w14:paraId="4E7DDF1F" w14:textId="77777777" w:rsidR="007C0942" w:rsidRPr="007C0942" w:rsidRDefault="00B12BB5" w:rsidP="007C0942">
      <w:pPr>
        <w:pStyle w:val="Author"/>
        <w:spacing w:before="100" w:beforeAutospacing="1"/>
        <w:rPr>
          <w:sz w:val="18"/>
          <w:szCs w:val="18"/>
        </w:rPr>
      </w:pPr>
      <w:r w:rsidRPr="007C0942">
        <w:rPr>
          <w:sz w:val="18"/>
          <w:szCs w:val="18"/>
        </w:rPr>
        <w:t xml:space="preserve">Dr. Kusum Lata, </w:t>
      </w:r>
    </w:p>
    <w:p w14:paraId="6B7BBADB" w14:textId="4DE57570" w:rsidR="00B12BB5" w:rsidRPr="007C0942" w:rsidRDefault="00B12BB5" w:rsidP="007C0942">
      <w:pPr>
        <w:pStyle w:val="Author"/>
        <w:spacing w:before="0"/>
        <w:rPr>
          <w:sz w:val="18"/>
          <w:szCs w:val="18"/>
        </w:rPr>
      </w:pPr>
      <w:r w:rsidRPr="007C0942">
        <w:rPr>
          <w:i/>
          <w:sz w:val="18"/>
          <w:szCs w:val="18"/>
        </w:rPr>
        <w:t>Assistant Professor</w:t>
      </w:r>
      <w:r w:rsidR="00C828A6" w:rsidRPr="007C0942">
        <w:rPr>
          <w:i/>
          <w:sz w:val="18"/>
          <w:szCs w:val="18"/>
        </w:rPr>
        <w:t>,</w:t>
      </w:r>
      <w:r w:rsidRPr="007C0942">
        <w:rPr>
          <w:i/>
          <w:sz w:val="18"/>
          <w:szCs w:val="18"/>
        </w:rPr>
        <w:t xml:space="preserve"> Maharishi School of Engineering &amp; Technology, Maharishi University of Information Te</w:t>
      </w:r>
      <w:r w:rsidR="001C5F66" w:rsidRPr="007C0942">
        <w:rPr>
          <w:i/>
          <w:sz w:val="18"/>
          <w:szCs w:val="18"/>
        </w:rPr>
        <w:t xml:space="preserve">chnology, Uttar Pradesh, India. </w:t>
      </w:r>
      <w:r w:rsidRPr="007C0942">
        <w:rPr>
          <w:sz w:val="18"/>
          <w:szCs w:val="18"/>
        </w:rPr>
        <w:t>kusumlata@muit.in</w:t>
      </w:r>
    </w:p>
    <w:p w14:paraId="3C01715F" w14:textId="77777777" w:rsidR="007C0942" w:rsidRPr="007C0942" w:rsidRDefault="007C0942" w:rsidP="003A46AF">
      <w:pPr>
        <w:spacing w:before="0" w:beforeAutospacing="0" w:after="120" w:afterAutospacing="0" w:line="228" w:lineRule="auto"/>
        <w:ind w:firstLine="288"/>
        <w:rPr>
          <w:rFonts w:ascii="Times New Roman" w:hAnsi="Times New Roman" w:cs="Times New Roman"/>
          <w:b/>
          <w:sz w:val="20"/>
          <w:szCs w:val="20"/>
        </w:rPr>
        <w:sectPr w:rsidR="007C0942" w:rsidRPr="007C0942" w:rsidSect="007C0942">
          <w:type w:val="continuous"/>
          <w:pgSz w:w="11909" w:h="16834" w:code="9"/>
          <w:pgMar w:top="1080" w:right="907" w:bottom="1440" w:left="907" w:header="720" w:footer="720" w:gutter="0"/>
          <w:cols w:num="3" w:space="720"/>
          <w:docGrid w:linePitch="360"/>
        </w:sectPr>
      </w:pPr>
    </w:p>
    <w:p w14:paraId="363BF0A5" w14:textId="77777777" w:rsidR="00BC557F" w:rsidRDefault="00BC557F" w:rsidP="003A46AF">
      <w:pPr>
        <w:spacing w:before="0" w:beforeAutospacing="0" w:after="120" w:afterAutospacing="0" w:line="228" w:lineRule="auto"/>
        <w:ind w:firstLine="288"/>
        <w:rPr>
          <w:rFonts w:ascii="Times New Roman" w:hAnsi="Times New Roman" w:cs="Times New Roman"/>
          <w:b/>
          <w:sz w:val="20"/>
          <w:szCs w:val="20"/>
        </w:rPr>
      </w:pPr>
    </w:p>
    <w:p w14:paraId="553F15DC" w14:textId="77777777" w:rsidR="00BC557F" w:rsidRDefault="00BC557F" w:rsidP="00BC557F">
      <w:pPr>
        <w:pStyle w:val="Abstract"/>
        <w:rPr>
          <w:i/>
        </w:rPr>
        <w:sectPr w:rsidR="00BC557F" w:rsidSect="003A46AF">
          <w:type w:val="continuous"/>
          <w:pgSz w:w="11909" w:h="16834" w:code="9"/>
          <w:pgMar w:top="1080" w:right="907" w:bottom="1440" w:left="907" w:header="720" w:footer="720" w:gutter="0"/>
          <w:cols w:space="720"/>
          <w:docGrid w:linePitch="360"/>
        </w:sectPr>
      </w:pPr>
    </w:p>
    <w:p w14:paraId="1BBB7341" w14:textId="30C9FDE7" w:rsidR="0090179E" w:rsidRPr="00BC557F" w:rsidRDefault="0090179E" w:rsidP="00BC557F">
      <w:pPr>
        <w:pStyle w:val="Abstract"/>
      </w:pPr>
      <w:r w:rsidRPr="00BC557F">
        <w:rPr>
          <w:i/>
        </w:rPr>
        <w:lastRenderedPageBreak/>
        <w:t>Abstract</w:t>
      </w:r>
      <w:r w:rsidR="00A410B4" w:rsidRPr="00BC557F">
        <w:rPr>
          <w:i/>
        </w:rPr>
        <w:t>---</w:t>
      </w:r>
      <w:r w:rsidR="00A410B4" w:rsidRPr="00BC557F">
        <w:t xml:space="preserve"> </w:t>
      </w:r>
      <w:r w:rsidR="00273516" w:rsidRPr="00BC557F">
        <w:t xml:space="preserve">Reachable without the aid of any intermediate layers, </w:t>
      </w:r>
      <w:proofErr w:type="spellStart"/>
      <w:r w:rsidR="00273516" w:rsidRPr="00BC557F">
        <w:t>blockchain</w:t>
      </w:r>
      <w:proofErr w:type="spellEnd"/>
      <w:r w:rsidR="00273516" w:rsidRPr="00BC557F">
        <w:t xml:space="preserve"> technology can be defined to be decentralized and immutable in nature. It enhances security and transparency in electronic (E-government) payment systems. With the addition of </w:t>
      </w:r>
      <w:proofErr w:type="spellStart"/>
      <w:r w:rsidR="00273516" w:rsidRPr="00BC557F">
        <w:t>blockchain</w:t>
      </w:r>
      <w:proofErr w:type="spellEnd"/>
      <w:r w:rsidR="00273516" w:rsidRPr="00BC557F">
        <w:t xml:space="preserve">, the efficiency, traceability and security of citizen transactions with the government services get streamlined. Nonetheless, payment systems as they exist today are often plagued with centralization, data leakage, opaqueness, lack of efficiency and slow speed with respect to payment processing and auditing. This paper presents a new framework called Secure and Transparent Payments for Citizen Fees Paid for </w:t>
      </w:r>
      <w:r w:rsidR="00641C0C">
        <w:t xml:space="preserve">                                 </w:t>
      </w:r>
      <w:r w:rsidR="00273516" w:rsidRPr="00BC557F">
        <w:t xml:space="preserve">E-Government Services with </w:t>
      </w:r>
      <w:proofErr w:type="spellStart"/>
      <w:r w:rsidR="00273516" w:rsidRPr="00BC557F">
        <w:t>Tokenised</w:t>
      </w:r>
      <w:proofErr w:type="spellEnd"/>
      <w:r w:rsidR="00273516" w:rsidRPr="00BC557F">
        <w:t xml:space="preserve"> Payment Mechanism on Public-Private Hybrid </w:t>
      </w:r>
      <w:proofErr w:type="spellStart"/>
      <w:r w:rsidR="00273516" w:rsidRPr="00BC557F">
        <w:t>Blockchain</w:t>
      </w:r>
      <w:proofErr w:type="spellEnd"/>
      <w:r w:rsidR="00273516" w:rsidRPr="00BC557F">
        <w:t xml:space="preserve"> (TPM-PPHB). The framework combines tokenized payments with a hybrid </w:t>
      </w:r>
      <w:proofErr w:type="spellStart"/>
      <w:r w:rsidR="00273516" w:rsidRPr="00BC557F">
        <w:t>blockchain</w:t>
      </w:r>
      <w:proofErr w:type="spellEnd"/>
      <w:r w:rsidR="00273516" w:rsidRPr="00BC557F">
        <w:t xml:space="preserve"> for privacy, traceability and secured data. Citizens use tokenized payments validated on a public ledger while sensitive data rests on a private chain. The method was tested using real-time simulation scenarios involving government fee transactions. Results show advanced levels of security, decrease in fraudulent behavior, improved clear visibility of funds, growing trust among users, achieving eligibility under the concept of digital governance pet unlimited access</w:t>
      </w:r>
      <w:r w:rsidR="005D761F" w:rsidRPr="00BC557F">
        <w:t>.</w:t>
      </w:r>
    </w:p>
    <w:p w14:paraId="01414C19" w14:textId="12A360A0" w:rsidR="0090179E" w:rsidRPr="00BC557F" w:rsidRDefault="00A410B4" w:rsidP="00BC557F">
      <w:pPr>
        <w:pStyle w:val="Abstract"/>
        <w:rPr>
          <w:i/>
        </w:rPr>
      </w:pPr>
      <w:r w:rsidRPr="00BC557F">
        <w:rPr>
          <w:i/>
        </w:rPr>
        <w:t xml:space="preserve">Keywords--- </w:t>
      </w:r>
      <w:r w:rsidR="005D761F" w:rsidRPr="00BC557F">
        <w:rPr>
          <w:i/>
        </w:rPr>
        <w:t xml:space="preserve">E-Government Services, </w:t>
      </w:r>
      <w:proofErr w:type="spellStart"/>
      <w:r w:rsidR="005D761F" w:rsidRPr="00BC557F">
        <w:rPr>
          <w:i/>
        </w:rPr>
        <w:t>Blockchain</w:t>
      </w:r>
      <w:proofErr w:type="spellEnd"/>
      <w:r w:rsidR="005D761F" w:rsidRPr="00BC557F">
        <w:rPr>
          <w:i/>
        </w:rPr>
        <w:t xml:space="preserve">, Tokenized Payment Mechanism, Hybrid </w:t>
      </w:r>
      <w:proofErr w:type="spellStart"/>
      <w:r w:rsidR="005D761F" w:rsidRPr="00BC557F">
        <w:rPr>
          <w:i/>
        </w:rPr>
        <w:t>Blockchain</w:t>
      </w:r>
      <w:proofErr w:type="spellEnd"/>
      <w:r w:rsidR="005D761F" w:rsidRPr="00BC557F">
        <w:rPr>
          <w:i/>
        </w:rPr>
        <w:t>, Secure Digital Transactions</w:t>
      </w:r>
      <w:r w:rsidR="00BC557F">
        <w:rPr>
          <w:i/>
        </w:rPr>
        <w:t>.</w:t>
      </w:r>
    </w:p>
    <w:p w14:paraId="4111197F" w14:textId="77777777" w:rsidR="0090179E" w:rsidRPr="00BC557F" w:rsidRDefault="0090179E" w:rsidP="00BC557F">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t>Introduction</w:t>
      </w:r>
    </w:p>
    <w:p w14:paraId="480C02BE" w14:textId="7F12DE20" w:rsidR="00273516"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The rapid digitization of public services has resulted in the acceptance of E-government systems designed to enhance citizen engagement, transparency, and service efficiency [1].</w:t>
      </w:r>
      <w:r w:rsidR="00BC557F">
        <w:rPr>
          <w:rFonts w:ascii="Times New Roman" w:hAnsi="Times New Roman" w:cs="Times New Roman"/>
          <w:sz w:val="20"/>
          <w:szCs w:val="20"/>
        </w:rPr>
        <w:t xml:space="preserve"> </w:t>
      </w:r>
      <w:r w:rsidRPr="003A46AF">
        <w:rPr>
          <w:rFonts w:ascii="Times New Roman" w:hAnsi="Times New Roman" w:cs="Times New Roman"/>
          <w:sz w:val="20"/>
          <w:szCs w:val="20"/>
        </w:rPr>
        <w:t>The collection of taxes, penalties, energy bills, and service fees, among other digital services that governments offer, revolves around efficient and secure payment methods. Payment systems are customarily digital and are based on remote access centralized databases which are susceptible to hacks, data manipulation, and unauthorized access</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2</w:t>
      </w:r>
      <w:r w:rsidR="00012D69" w:rsidRPr="003A46AF">
        <w:rPr>
          <w:rFonts w:ascii="Times New Roman" w:hAnsi="Times New Roman" w:cs="Times New Roman"/>
          <w:sz w:val="20"/>
          <w:szCs w:val="20"/>
        </w:rPr>
        <w:t>]</w:t>
      </w:r>
      <w:r w:rsidRPr="003A46AF">
        <w:rPr>
          <w:rFonts w:ascii="Times New Roman" w:hAnsi="Times New Roman" w:cs="Times New Roman"/>
          <w:sz w:val="20"/>
          <w:szCs w:val="20"/>
        </w:rPr>
        <w:t xml:space="preserve">. A lack of transaction transparency, accountability, and auditability problems inherent in the payment systems also tend to erode public trust in government operations. Such problems may be addressed </w:t>
      </w:r>
      <w:r w:rsidRPr="003A46AF">
        <w:rPr>
          <w:rFonts w:ascii="Times New Roman" w:hAnsi="Times New Roman" w:cs="Times New Roman"/>
          <w:sz w:val="20"/>
          <w:szCs w:val="20"/>
        </w:rPr>
        <w:lastRenderedPageBreak/>
        <w:t xml:space="preserve">through the use of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3</w:t>
      </w:r>
      <w:r w:rsidR="00012D69" w:rsidRPr="003A46AF">
        <w:rPr>
          <w:rFonts w:ascii="Times New Roman" w:hAnsi="Times New Roman" w:cs="Times New Roman"/>
          <w:sz w:val="20"/>
          <w:szCs w:val="20"/>
        </w:rPr>
        <w:t>]</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4</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 xml:space="preserve">. This paper proposes a TPM-PPHB for Fee-Based E-Government Services E-Government services under a transparent and secure framework. The proposed solution utilizes </w:t>
      </w:r>
      <w:proofErr w:type="spellStart"/>
      <w:r w:rsidRPr="003A46AF">
        <w:rPr>
          <w:rFonts w:ascii="Times New Roman" w:hAnsi="Times New Roman" w:cs="Times New Roman"/>
          <w:sz w:val="20"/>
          <w:szCs w:val="20"/>
        </w:rPr>
        <w:t>blockchain’s</w:t>
      </w:r>
      <w:proofErr w:type="spellEnd"/>
      <w:r w:rsidRPr="003A46AF">
        <w:rPr>
          <w:rFonts w:ascii="Times New Roman" w:hAnsi="Times New Roman" w:cs="Times New Roman"/>
          <w:sz w:val="20"/>
          <w:szCs w:val="20"/>
        </w:rPr>
        <w:t xml:space="preserve"> distributed nature by integrating a private chain to shield citizen data with a public ledger for transaction visibility</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5</w:t>
      </w:r>
      <w:r w:rsidR="00012D69" w:rsidRPr="003A46AF">
        <w:rPr>
          <w:rFonts w:ascii="Times New Roman" w:hAnsi="Times New Roman" w:cs="Times New Roman"/>
          <w:sz w:val="20"/>
          <w:szCs w:val="20"/>
        </w:rPr>
        <w:t>]</w:t>
      </w:r>
      <w:r w:rsidRPr="003A46AF">
        <w:rPr>
          <w:rFonts w:ascii="Times New Roman" w:hAnsi="Times New Roman" w:cs="Times New Roman"/>
          <w:sz w:val="20"/>
          <w:szCs w:val="20"/>
        </w:rPr>
        <w:t xml:space="preserve">. Tokenization, which turns monetary values into cryptographic tokens, enhances transaction security and enables the </w:t>
      </w:r>
      <w:proofErr w:type="spellStart"/>
      <w:r w:rsidRPr="003A46AF">
        <w:rPr>
          <w:rFonts w:ascii="Times New Roman" w:hAnsi="Times New Roman" w:cs="Times New Roman"/>
          <w:sz w:val="20"/>
          <w:szCs w:val="20"/>
        </w:rPr>
        <w:t>unobfuscated</w:t>
      </w:r>
      <w:proofErr w:type="spellEnd"/>
      <w:r w:rsidRPr="003A46AF">
        <w:rPr>
          <w:rFonts w:ascii="Times New Roman" w:hAnsi="Times New Roman" w:cs="Times New Roman"/>
          <w:sz w:val="20"/>
          <w:szCs w:val="20"/>
        </w:rPr>
        <w:t xml:space="preserve"> payment of fees without revealing sensitive personal or financial details</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6</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 The goal of the TPM-PPHB framework is to restore trust in digital governance by securing data integrity, enhancing transparency, and consequently minimizing the risk of fraud, data breaches, and unauthorized access in financial transactions between citizens and government</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7</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w:t>
      </w:r>
    </w:p>
    <w:p w14:paraId="0FD1FDA8" w14:textId="0AFEF89B" w:rsidR="00273516"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The expanding use of e-government services necessitates rapid, highly secure, and transparent payment systems</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8</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 While governments work towards establishing confidence and operational efficiency, citizens prefer transactions being safeguarded against fraud, data leakage, and latency</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9</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 xml:space="preserve">.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 offers solutions to address such requirements with its decentralized and immutable characteristics</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10</w:t>
      </w:r>
      <w:r w:rsidR="00012D69" w:rsidRPr="003A46AF">
        <w:rPr>
          <w:rFonts w:ascii="Times New Roman" w:hAnsi="Times New Roman" w:cs="Times New Roman"/>
          <w:sz w:val="20"/>
          <w:szCs w:val="20"/>
        </w:rPr>
        <w:t>]</w:t>
      </w:r>
      <w:r w:rsidRPr="003A46AF">
        <w:rPr>
          <w:rFonts w:ascii="Times New Roman" w:hAnsi="Times New Roman" w:cs="Times New Roman"/>
          <w:sz w:val="20"/>
          <w:szCs w:val="20"/>
        </w:rPr>
        <w:t xml:space="preserve">. Tokenized payments and hybrid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infrastructure are two ways digital payment systems could be modernized for citizens to privately and openly transact with diverse public services</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11</w:t>
      </w:r>
      <w:r w:rsidR="009256F8" w:rsidRPr="003A46AF">
        <w:rPr>
          <w:rFonts w:ascii="Times New Roman" w:hAnsi="Times New Roman" w:cs="Times New Roman"/>
          <w:sz w:val="20"/>
          <w:szCs w:val="20"/>
        </w:rPr>
        <w:t>]</w:t>
      </w:r>
      <w:r w:rsidRPr="003A46AF">
        <w:rPr>
          <w:rFonts w:ascii="Times New Roman" w:hAnsi="Times New Roman" w:cs="Times New Roman"/>
          <w:sz w:val="20"/>
          <w:szCs w:val="20"/>
        </w:rPr>
        <w:t>.</w:t>
      </w:r>
    </w:p>
    <w:p w14:paraId="05FCC637" w14:textId="3C23BDF2" w:rsidR="005D761F"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Presently, centrally-hosted e-government payment systems are exposed to data tampering, hacking, and even crashing. The confinement of auditing and transaction processing to a singular entity brings mistrust and shifts responsibility from the public, undermining confidence in the system. Sensitive data of citizens is also disclosed to privacy issues during online transactions. These deeply ingrained issues in contemporary digital payment systems underscore the need for a citizen-to government payment system that is open, secure, and privacy-friendly, while also capable of effectively managing interactions with citizens</w:t>
      </w:r>
      <w:r w:rsidR="00BC557F">
        <w:rPr>
          <w:rFonts w:ascii="Times New Roman" w:hAnsi="Times New Roman" w:cs="Times New Roman"/>
          <w:sz w:val="20"/>
          <w:szCs w:val="20"/>
        </w:rPr>
        <w:t xml:space="preserve"> </w:t>
      </w:r>
      <w:r w:rsidR="009256F8" w:rsidRPr="003A46AF">
        <w:rPr>
          <w:rFonts w:ascii="Times New Roman" w:hAnsi="Times New Roman" w:cs="Times New Roman"/>
          <w:sz w:val="20"/>
          <w:szCs w:val="20"/>
        </w:rPr>
        <w:t>[</w:t>
      </w:r>
      <w:r w:rsidR="00BC557F">
        <w:rPr>
          <w:rFonts w:ascii="Times New Roman" w:hAnsi="Times New Roman" w:cs="Times New Roman"/>
          <w:sz w:val="20"/>
          <w:szCs w:val="20"/>
        </w:rPr>
        <w:t>12</w:t>
      </w:r>
      <w:r w:rsidR="009256F8" w:rsidRPr="003A46AF">
        <w:rPr>
          <w:rFonts w:ascii="Times New Roman" w:hAnsi="Times New Roman" w:cs="Times New Roman"/>
          <w:sz w:val="20"/>
          <w:szCs w:val="20"/>
        </w:rPr>
        <w:t>]</w:t>
      </w:r>
      <w:r w:rsidR="005D761F" w:rsidRPr="003A46AF">
        <w:rPr>
          <w:rFonts w:ascii="Times New Roman" w:hAnsi="Times New Roman" w:cs="Times New Roman"/>
          <w:sz w:val="20"/>
          <w:szCs w:val="20"/>
        </w:rPr>
        <w:t>.</w:t>
      </w:r>
    </w:p>
    <w:p w14:paraId="4D4CD797" w14:textId="77777777" w:rsidR="0090179E" w:rsidRPr="00BC557F" w:rsidRDefault="0090179E" w:rsidP="00BC557F">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lastRenderedPageBreak/>
        <w:t>Related Works</w:t>
      </w:r>
    </w:p>
    <w:p w14:paraId="17F78AC2" w14:textId="07CC2902" w:rsidR="0090179E"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The Related Works section discusses current developments in the use of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 to e-government services. It identifies attempts to enhance security, transparency, and efficiency in digital payments, verification of identity, and delivery of services while confronting deficiencies in centralized systems like data leakage, inefficiencies, and unavailability of cross-border interoperability of services</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13</w:t>
      </w:r>
      <w:r w:rsidR="00012D69" w:rsidRPr="003A46AF">
        <w:rPr>
          <w:rFonts w:ascii="Times New Roman" w:hAnsi="Times New Roman" w:cs="Times New Roman"/>
          <w:sz w:val="20"/>
          <w:szCs w:val="20"/>
        </w:rPr>
        <w:t>]</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14</w:t>
      </w:r>
      <w:r w:rsidR="00012D69" w:rsidRPr="003A46AF">
        <w:rPr>
          <w:rFonts w:ascii="Times New Roman" w:hAnsi="Times New Roman" w:cs="Times New Roman"/>
          <w:sz w:val="20"/>
          <w:szCs w:val="20"/>
        </w:rPr>
        <w:t>]</w:t>
      </w:r>
      <w:r w:rsidR="00712E2D" w:rsidRPr="003A46AF">
        <w:rPr>
          <w:rFonts w:ascii="Times New Roman" w:hAnsi="Times New Roman" w:cs="Times New Roman"/>
          <w:sz w:val="20"/>
          <w:szCs w:val="20"/>
        </w:rPr>
        <w:t>.</w:t>
      </w:r>
    </w:p>
    <w:p w14:paraId="0E92F239" w14:textId="77777777" w:rsidR="00BF7A2D" w:rsidRPr="00776B64" w:rsidRDefault="00BF7A2D" w:rsidP="00776B64">
      <w:pPr>
        <w:spacing w:before="120" w:beforeAutospacing="0" w:after="60" w:afterAutospacing="0" w:line="228" w:lineRule="auto"/>
        <w:rPr>
          <w:rFonts w:ascii="Times New Roman" w:hAnsi="Times New Roman" w:cs="Times New Roman"/>
          <w:i/>
          <w:sz w:val="20"/>
          <w:szCs w:val="20"/>
        </w:rPr>
      </w:pPr>
      <w:r w:rsidRPr="00776B64">
        <w:rPr>
          <w:rFonts w:ascii="Times New Roman" w:hAnsi="Times New Roman" w:cs="Times New Roman"/>
          <w:i/>
          <w:sz w:val="20"/>
          <w:szCs w:val="20"/>
        </w:rPr>
        <w:t>Peer-to-peer (p2p)</w:t>
      </w:r>
    </w:p>
    <w:p w14:paraId="36631B99" w14:textId="2E0C4987" w:rsidR="00BF7A2D"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With the use of information and communication technology, the E-government commonly referred to as e-government, can provide the public with its services both transparently and in an efficient way. Technologies today, which include websites as well as electronic ID platforms, are predominantly centralized making them prone to </w:t>
      </w:r>
      <w:proofErr w:type="spellStart"/>
      <w:r w:rsidRPr="003A46AF">
        <w:rPr>
          <w:rFonts w:ascii="Times New Roman" w:hAnsi="Times New Roman" w:cs="Times New Roman"/>
          <w:sz w:val="20"/>
          <w:szCs w:val="20"/>
        </w:rPr>
        <w:t>cyber attack</w:t>
      </w:r>
      <w:proofErr w:type="spellEnd"/>
      <w:r w:rsidRPr="003A46AF">
        <w:rPr>
          <w:rFonts w:ascii="Times New Roman" w:hAnsi="Times New Roman" w:cs="Times New Roman"/>
          <w:sz w:val="20"/>
          <w:szCs w:val="20"/>
        </w:rPr>
        <w:t xml:space="preserve">, for instance, malware, as well as distributed denial of service attacks. All these are liable to suffer single points of failures. The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 presents a decentralized alternative whereby one can store data that is secure, verifiable, and immutable across networks without having to depend on a third party to exert control</w:t>
      </w:r>
      <w:r w:rsidR="00BF7A2D" w:rsidRPr="003A46AF">
        <w:rPr>
          <w:rFonts w:ascii="Times New Roman" w:hAnsi="Times New Roman" w:cs="Times New Roman"/>
          <w:sz w:val="20"/>
          <w:szCs w:val="20"/>
        </w:rPr>
        <w:t>. This improves both discretion and confidence. E-government frameworks that are built on peer-to-peer (p2p)</w:t>
      </w:r>
      <w:r w:rsidR="00712E2D" w:rsidRPr="003A46AF">
        <w:rPr>
          <w:rFonts w:ascii="Times New Roman" w:hAnsi="Times New Roman" w:cs="Times New Roman"/>
          <w:sz w:val="20"/>
          <w:szCs w:val="20"/>
        </w:rPr>
        <w:t xml:space="preserve"> [</w:t>
      </w:r>
      <w:r w:rsidR="00BC557F">
        <w:rPr>
          <w:rFonts w:ascii="Times New Roman" w:hAnsi="Times New Roman" w:cs="Times New Roman"/>
          <w:sz w:val="20"/>
          <w:szCs w:val="20"/>
        </w:rPr>
        <w:t>15</w:t>
      </w:r>
      <w:r w:rsidR="00712E2D" w:rsidRPr="003A46AF">
        <w:rPr>
          <w:rFonts w:ascii="Times New Roman" w:hAnsi="Times New Roman" w:cs="Times New Roman"/>
          <w:sz w:val="20"/>
          <w:szCs w:val="20"/>
        </w:rPr>
        <w:t>]</w:t>
      </w:r>
      <w:r w:rsidR="00BF7A2D" w:rsidRPr="003A46AF">
        <w:rPr>
          <w:rFonts w:ascii="Times New Roman" w:hAnsi="Times New Roman" w:cs="Times New Roman"/>
          <w:sz w:val="20"/>
          <w:szCs w:val="20"/>
        </w:rPr>
        <w:t xml:space="preserve"> </w:t>
      </w:r>
      <w:proofErr w:type="spellStart"/>
      <w:r w:rsidR="00BF7A2D" w:rsidRPr="003A46AF">
        <w:rPr>
          <w:rFonts w:ascii="Times New Roman" w:hAnsi="Times New Roman" w:cs="Times New Roman"/>
          <w:sz w:val="20"/>
          <w:szCs w:val="20"/>
        </w:rPr>
        <w:t>blockchain</w:t>
      </w:r>
      <w:proofErr w:type="spellEnd"/>
      <w:r w:rsidR="00BF7A2D" w:rsidRPr="003A46AF">
        <w:rPr>
          <w:rFonts w:ascii="Times New Roman" w:hAnsi="Times New Roman" w:cs="Times New Roman"/>
          <w:sz w:val="20"/>
          <w:szCs w:val="20"/>
        </w:rPr>
        <w:t xml:space="preserve"> technology have been proposed in recent research as a means of enhancing system security and privacy via encrypted and distributed data management</w:t>
      </w:r>
      <w:r w:rsidR="00BC557F">
        <w:rPr>
          <w:rFonts w:ascii="Times New Roman" w:hAnsi="Times New Roman" w:cs="Times New Roman"/>
          <w:sz w:val="20"/>
          <w:szCs w:val="20"/>
        </w:rPr>
        <w:t xml:space="preserve"> </w:t>
      </w:r>
      <w:r w:rsidR="00012D69" w:rsidRPr="003A46AF">
        <w:rPr>
          <w:rFonts w:ascii="Times New Roman" w:hAnsi="Times New Roman" w:cs="Times New Roman"/>
          <w:sz w:val="20"/>
          <w:szCs w:val="20"/>
        </w:rPr>
        <w:t>[</w:t>
      </w:r>
      <w:r w:rsidR="00BC557F">
        <w:rPr>
          <w:rFonts w:ascii="Times New Roman" w:hAnsi="Times New Roman" w:cs="Times New Roman"/>
          <w:sz w:val="20"/>
          <w:szCs w:val="20"/>
        </w:rPr>
        <w:t>16</w:t>
      </w:r>
      <w:r w:rsidR="00012D69" w:rsidRPr="003A46AF">
        <w:rPr>
          <w:rFonts w:ascii="Times New Roman" w:hAnsi="Times New Roman" w:cs="Times New Roman"/>
          <w:sz w:val="20"/>
          <w:szCs w:val="20"/>
        </w:rPr>
        <w:t>]</w:t>
      </w:r>
      <w:r w:rsidR="00BF7A2D" w:rsidRPr="003A46AF">
        <w:rPr>
          <w:rFonts w:ascii="Times New Roman" w:hAnsi="Times New Roman" w:cs="Times New Roman"/>
          <w:sz w:val="20"/>
          <w:szCs w:val="20"/>
        </w:rPr>
        <w:t>.</w:t>
      </w:r>
    </w:p>
    <w:p w14:paraId="13267A7A" w14:textId="77777777" w:rsidR="00BF7A2D" w:rsidRPr="00776B64" w:rsidRDefault="00BF7A2D" w:rsidP="00776B64">
      <w:pPr>
        <w:spacing w:before="120" w:beforeAutospacing="0" w:after="60" w:afterAutospacing="0" w:line="228" w:lineRule="auto"/>
        <w:rPr>
          <w:rFonts w:ascii="Times New Roman" w:hAnsi="Times New Roman" w:cs="Times New Roman"/>
          <w:i/>
          <w:sz w:val="20"/>
          <w:szCs w:val="20"/>
        </w:rPr>
      </w:pPr>
      <w:proofErr w:type="spellStart"/>
      <w:r w:rsidRPr="00776B64">
        <w:rPr>
          <w:rFonts w:ascii="Times New Roman" w:hAnsi="Times New Roman" w:cs="Times New Roman"/>
          <w:i/>
          <w:sz w:val="20"/>
          <w:szCs w:val="20"/>
        </w:rPr>
        <w:t>Hyperledger</w:t>
      </w:r>
      <w:proofErr w:type="spellEnd"/>
      <w:r w:rsidRPr="00776B64">
        <w:rPr>
          <w:rFonts w:ascii="Times New Roman" w:hAnsi="Times New Roman" w:cs="Times New Roman"/>
          <w:i/>
          <w:sz w:val="20"/>
          <w:szCs w:val="20"/>
        </w:rPr>
        <w:t xml:space="preserve"> Fabric (HF)</w:t>
      </w:r>
    </w:p>
    <w:p w14:paraId="46354F25" w14:textId="79E97719" w:rsidR="00BF7A2D" w:rsidRPr="003A46AF" w:rsidRDefault="00BF7A2D" w:rsidP="003A46AF">
      <w:pPr>
        <w:spacing w:before="0" w:beforeAutospacing="0" w:after="120" w:afterAutospacing="0" w:line="228" w:lineRule="auto"/>
        <w:ind w:firstLine="288"/>
        <w:rPr>
          <w:rFonts w:ascii="Times New Roman" w:hAnsi="Times New Roman" w:cs="Times New Roman"/>
          <w:sz w:val="20"/>
          <w:szCs w:val="20"/>
        </w:rPr>
      </w:pPr>
      <w:r w:rsidRPr="006C0EBC">
        <w:rPr>
          <w:rFonts w:ascii="Times New Roman" w:hAnsi="Times New Roman" w:cs="Times New Roman"/>
          <w:sz w:val="20"/>
          <w:szCs w:val="20"/>
          <w:u w:val="single"/>
        </w:rPr>
        <w:t>The</w:t>
      </w:r>
      <w:r w:rsidRPr="003A46AF">
        <w:rPr>
          <w:rFonts w:ascii="Times New Roman" w:hAnsi="Times New Roman" w:cs="Times New Roman"/>
          <w:sz w:val="20"/>
          <w:szCs w:val="20"/>
        </w:rPr>
        <w:t xml:space="preserve"> Notarial Office (NO), in charge of granting necessary certifications, still depends on paper papers from other government agencies and manual procedures utilizing which inefficiencies and annoyance result. Due to trust concerns and difficulties with cross-border services, it often rejects non-local papers; paper storage runs the danger of sensitive data leaks. </w:t>
      </w:r>
      <w:proofErr w:type="spellStart"/>
      <w:r w:rsidRPr="003A46AF">
        <w:rPr>
          <w:rFonts w:ascii="Times New Roman" w:hAnsi="Times New Roman" w:cs="Times New Roman"/>
          <w:sz w:val="20"/>
          <w:szCs w:val="20"/>
        </w:rPr>
        <w:t>Hyperledger</w:t>
      </w:r>
      <w:proofErr w:type="spellEnd"/>
      <w:r w:rsidRPr="003A46AF">
        <w:rPr>
          <w:rFonts w:ascii="Times New Roman" w:hAnsi="Times New Roman" w:cs="Times New Roman"/>
          <w:sz w:val="20"/>
          <w:szCs w:val="20"/>
        </w:rPr>
        <w:t xml:space="preserve"> Fabric (HF)</w:t>
      </w:r>
      <w:r w:rsidR="00712E2D" w:rsidRPr="003A46AF">
        <w:rPr>
          <w:rFonts w:ascii="Times New Roman" w:hAnsi="Times New Roman" w:cs="Times New Roman"/>
          <w:sz w:val="20"/>
          <w:szCs w:val="20"/>
        </w:rPr>
        <w:t xml:space="preserve"> [</w:t>
      </w:r>
      <w:r w:rsidR="00BC557F">
        <w:rPr>
          <w:rFonts w:ascii="Times New Roman" w:hAnsi="Times New Roman" w:cs="Times New Roman"/>
          <w:sz w:val="20"/>
          <w:szCs w:val="20"/>
        </w:rPr>
        <w:t>17</w:t>
      </w:r>
      <w:r w:rsidR="00712E2D" w:rsidRPr="003A46AF">
        <w:rPr>
          <w:rFonts w:ascii="Times New Roman" w:hAnsi="Times New Roman" w:cs="Times New Roman"/>
          <w:sz w:val="20"/>
          <w:szCs w:val="20"/>
        </w:rPr>
        <w:t>]</w:t>
      </w:r>
      <w:r w:rsidRPr="003A46AF">
        <w:rPr>
          <w:rFonts w:ascii="Times New Roman" w:hAnsi="Times New Roman" w:cs="Times New Roman"/>
          <w:sz w:val="20"/>
          <w:szCs w:val="20"/>
        </w:rPr>
        <w:t xml:space="preserve"> a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-based solution was used to handle these issues. Smart contracts, supplementary ledgers handled various transactions, and encryption protected private data substituted manual activities, thereby improving performance over the conventional system in experimental assessments.</w:t>
      </w:r>
    </w:p>
    <w:p w14:paraId="062A1A75" w14:textId="77777777" w:rsidR="00BF7A2D" w:rsidRPr="006C0EBC" w:rsidRDefault="00BF7A2D" w:rsidP="00776B64">
      <w:pPr>
        <w:spacing w:before="120" w:beforeAutospacing="0" w:after="60" w:afterAutospacing="0" w:line="228" w:lineRule="auto"/>
        <w:rPr>
          <w:rFonts w:ascii="Times New Roman" w:hAnsi="Times New Roman" w:cs="Times New Roman"/>
          <w:i/>
          <w:sz w:val="20"/>
          <w:szCs w:val="20"/>
        </w:rPr>
      </w:pPr>
      <w:r w:rsidRPr="00776B64">
        <w:rPr>
          <w:rFonts w:ascii="Times New Roman" w:hAnsi="Times New Roman" w:cs="Times New Roman"/>
          <w:i/>
          <w:sz w:val="20"/>
          <w:szCs w:val="20"/>
        </w:rPr>
        <w:t>Istanbul Byzantine Fault Tolerance (IBFT</w:t>
      </w:r>
      <w:r w:rsidRPr="006C0EBC">
        <w:rPr>
          <w:rFonts w:ascii="Times New Roman" w:hAnsi="Times New Roman" w:cs="Times New Roman"/>
          <w:i/>
          <w:sz w:val="20"/>
          <w:szCs w:val="20"/>
        </w:rPr>
        <w:t>)</w:t>
      </w:r>
    </w:p>
    <w:p w14:paraId="1845B015" w14:textId="2AE40CFD" w:rsidR="00BF7A2D" w:rsidRPr="003A46AF" w:rsidRDefault="00BF7A2D"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From traditional cash transactions to online banking and e-wallets, the emergence of Internet technology revolutionized payment procedures such that transactions are faster and more convenient. Usage by users is rapidly increasing as demand for instant money transfer solutions grows. Contemporary internet payment systems, however, suffer from issues such as single points of failure, non-openness, insider threats, and grave security concerns. Based on the Istanbul Byzantine Fault Tolerance (IBFT)</w:t>
      </w:r>
      <w:r w:rsidR="00712E2D" w:rsidRPr="003A46AF">
        <w:rPr>
          <w:rFonts w:ascii="Times New Roman" w:hAnsi="Times New Roman" w:cs="Times New Roman"/>
          <w:sz w:val="20"/>
          <w:szCs w:val="20"/>
        </w:rPr>
        <w:t xml:space="preserve"> [</w:t>
      </w:r>
      <w:r w:rsidR="00BC557F">
        <w:rPr>
          <w:rFonts w:ascii="Times New Roman" w:hAnsi="Times New Roman" w:cs="Times New Roman"/>
          <w:sz w:val="20"/>
          <w:szCs w:val="20"/>
        </w:rPr>
        <w:t>18</w:t>
      </w:r>
      <w:r w:rsidR="00712E2D" w:rsidRPr="003A46AF">
        <w:rPr>
          <w:rFonts w:ascii="Times New Roman" w:hAnsi="Times New Roman" w:cs="Times New Roman"/>
          <w:sz w:val="20"/>
          <w:szCs w:val="20"/>
        </w:rPr>
        <w:t>]</w:t>
      </w:r>
      <w:r w:rsidRPr="003A46AF">
        <w:rPr>
          <w:rFonts w:ascii="Times New Roman" w:hAnsi="Times New Roman" w:cs="Times New Roman"/>
          <w:sz w:val="20"/>
          <w:szCs w:val="20"/>
        </w:rPr>
        <w:t xml:space="preserve"> consensus and enabling secure interface with banking systems, an India-specific, private, permissioned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-based payment system is proposed to address these issues.</w:t>
      </w:r>
    </w:p>
    <w:p w14:paraId="4480C43C" w14:textId="77777777" w:rsidR="00BF7A2D" w:rsidRPr="00776B64" w:rsidRDefault="00BF7A2D" w:rsidP="00776B64">
      <w:pPr>
        <w:spacing w:before="120" w:beforeAutospacing="0" w:after="60" w:afterAutospacing="0" w:line="228" w:lineRule="auto"/>
        <w:rPr>
          <w:rFonts w:ascii="Times New Roman" w:hAnsi="Times New Roman" w:cs="Times New Roman"/>
          <w:i/>
          <w:sz w:val="20"/>
          <w:szCs w:val="20"/>
        </w:rPr>
      </w:pPr>
      <w:r w:rsidRPr="00776B64">
        <w:rPr>
          <w:rFonts w:ascii="Times New Roman" w:hAnsi="Times New Roman" w:cs="Times New Roman"/>
          <w:i/>
          <w:sz w:val="20"/>
          <w:szCs w:val="20"/>
        </w:rPr>
        <w:t>Balanced Network Topology (BNT)</w:t>
      </w:r>
    </w:p>
    <w:p w14:paraId="1AF50AE4" w14:textId="5438BCDC" w:rsidR="00BF7A2D" w:rsidRPr="003A46AF" w:rsidRDefault="00BF7A2D"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Because of its benefits in traceability, openness, and immutability,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 is becoming more and more under consideration for government oversight of building activity (GSCW)</w:t>
      </w:r>
      <w:r w:rsidR="00BC557F" w:rsidRPr="00BC557F">
        <w:rPr>
          <w:rFonts w:ascii="Times New Roman" w:hAnsi="Times New Roman" w:cs="Times New Roman"/>
          <w:sz w:val="20"/>
          <w:szCs w:val="20"/>
        </w:rPr>
        <w:t xml:space="preserve"> </w:t>
      </w:r>
      <w:r w:rsidR="00BC557F" w:rsidRPr="003A46AF">
        <w:rPr>
          <w:rFonts w:ascii="Times New Roman" w:hAnsi="Times New Roman" w:cs="Times New Roman"/>
          <w:sz w:val="20"/>
          <w:szCs w:val="20"/>
        </w:rPr>
        <w:t>[</w:t>
      </w:r>
      <w:r w:rsidR="00BC557F">
        <w:rPr>
          <w:rFonts w:ascii="Times New Roman" w:hAnsi="Times New Roman" w:cs="Times New Roman"/>
          <w:sz w:val="20"/>
          <w:szCs w:val="20"/>
        </w:rPr>
        <w:t>19] [20]</w:t>
      </w:r>
      <w:r w:rsidRPr="003A46AF">
        <w:rPr>
          <w:rFonts w:ascii="Times New Roman" w:hAnsi="Times New Roman" w:cs="Times New Roman"/>
          <w:sz w:val="20"/>
          <w:szCs w:val="20"/>
        </w:rPr>
        <w:t xml:space="preserve">. But the distributed character of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contrasts with the essentially </w:t>
      </w:r>
      <w:r w:rsidRPr="003A46AF">
        <w:rPr>
          <w:rFonts w:ascii="Times New Roman" w:hAnsi="Times New Roman" w:cs="Times New Roman"/>
          <w:sz w:val="20"/>
          <w:szCs w:val="20"/>
        </w:rPr>
        <w:lastRenderedPageBreak/>
        <w:t>centralized governance structure of GSCW</w:t>
      </w:r>
      <w:r w:rsidR="00BC557F">
        <w:rPr>
          <w:rFonts w:ascii="Times New Roman" w:hAnsi="Times New Roman" w:cs="Times New Roman"/>
          <w:sz w:val="20"/>
          <w:szCs w:val="20"/>
        </w:rPr>
        <w:t xml:space="preserve"> [21]</w:t>
      </w:r>
      <w:r w:rsidRPr="003A46AF">
        <w:rPr>
          <w:rFonts w:ascii="Times New Roman" w:hAnsi="Times New Roman" w:cs="Times New Roman"/>
          <w:sz w:val="20"/>
          <w:szCs w:val="20"/>
        </w:rPr>
        <w:t xml:space="preserve">. This paper presents a dual-layer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concept and investigates a Balanced Network Topology (BNT) integrating decentralization with GSCW requirements</w:t>
      </w:r>
      <w:r w:rsidR="00BC557F">
        <w:rPr>
          <w:rFonts w:ascii="Times New Roman" w:hAnsi="Times New Roman" w:cs="Times New Roman"/>
          <w:sz w:val="20"/>
          <w:szCs w:val="20"/>
        </w:rPr>
        <w:t xml:space="preserve"> [22] [23]</w:t>
      </w:r>
      <w:r w:rsidRPr="003A46AF">
        <w:rPr>
          <w:rFonts w:ascii="Times New Roman" w:hAnsi="Times New Roman" w:cs="Times New Roman"/>
          <w:sz w:val="20"/>
          <w:szCs w:val="20"/>
        </w:rPr>
        <w:t xml:space="preserve">. Built on </w:t>
      </w:r>
      <w:r w:rsidR="00C66DEE" w:rsidRPr="003A46AF">
        <w:rPr>
          <w:rFonts w:ascii="Times New Roman" w:hAnsi="Times New Roman" w:cs="Times New Roman"/>
          <w:sz w:val="20"/>
          <w:szCs w:val="20"/>
        </w:rPr>
        <w:t>HF</w:t>
      </w:r>
      <w:r w:rsidRPr="003A46AF">
        <w:rPr>
          <w:rFonts w:ascii="Times New Roman" w:hAnsi="Times New Roman" w:cs="Times New Roman"/>
          <w:sz w:val="20"/>
          <w:szCs w:val="20"/>
        </w:rPr>
        <w:t xml:space="preserve"> with an incentive mechanism using design science approach and cross-</w:t>
      </w:r>
      <w:proofErr w:type="spellStart"/>
      <w:r w:rsidRPr="003A46AF">
        <w:rPr>
          <w:rFonts w:ascii="Times New Roman" w:hAnsi="Times New Roman" w:cs="Times New Roman"/>
          <w:sz w:val="20"/>
          <w:szCs w:val="20"/>
        </w:rPr>
        <w:t>sectoral</w:t>
      </w:r>
      <w:proofErr w:type="spellEnd"/>
      <w:r w:rsidRPr="003A46AF">
        <w:rPr>
          <w:rFonts w:ascii="Times New Roman" w:hAnsi="Times New Roman" w:cs="Times New Roman"/>
          <w:sz w:val="20"/>
          <w:szCs w:val="20"/>
        </w:rPr>
        <w:t xml:space="preserve"> learning from digital currency systems, the concept is Results reveal the approach provides privacy-preserving, tamper-proof, safe information exchange without interfering with current GSCW processes</w:t>
      </w:r>
      <w:r w:rsidR="00BC557F">
        <w:rPr>
          <w:rFonts w:ascii="Times New Roman" w:hAnsi="Times New Roman" w:cs="Times New Roman"/>
          <w:sz w:val="20"/>
          <w:szCs w:val="20"/>
        </w:rPr>
        <w:t xml:space="preserve"> [24] [25]</w:t>
      </w:r>
      <w:r w:rsidRPr="003A46AF">
        <w:rPr>
          <w:rFonts w:ascii="Times New Roman" w:hAnsi="Times New Roman" w:cs="Times New Roman"/>
          <w:sz w:val="20"/>
          <w:szCs w:val="20"/>
        </w:rPr>
        <w:t>.</w:t>
      </w:r>
      <w:r w:rsidR="00BC557F">
        <w:rPr>
          <w:rFonts w:ascii="Times New Roman" w:hAnsi="Times New Roman" w:cs="Times New Roman"/>
          <w:sz w:val="20"/>
          <w:szCs w:val="20"/>
        </w:rPr>
        <w:t xml:space="preserve"> </w:t>
      </w:r>
    </w:p>
    <w:p w14:paraId="45AF7F2E" w14:textId="77777777" w:rsidR="0090179E" w:rsidRPr="00BC557F" w:rsidRDefault="0090179E" w:rsidP="00BC557F">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t>Proposed Method</w:t>
      </w:r>
    </w:p>
    <w:p w14:paraId="78AEE3F2" w14:textId="77777777" w:rsidR="0090179E" w:rsidRPr="003A46AF" w:rsidRDefault="00C77C6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One possible solution is a TPM-PPHB that would make online payments to the government more transparent, secure, and private. Tokenization, smart contracts, and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are used to solve problems with centralized systems. The digital services offered are instant, tamper-proof, and user-friendly.</w:t>
      </w:r>
    </w:p>
    <w:p w14:paraId="686BABC1" w14:textId="77777777" w:rsidR="00C61B8B" w:rsidRPr="006C0EBC" w:rsidRDefault="00C77C66" w:rsidP="006C0EBC">
      <w:pPr>
        <w:spacing w:before="0" w:beforeAutospacing="0" w:after="120" w:afterAutospacing="0" w:line="228" w:lineRule="auto"/>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drawing>
          <wp:inline distT="0" distB="0" distL="0" distR="0" wp14:anchorId="1A882964" wp14:editId="388A24AD">
            <wp:extent cx="3162300" cy="4507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6">
                      <a:extLst>
                        <a:ext uri="{28A0092B-C50C-407E-A947-70E740481C1C}">
                          <a14:useLocalDpi xmlns:a14="http://schemas.microsoft.com/office/drawing/2010/main" val="0"/>
                        </a:ext>
                      </a:extLst>
                    </a:blip>
                    <a:stretch>
                      <a:fillRect/>
                    </a:stretch>
                  </pic:blipFill>
                  <pic:spPr>
                    <a:xfrm>
                      <a:off x="0" y="0"/>
                      <a:ext cx="3166699" cy="4514136"/>
                    </a:xfrm>
                    <a:prstGeom prst="rect">
                      <a:avLst/>
                    </a:prstGeom>
                  </pic:spPr>
                </pic:pic>
              </a:graphicData>
            </a:graphic>
          </wp:inline>
        </w:drawing>
      </w:r>
    </w:p>
    <w:p w14:paraId="05A8FA3C" w14:textId="17970695" w:rsidR="00C61B8B" w:rsidRPr="006C0EBC" w:rsidRDefault="00C77C66" w:rsidP="006C0EBC">
      <w:pPr>
        <w:spacing w:before="0" w:beforeAutospacing="0" w:after="120" w:afterAutospacing="0" w:line="228" w:lineRule="auto"/>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t xml:space="preserve">Figure 1: System Architecture of TPM-PPHB Framework for </w:t>
      </w:r>
      <w:r w:rsidR="0095572F">
        <w:rPr>
          <w:rFonts w:ascii="Times New Roman" w:hAnsi="Times New Roman" w:cs="Times New Roman"/>
          <w:noProof/>
          <w:sz w:val="16"/>
          <w:szCs w:val="16"/>
          <w:lang w:val="en-IN" w:eastAsia="en-IN"/>
        </w:rPr>
        <w:t xml:space="preserve">                      </w:t>
      </w:r>
      <w:r w:rsidRPr="006C0EBC">
        <w:rPr>
          <w:rFonts w:ascii="Times New Roman" w:hAnsi="Times New Roman" w:cs="Times New Roman"/>
          <w:noProof/>
          <w:sz w:val="16"/>
          <w:szCs w:val="16"/>
          <w:lang w:val="en-IN" w:eastAsia="en-IN"/>
        </w:rPr>
        <w:t>E-Government Payments</w:t>
      </w:r>
    </w:p>
    <w:p w14:paraId="3E949196" w14:textId="77777777" w:rsidR="00C61B8B" w:rsidRPr="003A46AF" w:rsidRDefault="00C77C6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Figure 1 shows the general architecture of the proposed TPM-PPHB designed for open and transparent citizen fee payments. Users starting a service request through an e-government portal start the framework; the charge is computed and sent to the tokenizing module. From traditional cash transactions to online banking and e-wallets, the emergence of Internet technology revolutionized payment procedures such that transactions are faster and more convenient. Usage by users is rapidly increasing as demand for instant money transfer solutions grows. Contemporary internet payment systems, however, suffer </w:t>
      </w:r>
      <w:r w:rsidRPr="003A46AF">
        <w:rPr>
          <w:rFonts w:ascii="Times New Roman" w:hAnsi="Times New Roman" w:cs="Times New Roman"/>
          <w:sz w:val="20"/>
          <w:szCs w:val="20"/>
        </w:rPr>
        <w:lastRenderedPageBreak/>
        <w:t xml:space="preserve">from issues such as single points of failure, non-openness, insider threats, and grave security concerns. Based on the IBFT consensus and enabling secure interface with banking systems, an India-specific, private, permissioned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-based payment system is proposed to address these issues. The requested service is provided once verified; the citizen gets a receipt and notice. This layered architecture is a strong answer for digital governance as it strikes a mix of auditability, privacy, and openness. By means of transparent, tamper-proof, secure interactions with government services, it strengthens public confidence.</w:t>
      </w:r>
    </w:p>
    <w:p w14:paraId="64A1ED66" w14:textId="380EE170" w:rsidR="00D22ADF" w:rsidRPr="003A46AF" w:rsidRDefault="000E1103" w:rsidP="00B1597B">
      <w:pPr>
        <w:spacing w:before="0" w:beforeAutospacing="0" w:after="120" w:afterAutospacing="0" w:line="228" w:lineRule="auto"/>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2</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num>
                <m:den>
                  <m:r>
                    <w:rPr>
                      <w:rFonts w:ascii="Cambria Math" w:eastAsiaTheme="minorEastAsia" w:hAnsi="Cambria Math" w:cs="Times New Roman"/>
                      <w:sz w:val="20"/>
                      <w:szCs w:val="20"/>
                    </w:rPr>
                    <m:t>4</m:t>
                  </m:r>
                </m:den>
              </m:f>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111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e>
          </m:d>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δα</m:t>
                      </m:r>
                    </m:num>
                    <m:den>
                      <m:r>
                        <w:rPr>
                          <w:rFonts w:ascii="Cambria Math" w:eastAsiaTheme="minorEastAsia" w:hAnsi="Cambria Math" w:cs="Times New Roman"/>
                          <w:sz w:val="20"/>
                          <w:szCs w:val="20"/>
                        </w:rPr>
                        <m:t>δβ</m:t>
                      </m:r>
                    </m:den>
                  </m:f>
                </m:e>
              </m:d>
              <m:r>
                <m:rPr>
                  <m:sty m:val="p"/>
                </m:rPr>
                <w:rPr>
                  <w:rFonts w:ascii="Cambria Math" w:eastAsiaTheme="minorEastAsia" w:hAnsi="Cambria Math" w:cs="Times New Roman"/>
                  <w:sz w:val="20"/>
                  <w:szCs w:val="20"/>
                </w:rPr>
                <m:t>∇.2</m:t>
              </m:r>
              <m:ctrlPr>
                <w:rPr>
                  <w:rFonts w:ascii="Cambria Math" w:eastAsiaTheme="minorEastAsia" w:hAnsi="Cambria Math" w:cs="Times New Roman"/>
                  <w:i/>
                  <w:sz w:val="20"/>
                  <w:szCs w:val="20"/>
                </w:rPr>
              </m:ctrlPr>
            </m:num>
            <m:den>
              <m:r>
                <m:rPr>
                  <m:sty m:val="p"/>
                </m:rPr>
                <w:rPr>
                  <w:rFonts w:ascii="Cambria Math" w:eastAsiaTheme="minorEastAsia" w:hAnsi="Cambria Math" w:cs="Times New Roman"/>
                  <w:sz w:val="20"/>
                  <w:szCs w:val="20"/>
                </w:rPr>
                <m:t>3∇</m:t>
              </m:r>
            </m:den>
          </m:f>
          <m:r>
            <w:rPr>
              <w:rFonts w:ascii="Cambria Math" w:eastAsiaTheme="minorEastAsia" w:hAnsi="Cambria Math" w:cs="Times New Roman"/>
              <w:sz w:val="20"/>
              <w:szCs w:val="20"/>
            </w:rPr>
            <m:t xml:space="preserve"> (1)</m:t>
          </m:r>
        </m:oMath>
      </m:oMathPara>
    </w:p>
    <w:p w14:paraId="331D4DF4" w14:textId="77777777" w:rsidR="000E1103" w:rsidRPr="003A46AF" w:rsidRDefault="0004783D" w:rsidP="003A46AF">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3A46AF">
        <w:rPr>
          <w:rFonts w:ascii="Times New Roman" w:eastAsia="Times New Roman" w:hAnsi="Times New Roman" w:cs="Times New Roman"/>
          <w:sz w:val="20"/>
          <w:szCs w:val="20"/>
          <w:lang w:val="en-IN" w:eastAsia="en-IN"/>
        </w:rPr>
        <w:t>The equation</w:t>
      </w:r>
      <w:r w:rsidR="00E41AC7" w:rsidRPr="003A46AF">
        <w:rPr>
          <w:rFonts w:ascii="Times New Roman" w:eastAsia="Times New Roman" w:hAnsi="Times New Roman" w:cs="Times New Roman"/>
          <w:sz w:val="20"/>
          <w:szCs w:val="20"/>
          <w:lang w:val="en-IN" w:eastAsia="en-IN"/>
        </w:rPr>
        <w:t xml:space="preserve"> 1</w:t>
      </w:r>
      <w:r w:rsidRPr="003A46AF">
        <w:rPr>
          <w:rFonts w:ascii="Times New Roman" w:eastAsia="Times New Roman" w:hAnsi="Times New Roman" w:cs="Times New Roman"/>
          <w:sz w:val="20"/>
          <w:szCs w:val="20"/>
          <w:lang w:val="en-IN" w:eastAsia="en-IN"/>
        </w:rPr>
        <w:t xml:space="preserve"> shows the relationship</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num>
          <m:den>
            <m:r>
              <w:rPr>
                <w:rFonts w:ascii="Cambria Math" w:eastAsiaTheme="minorEastAsia" w:hAnsi="Cambria Math" w:cs="Times New Roman"/>
                <w:sz w:val="20"/>
                <w:szCs w:val="20"/>
              </w:rPr>
              <m:t>4</m:t>
            </m:r>
          </m:den>
        </m:f>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111</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0 </m:t>
                </m:r>
              </m:sub>
            </m:sSub>
          </m:den>
        </m:f>
      </m:oMath>
      <w:r w:rsidRPr="003A46AF">
        <w:rPr>
          <w:rFonts w:ascii="Times New Roman" w:eastAsia="Times New Roman" w:hAnsi="Times New Roman" w:cs="Times New Roman"/>
          <w:sz w:val="20"/>
          <w:szCs w:val="20"/>
          <w:lang w:val="en-IN" w:eastAsia="en-IN"/>
        </w:rPr>
        <w:t xml:space="preserve"> between transaction interactions</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δα</m:t>
                </m:r>
              </m:num>
              <m:den>
                <m:r>
                  <w:rPr>
                    <w:rFonts w:ascii="Cambria Math" w:eastAsiaTheme="minorEastAsia" w:hAnsi="Cambria Math" w:cs="Times New Roman"/>
                    <w:sz w:val="20"/>
                    <w:szCs w:val="20"/>
                  </w:rPr>
                  <m:t>δβ</m:t>
                </m:r>
              </m:den>
            </m:f>
          </m:e>
        </m:d>
        <m:r>
          <m:rPr>
            <m:sty m:val="p"/>
          </m:rPr>
          <w:rPr>
            <w:rFonts w:ascii="Cambria Math" w:eastAsiaTheme="minorEastAsia" w:hAnsi="Cambria Math" w:cs="Times New Roman"/>
            <w:sz w:val="20"/>
            <w:szCs w:val="20"/>
          </w:rPr>
          <m:t>∇.2</m:t>
        </m:r>
      </m:oMath>
      <w:r w:rsidRPr="003A46AF">
        <w:rPr>
          <w:rFonts w:ascii="Times New Roman" w:eastAsia="Times New Roman" w:hAnsi="Times New Roman" w:cs="Times New Roman"/>
          <w:sz w:val="20"/>
          <w:szCs w:val="20"/>
          <w:lang w:val="en-IN" w:eastAsia="en-IN"/>
        </w:rPr>
        <w:t xml:space="preserve"> and security aspects</w:t>
      </w:r>
      <m:oMath>
        <m:r>
          <m:rPr>
            <m:sty m:val="p"/>
          </m:rPr>
          <w:rPr>
            <w:rFonts w:ascii="Cambria Math" w:eastAsiaTheme="minorEastAsia" w:hAnsi="Cambria Math" w:cs="Times New Roman"/>
            <w:sz w:val="20"/>
            <w:szCs w:val="20"/>
          </w:rPr>
          <m:t>3∇</m:t>
        </m:r>
      </m:oMath>
      <w:r w:rsidRPr="003A46AF">
        <w:rPr>
          <w:rFonts w:ascii="Times New Roman" w:eastAsia="Times New Roman" w:hAnsi="Times New Roman" w:cs="Times New Roman"/>
          <w:sz w:val="20"/>
          <w:szCs w:val="20"/>
          <w:lang w:val="en-IN" w:eastAsia="en-IN"/>
        </w:rPr>
        <w:t xml:space="preserve"> in the blockchain architecture </w:t>
      </w:r>
      <w:proofErr w:type="gramStart"/>
      <w:r w:rsidRPr="003A46AF">
        <w:rPr>
          <w:rFonts w:ascii="Times New Roman" w:eastAsia="Times New Roman" w:hAnsi="Times New Roman" w:cs="Times New Roman"/>
          <w:sz w:val="20"/>
          <w:szCs w:val="20"/>
          <w:lang w:val="en-IN" w:eastAsia="en-IN"/>
        </w:rPr>
        <w:t xml:space="preserve">and </w:t>
      </w:r>
      <w:proofErr w:type="gramEnd"/>
      <m:oMath>
        <m:r>
          <w:rPr>
            <w:rFonts w:ascii="Cambria Math" w:eastAsiaTheme="minorEastAsia" w:hAnsi="Cambria Math" w:cs="Times New Roman"/>
            <w:sz w:val="20"/>
            <w:szCs w:val="20"/>
          </w:rPr>
          <m:t>2</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+1</m:t>
        </m:r>
      </m:oMath>
      <w:r w:rsidRPr="003A46AF">
        <w:rPr>
          <w:rFonts w:ascii="Times New Roman" w:eastAsia="Times New Roman" w:hAnsi="Times New Roman" w:cs="Times New Roman"/>
          <w:sz w:val="20"/>
          <w:szCs w:val="20"/>
          <w:lang w:val="en-IN" w:eastAsia="en-IN"/>
        </w:rPr>
        <w:t>. Its aim ecosystem the effects of several modifications, including quantity of transactions and security measures, payment systems.</w:t>
      </w:r>
    </w:p>
    <w:p w14:paraId="7DC9D1E7" w14:textId="77777777" w:rsidR="00776B64" w:rsidRDefault="00776B64" w:rsidP="006C0EBC">
      <w:pPr>
        <w:spacing w:before="0" w:beforeAutospacing="0" w:after="120" w:afterAutospacing="0" w:line="228" w:lineRule="auto"/>
        <w:rPr>
          <w:rFonts w:ascii="Times New Roman" w:hAnsi="Times New Roman" w:cs="Times New Roman"/>
          <w:noProof/>
          <w:sz w:val="16"/>
          <w:szCs w:val="16"/>
          <w:lang w:val="en-IN" w:eastAsia="en-IN"/>
        </w:rPr>
        <w:sectPr w:rsidR="00776B64" w:rsidSect="00BC557F">
          <w:type w:val="continuous"/>
          <w:pgSz w:w="11909" w:h="16834" w:code="9"/>
          <w:pgMar w:top="1080" w:right="907" w:bottom="1440" w:left="907" w:header="720" w:footer="720" w:gutter="0"/>
          <w:cols w:num="2" w:space="360"/>
          <w:docGrid w:linePitch="360"/>
        </w:sectPr>
      </w:pPr>
    </w:p>
    <w:p w14:paraId="064452B3" w14:textId="34B423AF" w:rsidR="00C61B8B" w:rsidRPr="006C0EBC" w:rsidRDefault="00C77C66" w:rsidP="00776B64">
      <w:pPr>
        <w:spacing w:before="0" w:beforeAutospacing="0" w:after="120" w:afterAutospacing="0" w:line="228" w:lineRule="auto"/>
        <w:jc w:val="center"/>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lastRenderedPageBreak/>
        <w:drawing>
          <wp:inline distT="0" distB="0" distL="0" distR="0" wp14:anchorId="02D46F57" wp14:editId="141D8A09">
            <wp:extent cx="4359349" cy="61396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7">
                      <a:extLst>
                        <a:ext uri="{28A0092B-C50C-407E-A947-70E740481C1C}">
                          <a14:useLocalDpi xmlns:a14="http://schemas.microsoft.com/office/drawing/2010/main" val="0"/>
                        </a:ext>
                      </a:extLst>
                    </a:blip>
                    <a:stretch>
                      <a:fillRect/>
                    </a:stretch>
                  </pic:blipFill>
                  <pic:spPr>
                    <a:xfrm>
                      <a:off x="0" y="0"/>
                      <a:ext cx="4361270" cy="6142312"/>
                    </a:xfrm>
                    <a:prstGeom prst="rect">
                      <a:avLst/>
                    </a:prstGeom>
                  </pic:spPr>
                </pic:pic>
              </a:graphicData>
            </a:graphic>
          </wp:inline>
        </w:drawing>
      </w:r>
    </w:p>
    <w:p w14:paraId="06255454" w14:textId="77777777" w:rsidR="00C77C66" w:rsidRPr="006C0EBC" w:rsidRDefault="00C77C66" w:rsidP="006C0EBC">
      <w:pPr>
        <w:spacing w:before="0" w:beforeAutospacing="0" w:after="120" w:afterAutospacing="0" w:line="228" w:lineRule="auto"/>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t>Figure 2: Token Lifecycle and Blockchain Interaction Process</w:t>
      </w:r>
    </w:p>
    <w:p w14:paraId="3E4C1951"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sectPr w:rsidR="00776B64" w:rsidSect="00776B64">
          <w:type w:val="continuous"/>
          <w:pgSz w:w="11909" w:h="16834" w:code="9"/>
          <w:pgMar w:top="1080" w:right="907" w:bottom="1440" w:left="907" w:header="720" w:footer="720" w:gutter="0"/>
          <w:cols w:space="360"/>
          <w:docGrid w:linePitch="360"/>
        </w:sectPr>
      </w:pPr>
    </w:p>
    <w:p w14:paraId="6120CFF0" w14:textId="4286893F" w:rsidR="00C77C66" w:rsidRPr="003A46AF" w:rsidRDefault="00C77C6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lastRenderedPageBreak/>
        <w:t xml:space="preserve">The lifetime of a digital token and its interaction across public and private </w:t>
      </w:r>
      <w:proofErr w:type="spellStart"/>
      <w:r w:rsidRPr="003A46AF">
        <w:rPr>
          <w:rFonts w:ascii="Times New Roman" w:hAnsi="Times New Roman" w:cs="Times New Roman"/>
          <w:sz w:val="20"/>
          <w:szCs w:val="20"/>
        </w:rPr>
        <w:t>blockchains</w:t>
      </w:r>
      <w:proofErr w:type="spellEnd"/>
      <w:r w:rsidRPr="003A46AF">
        <w:rPr>
          <w:rFonts w:ascii="Times New Roman" w:hAnsi="Times New Roman" w:cs="Times New Roman"/>
          <w:sz w:val="20"/>
          <w:szCs w:val="20"/>
        </w:rPr>
        <w:t xml:space="preserve"> in the TPM-PPHB system is shown in Figure 2. The procedure begins when a citizen pays that initiates the tokenizing engine to produce a unique token related to their transaction. This token is stored on the private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along with encrypted personal and payment information. </w:t>
      </w:r>
      <w:r w:rsidR="00273516" w:rsidRPr="003A46AF">
        <w:rPr>
          <w:rFonts w:ascii="Times New Roman" w:hAnsi="Times New Roman" w:cs="Times New Roman"/>
          <w:sz w:val="20"/>
          <w:szCs w:val="20"/>
        </w:rPr>
        <w:t xml:space="preserve">The token transaction is also recorded </w:t>
      </w:r>
      <w:r w:rsidR="00273516" w:rsidRPr="003A46AF">
        <w:rPr>
          <w:rFonts w:ascii="Times New Roman" w:hAnsi="Times New Roman" w:cs="Times New Roman"/>
          <w:sz w:val="20"/>
          <w:szCs w:val="20"/>
        </w:rPr>
        <w:lastRenderedPageBreak/>
        <w:t xml:space="preserve">on the public chain simultaneously for visibility and third-party auditability purposes. Subsequently, the government service is dispensed, the smart contracts make reference to both chains to validate the token validity and make payment. The token is noted as spent and entered in both chains for accounting after service delivery. This two-chain interaction preserves private data as private and still provides the </w:t>
      </w:r>
      <w:r w:rsidR="00273516" w:rsidRPr="003A46AF">
        <w:rPr>
          <w:rFonts w:ascii="Times New Roman" w:hAnsi="Times New Roman" w:cs="Times New Roman"/>
          <w:sz w:val="20"/>
          <w:szCs w:val="20"/>
        </w:rPr>
        <w:lastRenderedPageBreak/>
        <w:t>openness necessary to ensure public trust. Notably for the ability to extend secure digital payment schemes in e-government usage, the token lifecycle model imposes security, traceability, and privacy</w:t>
      </w:r>
      <w:r w:rsidRPr="003A46AF">
        <w:rPr>
          <w:rFonts w:ascii="Times New Roman" w:hAnsi="Times New Roman" w:cs="Times New Roman"/>
          <w:sz w:val="20"/>
          <w:szCs w:val="20"/>
        </w:rPr>
        <w:t>.</w:t>
      </w:r>
    </w:p>
    <w:p w14:paraId="42D61795" w14:textId="391B96F5" w:rsidR="00E04326" w:rsidRPr="00B1597B" w:rsidRDefault="0095572F" w:rsidP="00B1597B">
      <w:pPr>
        <w:spacing w:before="0" w:beforeAutospacing="0" w:after="120" w:afterAutospacing="0" w:line="228" w:lineRule="auto"/>
        <w:rPr>
          <w:rFonts w:ascii="Times New Roman" w:eastAsiaTheme="minorEastAsia" w:hAnsi="Times New Roman" w:cs="Times New Roman"/>
          <w:sz w:val="20"/>
          <w:szCs w:val="20"/>
        </w:rPr>
      </w:pPr>
      <m:oMathPara>
        <m:oMathParaPr>
          <m:jc m:val="center"/>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q</m:t>
                          </m:r>
                        </m:den>
                      </m:f>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-1</m:t>
              </m:r>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δq</m:t>
              </m:r>
            </m:num>
            <m:den>
              <m:r>
                <w:rPr>
                  <w:rFonts w:ascii="Cambria Math" w:eastAsiaTheme="minorEastAsia" w:hAnsi="Cambria Math" w:cs="Times New Roman"/>
                  <w:sz w:val="20"/>
                  <w:szCs w:val="20"/>
                </w:rPr>
                <m:t>δx</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δp</m:t>
              </m:r>
            </m:num>
            <m:den>
              <m:r>
                <w:rPr>
                  <w:rFonts w:ascii="Cambria Math" w:eastAsiaTheme="minorEastAsia" w:hAnsi="Cambria Math" w:cs="Times New Roman"/>
                  <w:sz w:val="20"/>
                  <w:szCs w:val="20"/>
                </w:rPr>
                <m:t>δy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r>
            <w:rPr>
              <w:rFonts w:ascii="Cambria Math" w:eastAsiaTheme="minorEastAsia" w:hAnsi="Cambria Math" w:cs="Times New Roman"/>
              <w:sz w:val="20"/>
              <w:szCs w:val="20"/>
            </w:rPr>
            <m:t xml:space="preserve"> (2)</m:t>
          </m:r>
        </m:oMath>
      </m:oMathPara>
    </w:p>
    <w:p w14:paraId="2A539076" w14:textId="77777777" w:rsidR="00E04326" w:rsidRPr="003A46AF" w:rsidRDefault="00E04326" w:rsidP="003A46AF">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3A46AF">
        <w:rPr>
          <w:rFonts w:ascii="Times New Roman" w:eastAsia="Times New Roman" w:hAnsi="Times New Roman" w:cs="Times New Roman"/>
          <w:sz w:val="20"/>
          <w:szCs w:val="20"/>
          <w:lang w:val="en-IN" w:eastAsia="en-IN"/>
        </w:rPr>
        <w:t xml:space="preserve">The equation 2,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q</m:t>
                        </m:r>
                      </m:den>
                    </m:f>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-1</m:t>
            </m:r>
          </m:e>
        </m:d>
      </m:oMath>
      <w:r w:rsidRPr="003A46AF">
        <w:rPr>
          <w:rFonts w:ascii="Times New Roman" w:eastAsia="Times New Roman" w:hAnsi="Times New Roman" w:cs="Times New Roman"/>
          <w:sz w:val="20"/>
          <w:szCs w:val="20"/>
          <w:lang w:val="en-IN" w:eastAsia="en-IN"/>
        </w:rPr>
        <w:t xml:space="preserve"> predicts blockchain share the fluctuation about transaction factors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δq</m:t>
            </m:r>
          </m:num>
          <m:den>
            <m:r>
              <w:rPr>
                <w:rFonts w:ascii="Cambria Math" w:eastAsiaTheme="minorEastAsia" w:hAnsi="Cambria Math" w:cs="Times New Roman"/>
                <w:sz w:val="20"/>
                <w:szCs w:val="20"/>
              </w:rPr>
              <m:t>δx</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den>
        </m:f>
      </m:oMath>
      <w:r w:rsidRPr="003A46AF">
        <w:rPr>
          <w:rFonts w:ascii="Times New Roman" w:eastAsia="Times New Roman" w:hAnsi="Times New Roman" w:cs="Times New Roman"/>
          <w:sz w:val="20"/>
          <w:szCs w:val="20"/>
          <w:lang w:val="en-IN" w:eastAsia="en-IN"/>
        </w:rPr>
        <w:t>). Its aim is to assess</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δp</m:t>
            </m:r>
          </m:num>
          <m:den>
            <m:r>
              <w:rPr>
                <w:rFonts w:ascii="Cambria Math" w:eastAsiaTheme="minorEastAsia" w:hAnsi="Cambria Math" w:cs="Times New Roman"/>
                <w:sz w:val="20"/>
                <w:szCs w:val="20"/>
              </w:rPr>
              <m:t>δy</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oMath>
      <w:r w:rsidRPr="003A46AF">
        <w:rPr>
          <w:rFonts w:ascii="Times New Roman" w:eastAsia="Times New Roman" w:hAnsi="Times New Roman" w:cs="Times New Roman"/>
          <w:sz w:val="20"/>
          <w:szCs w:val="20"/>
          <w:lang w:val="en-IN" w:eastAsia="en-IN"/>
        </w:rPr>
        <w:t xml:space="preserve"> tokenized payment system for E-government services by means of dynamic elements including quantity of transactions (</w:t>
      </w:r>
      <m:oMath>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oMath>
      <w:r w:rsidRPr="003A46AF">
        <w:rPr>
          <w:rFonts w:ascii="Times New Roman" w:eastAsia="Times New Roman" w:hAnsi="Times New Roman" w:cs="Times New Roman"/>
          <w:sz w:val="20"/>
          <w:szCs w:val="20"/>
          <w:lang w:val="en-IN" w:eastAsia="en-IN"/>
        </w:rPr>
        <w:t>) and payment profitability.</w:t>
      </w:r>
    </w:p>
    <w:p w14:paraId="62D9D6D5" w14:textId="77777777" w:rsidR="00C77C66"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TPM-PPHB employs a hybrid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to process citizens' payments securely through tokenized transactions. It facilitates automatic verification through smart contracts by balancing public transparency with private data protection. The improved efficiency, audibility, and privacy-preserving features of the system upgrade e-government payment systems, increase trust, and minimize fraud risks</w:t>
      </w:r>
      <w:r w:rsidR="00C77C66" w:rsidRPr="003A46AF">
        <w:rPr>
          <w:rFonts w:ascii="Times New Roman" w:hAnsi="Times New Roman" w:cs="Times New Roman"/>
          <w:sz w:val="20"/>
          <w:szCs w:val="20"/>
        </w:rPr>
        <w:t>.</w:t>
      </w:r>
    </w:p>
    <w:p w14:paraId="5A138CA8" w14:textId="77777777" w:rsidR="0090179E" w:rsidRPr="00BC557F" w:rsidRDefault="0090179E" w:rsidP="00BC557F">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t>Result and Discussion</w:t>
      </w:r>
    </w:p>
    <w:p w14:paraId="3B07FCB9" w14:textId="77777777" w:rsidR="008E528A" w:rsidRDefault="00712E2D"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The Result and Discussion section evaluates the performance of the proposed TPM-PPHB framework using key metrics such as transaction efficiency and privacy assurance. Comparative analysis against existing methodologies demonstrates the framework’s superiority in processing speed, data security, and system transparency, validating its effectiveness for secure e-government service payments.</w:t>
      </w:r>
    </w:p>
    <w:p w14:paraId="4719E687"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pPr>
    </w:p>
    <w:p w14:paraId="47ADA38E"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pPr>
    </w:p>
    <w:p w14:paraId="6B68689B"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pPr>
    </w:p>
    <w:p w14:paraId="1F820356"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pPr>
    </w:p>
    <w:p w14:paraId="59C6CBFD"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pPr>
    </w:p>
    <w:p w14:paraId="3A8C8945" w14:textId="77777777" w:rsidR="00776B64" w:rsidRPr="003A46AF" w:rsidRDefault="00776B64" w:rsidP="003A46AF">
      <w:pPr>
        <w:spacing w:before="0" w:beforeAutospacing="0" w:after="120" w:afterAutospacing="0" w:line="228" w:lineRule="auto"/>
        <w:ind w:firstLine="288"/>
        <w:rPr>
          <w:rFonts w:ascii="Times New Roman" w:hAnsi="Times New Roman" w:cs="Times New Roman"/>
          <w:sz w:val="20"/>
          <w:szCs w:val="20"/>
        </w:rPr>
      </w:pPr>
    </w:p>
    <w:p w14:paraId="3C770A11" w14:textId="77777777" w:rsidR="008E528A" w:rsidRPr="006C0EBC" w:rsidRDefault="008E528A" w:rsidP="006C0EBC">
      <w:pPr>
        <w:spacing w:before="0" w:beforeAutospacing="0" w:after="120" w:afterAutospacing="0" w:line="228" w:lineRule="auto"/>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lastRenderedPageBreak/>
        <w:t>Table 1: Comparison of Advantages and Disadvantages of Payment Systems in E-Government Services</w:t>
      </w:r>
    </w:p>
    <w:tbl>
      <w:tblPr>
        <w:tblStyle w:val="TableGrid"/>
        <w:tblW w:w="0" w:type="auto"/>
        <w:tblLook w:val="04A0" w:firstRow="1" w:lastRow="0" w:firstColumn="1" w:lastColumn="0" w:noHBand="0" w:noVBand="1"/>
      </w:tblPr>
      <w:tblGrid>
        <w:gridCol w:w="1022"/>
        <w:gridCol w:w="2089"/>
        <w:gridCol w:w="1972"/>
      </w:tblGrid>
      <w:tr w:rsidR="003A46AF" w:rsidRPr="00776B64" w14:paraId="32A6EC2D" w14:textId="77777777" w:rsidTr="00776B64">
        <w:tc>
          <w:tcPr>
            <w:tcW w:w="0" w:type="auto"/>
            <w:hideMark/>
          </w:tcPr>
          <w:p w14:paraId="3DCA053E"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System</w:t>
            </w:r>
          </w:p>
        </w:tc>
        <w:tc>
          <w:tcPr>
            <w:tcW w:w="0" w:type="auto"/>
            <w:hideMark/>
          </w:tcPr>
          <w:p w14:paraId="0A37F7EA"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Advantages</w:t>
            </w:r>
          </w:p>
        </w:tc>
        <w:tc>
          <w:tcPr>
            <w:tcW w:w="0" w:type="auto"/>
            <w:hideMark/>
          </w:tcPr>
          <w:p w14:paraId="202E7E10"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Disadvantages</w:t>
            </w:r>
          </w:p>
        </w:tc>
      </w:tr>
      <w:tr w:rsidR="003A46AF" w:rsidRPr="00776B64" w14:paraId="10B81395" w14:textId="77777777" w:rsidTr="00776B64">
        <w:tc>
          <w:tcPr>
            <w:tcW w:w="0" w:type="auto"/>
            <w:hideMark/>
          </w:tcPr>
          <w:p w14:paraId="48BF554F"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p2p</w:t>
            </w:r>
          </w:p>
        </w:tc>
        <w:tc>
          <w:tcPr>
            <w:tcW w:w="0" w:type="auto"/>
            <w:hideMark/>
          </w:tcPr>
          <w:p w14:paraId="6F38A52B"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Simple and decentralized- Low setup cost</w:t>
            </w:r>
          </w:p>
        </w:tc>
        <w:tc>
          <w:tcPr>
            <w:tcW w:w="0" w:type="auto"/>
            <w:hideMark/>
          </w:tcPr>
          <w:p w14:paraId="6B254AEB"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High transaction latency- Limited scalability for large datasets</w:t>
            </w:r>
          </w:p>
        </w:tc>
      </w:tr>
      <w:tr w:rsidR="003A46AF" w:rsidRPr="00776B64" w14:paraId="0DD462DC" w14:textId="77777777" w:rsidTr="00776B64">
        <w:tc>
          <w:tcPr>
            <w:tcW w:w="0" w:type="auto"/>
            <w:hideMark/>
          </w:tcPr>
          <w:p w14:paraId="00D3F880" w14:textId="77777777" w:rsidR="008E528A" w:rsidRPr="00776B64" w:rsidRDefault="00C66DEE"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HF</w:t>
            </w:r>
          </w:p>
        </w:tc>
        <w:tc>
          <w:tcPr>
            <w:tcW w:w="0" w:type="auto"/>
            <w:hideMark/>
          </w:tcPr>
          <w:p w14:paraId="5EF0F0E8"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High transaction throughput- Flexible permission model- Strong community support</w:t>
            </w:r>
          </w:p>
        </w:tc>
        <w:tc>
          <w:tcPr>
            <w:tcW w:w="0" w:type="auto"/>
            <w:hideMark/>
          </w:tcPr>
          <w:p w14:paraId="5C56ED24"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Complexity in setup and maintenance- Not fully decentralized</w:t>
            </w:r>
          </w:p>
        </w:tc>
      </w:tr>
      <w:tr w:rsidR="003A46AF" w:rsidRPr="00776B64" w14:paraId="1CAA766E" w14:textId="77777777" w:rsidTr="00776B64">
        <w:tc>
          <w:tcPr>
            <w:tcW w:w="0" w:type="auto"/>
            <w:hideMark/>
          </w:tcPr>
          <w:p w14:paraId="27E1512A" w14:textId="77777777" w:rsidR="008E528A" w:rsidRPr="00776B64" w:rsidRDefault="00C66DEE"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IBFT</w:t>
            </w:r>
          </w:p>
        </w:tc>
        <w:tc>
          <w:tcPr>
            <w:tcW w:w="0" w:type="auto"/>
            <w:hideMark/>
          </w:tcPr>
          <w:p w14:paraId="09F3776D"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Consensus algorithm ensures high transaction security- Faster transaction finality</w:t>
            </w:r>
          </w:p>
        </w:tc>
        <w:tc>
          <w:tcPr>
            <w:tcW w:w="0" w:type="auto"/>
            <w:hideMark/>
          </w:tcPr>
          <w:p w14:paraId="5C3948CB"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Limited scalability in large networks- Requires trust among participants</w:t>
            </w:r>
          </w:p>
        </w:tc>
      </w:tr>
      <w:tr w:rsidR="003A46AF" w:rsidRPr="00776B64" w14:paraId="357265B4" w14:textId="77777777" w:rsidTr="00776B64">
        <w:tc>
          <w:tcPr>
            <w:tcW w:w="0" w:type="auto"/>
            <w:hideMark/>
          </w:tcPr>
          <w:p w14:paraId="528E15E7"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BNT</w:t>
            </w:r>
          </w:p>
        </w:tc>
        <w:tc>
          <w:tcPr>
            <w:tcW w:w="0" w:type="auto"/>
            <w:hideMark/>
          </w:tcPr>
          <w:p w14:paraId="2FEB24BF"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Robust fault tolerance- Efficient consensus for smaller networks</w:t>
            </w:r>
          </w:p>
        </w:tc>
        <w:tc>
          <w:tcPr>
            <w:tcW w:w="0" w:type="auto"/>
            <w:hideMark/>
          </w:tcPr>
          <w:p w14:paraId="6AED8774"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Slower compared to other consensus models in large-scale operations- Requires complex management</w:t>
            </w:r>
          </w:p>
        </w:tc>
      </w:tr>
      <w:tr w:rsidR="003A46AF" w:rsidRPr="00776B64" w14:paraId="42F4879C" w14:textId="77777777" w:rsidTr="00776B64">
        <w:tc>
          <w:tcPr>
            <w:tcW w:w="0" w:type="auto"/>
            <w:hideMark/>
          </w:tcPr>
          <w:p w14:paraId="00B467E9"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TPM-PPHB (Proposed)</w:t>
            </w:r>
          </w:p>
        </w:tc>
        <w:tc>
          <w:tcPr>
            <w:tcW w:w="0" w:type="auto"/>
            <w:hideMark/>
          </w:tcPr>
          <w:p w14:paraId="24030DFE"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Highest transaction efficiency- Superior privacy assurance- Secure and transparent payments- Scalable and efficient for large datasets</w:t>
            </w:r>
          </w:p>
        </w:tc>
        <w:tc>
          <w:tcPr>
            <w:tcW w:w="0" w:type="auto"/>
            <w:hideMark/>
          </w:tcPr>
          <w:p w14:paraId="243C9388" w14:textId="77777777" w:rsidR="008E528A" w:rsidRPr="00776B64" w:rsidRDefault="008E528A" w:rsidP="00776B64">
            <w:pPr>
              <w:spacing w:beforeAutospacing="0" w:after="120" w:afterAutospacing="0" w:line="228" w:lineRule="auto"/>
              <w:jc w:val="left"/>
              <w:rPr>
                <w:rFonts w:ascii="Times New Roman" w:hAnsi="Times New Roman" w:cs="Times New Roman"/>
                <w:sz w:val="16"/>
                <w:szCs w:val="16"/>
              </w:rPr>
            </w:pPr>
            <w:r w:rsidRPr="00776B64">
              <w:rPr>
                <w:rFonts w:ascii="Times New Roman" w:hAnsi="Times New Roman" w:cs="Times New Roman"/>
                <w:sz w:val="16"/>
                <w:szCs w:val="16"/>
              </w:rPr>
              <w:t xml:space="preserve">- Complex implementation- Requires hybrid </w:t>
            </w:r>
            <w:proofErr w:type="spellStart"/>
            <w:r w:rsidRPr="00776B64">
              <w:rPr>
                <w:rFonts w:ascii="Times New Roman" w:hAnsi="Times New Roman" w:cs="Times New Roman"/>
                <w:sz w:val="16"/>
                <w:szCs w:val="16"/>
              </w:rPr>
              <w:t>blockchain</w:t>
            </w:r>
            <w:proofErr w:type="spellEnd"/>
            <w:r w:rsidRPr="00776B64">
              <w:rPr>
                <w:rFonts w:ascii="Times New Roman" w:hAnsi="Times New Roman" w:cs="Times New Roman"/>
                <w:sz w:val="16"/>
                <w:szCs w:val="16"/>
              </w:rPr>
              <w:t xml:space="preserve"> infrastructure- Higher computational cost</w:t>
            </w:r>
          </w:p>
        </w:tc>
      </w:tr>
    </w:tbl>
    <w:p w14:paraId="3A033A89" w14:textId="77777777" w:rsidR="008E528A" w:rsidRPr="003A46AF" w:rsidRDefault="0027351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Table 1 presents a comparison of some payment systems assessed for e-government applications: p2p, HF, IBFT, BNT, and the newly suggested TPM-PPHB model. All the systems have some advantages and disadvantages. For instance, p2p suffers from poor scalability and latency in transactions but is still simple and decentralized. As much as its intricate setup and maintenance require, HF is highly flexible and throughput-oriented. IBFT, while offering speedy finality of transactions and strong security, is marred by the issue of scalability and participant trust. </w:t>
      </w:r>
      <w:r w:rsidR="008E528A" w:rsidRPr="003A46AF">
        <w:rPr>
          <w:rFonts w:ascii="Times New Roman" w:hAnsi="Times New Roman" w:cs="Times New Roman"/>
          <w:sz w:val="20"/>
          <w:szCs w:val="20"/>
        </w:rPr>
        <w:t xml:space="preserve">As much as it enjoys higher fault tolerance, BNT is harder to manage and performs more slowly in large networks. On the other hand, TPM-PPHB guarantees the best possible transaction efficiency while simultaneously protecting user privacy, making it the best choice for open and transparent </w:t>
      </w:r>
      <w:r w:rsidR="004826D1" w:rsidRPr="003A46AF">
        <w:rPr>
          <w:rFonts w:ascii="Times New Roman" w:hAnsi="Times New Roman" w:cs="Times New Roman"/>
          <w:sz w:val="20"/>
          <w:szCs w:val="20"/>
        </w:rPr>
        <w:t>E-government</w:t>
      </w:r>
      <w:r w:rsidR="008E528A" w:rsidRPr="003A46AF">
        <w:rPr>
          <w:rFonts w:ascii="Times New Roman" w:hAnsi="Times New Roman" w:cs="Times New Roman"/>
          <w:sz w:val="20"/>
          <w:szCs w:val="20"/>
        </w:rPr>
        <w:t xml:space="preserve"> payments. The increased computational cost and complexity of implementation makes it more appropriate for systems with large-scale, high-demand requirements.</w:t>
      </w:r>
    </w:p>
    <w:p w14:paraId="1ACEA202" w14:textId="77777777" w:rsidR="00776B64" w:rsidRDefault="00776B64" w:rsidP="006C0EBC">
      <w:pPr>
        <w:spacing w:before="120" w:beforeAutospacing="0" w:after="60" w:afterAutospacing="0" w:line="228" w:lineRule="auto"/>
        <w:rPr>
          <w:rFonts w:ascii="Times New Roman" w:hAnsi="Times New Roman" w:cs="Times New Roman"/>
          <w:i/>
          <w:sz w:val="20"/>
          <w:szCs w:val="20"/>
        </w:rPr>
        <w:sectPr w:rsidR="00776B64" w:rsidSect="00BC557F">
          <w:type w:val="continuous"/>
          <w:pgSz w:w="11909" w:h="16834" w:code="9"/>
          <w:pgMar w:top="1080" w:right="907" w:bottom="1440" w:left="907" w:header="720" w:footer="720" w:gutter="0"/>
          <w:cols w:num="2" w:space="360"/>
          <w:docGrid w:linePitch="360"/>
        </w:sectPr>
      </w:pPr>
    </w:p>
    <w:p w14:paraId="28E9673F" w14:textId="7F668378" w:rsidR="00C61B8B" w:rsidRPr="006C0EBC" w:rsidRDefault="00C77C66" w:rsidP="006C0EBC">
      <w:pPr>
        <w:spacing w:before="120" w:beforeAutospacing="0" w:after="60" w:afterAutospacing="0" w:line="228" w:lineRule="auto"/>
        <w:rPr>
          <w:rFonts w:ascii="Times New Roman" w:hAnsi="Times New Roman" w:cs="Times New Roman"/>
          <w:i/>
          <w:sz w:val="20"/>
          <w:szCs w:val="20"/>
        </w:rPr>
      </w:pPr>
      <w:r w:rsidRPr="006C0EBC">
        <w:rPr>
          <w:rFonts w:ascii="Times New Roman" w:hAnsi="Times New Roman" w:cs="Times New Roman"/>
          <w:i/>
          <w:sz w:val="20"/>
          <w:szCs w:val="20"/>
        </w:rPr>
        <w:lastRenderedPageBreak/>
        <w:t>Analysis of Transaction Efficiency</w:t>
      </w:r>
    </w:p>
    <w:p w14:paraId="1D2AAEAF" w14:textId="77777777" w:rsidR="00C61B8B" w:rsidRPr="006C0EBC" w:rsidRDefault="00096806" w:rsidP="00776B64">
      <w:pPr>
        <w:spacing w:before="0" w:beforeAutospacing="0" w:after="120" w:afterAutospacing="0" w:line="228" w:lineRule="auto"/>
        <w:jc w:val="center"/>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drawing>
          <wp:inline distT="0" distB="0" distL="0" distR="0" wp14:anchorId="23755B7B" wp14:editId="54A08125">
            <wp:extent cx="5092996" cy="27178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png"/>
                    <pic:cNvPicPr/>
                  </pic:nvPicPr>
                  <pic:blipFill rotWithShape="1">
                    <a:blip r:embed="rId8">
                      <a:extLst>
                        <a:ext uri="{28A0092B-C50C-407E-A947-70E740481C1C}">
                          <a14:useLocalDpi xmlns:a14="http://schemas.microsoft.com/office/drawing/2010/main" val="0"/>
                        </a:ext>
                      </a:extLst>
                    </a:blip>
                    <a:srcRect b="6618"/>
                    <a:stretch/>
                  </pic:blipFill>
                  <pic:spPr bwMode="auto">
                    <a:xfrm>
                      <a:off x="0" y="0"/>
                      <a:ext cx="5095356" cy="2719156"/>
                    </a:xfrm>
                    <a:prstGeom prst="rect">
                      <a:avLst/>
                    </a:prstGeom>
                    <a:ln>
                      <a:noFill/>
                    </a:ln>
                    <a:extLst>
                      <a:ext uri="{53640926-AAD7-44D8-BBD7-CCE9431645EC}">
                        <a14:shadowObscured xmlns:a14="http://schemas.microsoft.com/office/drawing/2010/main"/>
                      </a:ext>
                    </a:extLst>
                  </pic:spPr>
                </pic:pic>
              </a:graphicData>
            </a:graphic>
          </wp:inline>
        </w:drawing>
      </w:r>
    </w:p>
    <w:p w14:paraId="097C3E67" w14:textId="77777777" w:rsidR="00C61B8B" w:rsidRPr="006C0EBC" w:rsidRDefault="00C77C66" w:rsidP="006C0EBC">
      <w:pPr>
        <w:spacing w:before="0" w:beforeAutospacing="0" w:after="120" w:afterAutospacing="0" w:line="228" w:lineRule="auto"/>
        <w:rPr>
          <w:rFonts w:ascii="Times New Roman" w:hAnsi="Times New Roman" w:cs="Times New Roman"/>
          <w:noProof/>
          <w:sz w:val="16"/>
          <w:szCs w:val="16"/>
          <w:lang w:val="en-IN" w:eastAsia="en-IN"/>
        </w:rPr>
      </w:pPr>
      <w:r w:rsidRPr="006C0EBC">
        <w:rPr>
          <w:rFonts w:ascii="Times New Roman" w:hAnsi="Times New Roman" w:cs="Times New Roman"/>
          <w:noProof/>
          <w:sz w:val="16"/>
          <w:szCs w:val="16"/>
          <w:lang w:val="en-IN" w:eastAsia="en-IN"/>
        </w:rPr>
        <w:t>Figure 3: Analysis of Transaction Efficiency</w:t>
      </w:r>
    </w:p>
    <w:p w14:paraId="58762297"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sectPr w:rsidR="00776B64" w:rsidSect="00776B64">
          <w:type w:val="continuous"/>
          <w:pgSz w:w="11909" w:h="16834" w:code="9"/>
          <w:pgMar w:top="1080" w:right="907" w:bottom="1440" w:left="907" w:header="720" w:footer="720" w:gutter="0"/>
          <w:cols w:space="360"/>
          <w:docGrid w:linePitch="360"/>
        </w:sectPr>
      </w:pPr>
    </w:p>
    <w:p w14:paraId="7E72AC30" w14:textId="0429F3AF" w:rsidR="00C61B8B" w:rsidRPr="003A46AF" w:rsidRDefault="0009680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lastRenderedPageBreak/>
        <w:t xml:space="preserve">Figure 3 compares transaction efficiency by five methods—p2p, HF, IBFT, BNT, and the proposed TPM-PPHB. The proposed TPM-PPHB system displays significant throughput and latency reduction compared to all others with a very high efficiency of 94.81 samples processed. TPM-PPHB exhibits consistent increases in all measures of efficiency compared to the next best (BNT at 90.87). Particularly in their lower-end samples—42.57 and 43.91 respectively—legacy models like p2p and HF fall behind. By means of its dual-chain design and smart contract automation, TPM-PPHB gains from which it reduces centralized or single-layer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model bottlenecks. This emphasizes the scalability and adaptability of the concept for high demand e-government surroundings. The results prove that hybrid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incorporation and </w:t>
      </w:r>
      <w:r w:rsidRPr="003A46AF">
        <w:rPr>
          <w:rFonts w:ascii="Times New Roman" w:hAnsi="Times New Roman" w:cs="Times New Roman"/>
          <w:sz w:val="20"/>
          <w:szCs w:val="20"/>
        </w:rPr>
        <w:lastRenderedPageBreak/>
        <w:t>token-based transaction verification significantly enhance system responsiveness, and thus TPM-PPHB is the most suitable alternative for efficient and secure public service charge management.</w:t>
      </w:r>
    </w:p>
    <w:p w14:paraId="1044A52D" w14:textId="75FB05E1" w:rsidR="00542EEF" w:rsidRPr="003A46AF" w:rsidRDefault="00542EEF" w:rsidP="00B1597B">
      <w:pPr>
        <w:spacing w:before="0" w:beforeAutospacing="0" w:after="120" w:afterAutospacing="0" w:line="228" w:lineRule="auto"/>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Q=</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2π</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-H.</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num>
            <m:den>
              <m:r>
                <w:rPr>
                  <w:rFonts w:ascii="Cambria Math" w:eastAsiaTheme="minorEastAsia" w:hAnsi="Cambria Math" w:cs="Times New Roman"/>
                  <w:sz w:val="20"/>
                  <w:szCs w:val="20"/>
                </w:rPr>
                <m:t>4</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σ</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γ+1-w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 xml:space="preserve"> (3)</m:t>
          </m:r>
        </m:oMath>
      </m:oMathPara>
    </w:p>
    <w:p w14:paraId="34816D04" w14:textId="77777777" w:rsidR="00542EEF" w:rsidRPr="003A46AF" w:rsidRDefault="00542EEF" w:rsidP="003A46AF">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3A46AF">
        <w:rPr>
          <w:rFonts w:ascii="Times New Roman" w:eastAsia="Times New Roman" w:hAnsi="Times New Roman" w:cs="Times New Roman"/>
          <w:sz w:val="20"/>
          <w:szCs w:val="20"/>
          <w:lang w:val="en-IN" w:eastAsia="en-IN"/>
        </w:rPr>
        <w:t>The equation 3 shows</w:t>
      </w:r>
      <m:oMath>
        <m:r>
          <w:rPr>
            <w:rFonts w:ascii="Cambria Math" w:eastAsiaTheme="minorEastAsia" w:hAnsi="Cambria Math" w:cs="Times New Roman"/>
            <w:sz w:val="20"/>
            <w:szCs w:val="20"/>
          </w:rPr>
          <m:t>Q</m:t>
        </m:r>
      </m:oMath>
      <w:r w:rsidRPr="003A46AF">
        <w:rPr>
          <w:rFonts w:ascii="Times New Roman" w:eastAsia="Times New Roman" w:hAnsi="Times New Roman" w:cs="Times New Roman"/>
          <w:sz w:val="20"/>
          <w:szCs w:val="20"/>
          <w:lang w:val="en-IN" w:eastAsia="en-IN"/>
        </w:rPr>
        <w:t xml:space="preserve"> include elements of payment stability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Q</m:t>
        </m:r>
      </m:oMath>
      <w:r w:rsidRPr="003A46AF">
        <w:rPr>
          <w:rFonts w:ascii="Times New Roman" w:eastAsia="Times New Roman" w:hAnsi="Times New Roman" w:cs="Times New Roman"/>
          <w:sz w:val="20"/>
          <w:szCs w:val="20"/>
          <w:lang w:val="en-IN" w:eastAsia="en-IN"/>
        </w:rPr>
        <w:t>), amount of transactions fluctuations</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γ+1-w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3A46AF">
        <w:rPr>
          <w:rFonts w:ascii="Times New Roman" w:eastAsia="Times New Roman" w:hAnsi="Times New Roman" w:cs="Times New Roman"/>
          <w:sz w:val="20"/>
          <w:szCs w:val="20"/>
          <w:lang w:val="en-IN" w:eastAsia="en-IN"/>
        </w:rPr>
        <w:t>, and the effect of security parameters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2π</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-H</m:t>
        </m:r>
      </m:oMath>
      <w:r w:rsidRPr="003A46AF">
        <w:rPr>
          <w:rFonts w:ascii="Times New Roman" w:eastAsia="Times New Roman" w:hAnsi="Times New Roman" w:cs="Times New Roman"/>
          <w:sz w:val="20"/>
          <w:szCs w:val="20"/>
          <w:lang w:val="en-IN" w:eastAsia="en-IN"/>
        </w:rPr>
        <w:t>)</w:t>
      </w:r>
      <w:proofErr w:type="gramStart"/>
      <w:r w:rsidRPr="003A46AF">
        <w:rPr>
          <w:rFonts w:ascii="Times New Roman" w:eastAsia="Times New Roman" w:hAnsi="Times New Roman" w:cs="Times New Roman"/>
          <w:sz w:val="20"/>
          <w:szCs w:val="20"/>
          <w:lang w:val="en-IN" w:eastAsia="en-IN"/>
        </w:rPr>
        <w:t xml:space="preserve">, </w:t>
      </w:r>
      <w:proofErr w:type="gramEnd"/>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num>
          <m:den>
            <m:r>
              <w:rPr>
                <w:rFonts w:ascii="Cambria Math" w:eastAsiaTheme="minorEastAsia" w:hAnsi="Cambria Math" w:cs="Times New Roman"/>
                <w:sz w:val="20"/>
                <w:szCs w:val="20"/>
              </w:rPr>
              <m:t>4</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σ</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en>
            </m:f>
          </m:den>
        </m:f>
      </m:oMath>
      <w:r w:rsidRPr="003A46AF">
        <w:rPr>
          <w:rFonts w:ascii="Times New Roman" w:eastAsia="Times New Roman" w:hAnsi="Times New Roman" w:cs="Times New Roman"/>
          <w:sz w:val="20"/>
          <w:szCs w:val="20"/>
          <w:lang w:val="en-IN" w:eastAsia="en-IN"/>
        </w:rPr>
        <w:t>) on the efficiency of the system</w:t>
      </w:r>
      <w:r w:rsidR="00EA0F84" w:rsidRPr="003A46AF">
        <w:rPr>
          <w:rFonts w:ascii="Times New Roman" w:eastAsia="Times New Roman" w:hAnsi="Times New Roman" w:cs="Times New Roman"/>
          <w:sz w:val="20"/>
          <w:szCs w:val="20"/>
          <w:lang w:val="en-IN" w:eastAsia="en-IN"/>
        </w:rPr>
        <w:t xml:space="preserve"> by </w:t>
      </w:r>
      <w:r w:rsidR="00EA0F84" w:rsidRPr="003A46AF">
        <w:rPr>
          <w:rFonts w:ascii="Times New Roman" w:hAnsi="Times New Roman" w:cs="Times New Roman"/>
          <w:bCs/>
          <w:sz w:val="20"/>
          <w:szCs w:val="20"/>
        </w:rPr>
        <w:t>analysis of transaction efficiency</w:t>
      </w:r>
      <w:r w:rsidR="00EA0F84" w:rsidRPr="003A46AF">
        <w:rPr>
          <w:rFonts w:ascii="Times New Roman" w:eastAsia="Times New Roman" w:hAnsi="Times New Roman" w:cs="Times New Roman"/>
          <w:bCs/>
          <w:sz w:val="20"/>
          <w:szCs w:val="20"/>
          <w:lang w:val="en-IN" w:eastAsia="en-IN"/>
        </w:rPr>
        <w:t>.</w:t>
      </w:r>
    </w:p>
    <w:p w14:paraId="5F50CFEF" w14:textId="77777777" w:rsidR="00776B64" w:rsidRDefault="00776B64" w:rsidP="006C0EBC">
      <w:pPr>
        <w:spacing w:before="120" w:beforeAutospacing="0" w:after="60" w:afterAutospacing="0" w:line="228" w:lineRule="auto"/>
        <w:rPr>
          <w:rFonts w:ascii="Times New Roman" w:hAnsi="Times New Roman" w:cs="Times New Roman"/>
          <w:i/>
          <w:sz w:val="20"/>
          <w:szCs w:val="20"/>
        </w:rPr>
        <w:sectPr w:rsidR="00776B64" w:rsidSect="00BC557F">
          <w:type w:val="continuous"/>
          <w:pgSz w:w="11909" w:h="16834" w:code="9"/>
          <w:pgMar w:top="1080" w:right="907" w:bottom="1440" w:left="907" w:header="720" w:footer="720" w:gutter="0"/>
          <w:cols w:num="2" w:space="360"/>
          <w:docGrid w:linePitch="360"/>
        </w:sectPr>
      </w:pPr>
    </w:p>
    <w:p w14:paraId="643FF8BC" w14:textId="2C87583C" w:rsidR="00C61B8B" w:rsidRPr="006C0EBC" w:rsidRDefault="00C77C66" w:rsidP="006C0EBC">
      <w:pPr>
        <w:spacing w:before="120" w:beforeAutospacing="0" w:after="60" w:afterAutospacing="0" w:line="228" w:lineRule="auto"/>
        <w:rPr>
          <w:rFonts w:ascii="Times New Roman" w:hAnsi="Times New Roman" w:cs="Times New Roman"/>
          <w:i/>
          <w:sz w:val="20"/>
          <w:szCs w:val="20"/>
        </w:rPr>
      </w:pPr>
      <w:r w:rsidRPr="006C0EBC">
        <w:rPr>
          <w:rFonts w:ascii="Times New Roman" w:hAnsi="Times New Roman" w:cs="Times New Roman"/>
          <w:i/>
          <w:sz w:val="20"/>
          <w:szCs w:val="20"/>
        </w:rPr>
        <w:lastRenderedPageBreak/>
        <w:t>Analysis of Privacy Assurance</w:t>
      </w:r>
    </w:p>
    <w:p w14:paraId="05362CAD" w14:textId="77777777" w:rsidR="00C61B8B" w:rsidRPr="006C0EBC" w:rsidRDefault="00096806" w:rsidP="00776B64">
      <w:pPr>
        <w:spacing w:before="0" w:beforeAutospacing="0" w:after="120" w:afterAutospacing="0" w:line="228" w:lineRule="auto"/>
        <w:jc w:val="center"/>
        <w:rPr>
          <w:rFonts w:ascii="Times New Roman" w:hAnsi="Times New Roman" w:cs="Times New Roman"/>
          <w:sz w:val="16"/>
          <w:szCs w:val="16"/>
        </w:rPr>
      </w:pPr>
      <w:r w:rsidRPr="006C0EBC">
        <w:rPr>
          <w:rFonts w:ascii="Times New Roman" w:hAnsi="Times New Roman" w:cs="Times New Roman"/>
          <w:noProof/>
          <w:sz w:val="16"/>
          <w:szCs w:val="16"/>
          <w:lang w:val="en-IN" w:eastAsia="en-IN"/>
        </w:rPr>
        <w:drawing>
          <wp:inline distT="0" distB="0" distL="0" distR="0" wp14:anchorId="76BE8CAC" wp14:editId="0101255E">
            <wp:extent cx="5358810" cy="316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png"/>
                    <pic:cNvPicPr/>
                  </pic:nvPicPr>
                  <pic:blipFill rotWithShape="1">
                    <a:blip r:embed="rId9">
                      <a:extLst>
                        <a:ext uri="{28A0092B-C50C-407E-A947-70E740481C1C}">
                          <a14:useLocalDpi xmlns:a14="http://schemas.microsoft.com/office/drawing/2010/main" val="0"/>
                        </a:ext>
                      </a:extLst>
                    </a:blip>
                    <a:srcRect b="6899"/>
                    <a:stretch/>
                  </pic:blipFill>
                  <pic:spPr bwMode="auto">
                    <a:xfrm>
                      <a:off x="0" y="0"/>
                      <a:ext cx="5359622" cy="3162779"/>
                    </a:xfrm>
                    <a:prstGeom prst="rect">
                      <a:avLst/>
                    </a:prstGeom>
                    <a:ln>
                      <a:noFill/>
                    </a:ln>
                    <a:extLst>
                      <a:ext uri="{53640926-AAD7-44D8-BBD7-CCE9431645EC}">
                        <a14:shadowObscured xmlns:a14="http://schemas.microsoft.com/office/drawing/2010/main"/>
                      </a:ext>
                    </a:extLst>
                  </pic:spPr>
                </pic:pic>
              </a:graphicData>
            </a:graphic>
          </wp:inline>
        </w:drawing>
      </w:r>
    </w:p>
    <w:p w14:paraId="0A5C9D4D" w14:textId="77777777" w:rsidR="00C77C66" w:rsidRPr="006C0EBC" w:rsidRDefault="00C77C66" w:rsidP="006C0EBC">
      <w:pPr>
        <w:spacing w:before="0" w:beforeAutospacing="0" w:after="120" w:afterAutospacing="0" w:line="228" w:lineRule="auto"/>
        <w:rPr>
          <w:rFonts w:ascii="Times New Roman" w:hAnsi="Times New Roman" w:cs="Times New Roman"/>
          <w:sz w:val="16"/>
          <w:szCs w:val="16"/>
        </w:rPr>
      </w:pPr>
      <w:r w:rsidRPr="006C0EBC">
        <w:rPr>
          <w:rFonts w:ascii="Times New Roman" w:hAnsi="Times New Roman" w:cs="Times New Roman"/>
          <w:sz w:val="16"/>
          <w:szCs w:val="16"/>
        </w:rPr>
        <w:t>Figure 4: Analysis of Privacy Assurance</w:t>
      </w:r>
    </w:p>
    <w:p w14:paraId="2849926B" w14:textId="77777777" w:rsidR="00776B64" w:rsidRDefault="00776B64" w:rsidP="003A46AF">
      <w:pPr>
        <w:spacing w:before="0" w:beforeAutospacing="0" w:after="120" w:afterAutospacing="0" w:line="228" w:lineRule="auto"/>
        <w:ind w:firstLine="288"/>
        <w:rPr>
          <w:rFonts w:ascii="Times New Roman" w:hAnsi="Times New Roman" w:cs="Times New Roman"/>
          <w:sz w:val="20"/>
          <w:szCs w:val="20"/>
        </w:rPr>
        <w:sectPr w:rsidR="00776B64" w:rsidSect="00776B64">
          <w:type w:val="continuous"/>
          <w:pgSz w:w="11909" w:h="16834" w:code="9"/>
          <w:pgMar w:top="1080" w:right="907" w:bottom="1440" w:left="907" w:header="720" w:footer="720" w:gutter="0"/>
          <w:cols w:space="360"/>
          <w:docGrid w:linePitch="360"/>
        </w:sectPr>
      </w:pPr>
    </w:p>
    <w:p w14:paraId="1E0B4C25" w14:textId="3A45F15F" w:rsidR="00C77C66" w:rsidRPr="003A46AF" w:rsidRDefault="00096806"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lastRenderedPageBreak/>
        <w:t xml:space="preserve">Figure 4 illustrates a comparison between five payment methods' respective privacy assurances. With a top-end score of 91.38 samples, TPM-PPHB gets the maximum privacy performance over IBFT (87.48) and HF (84.96). Especially, it preserves better lower-bound privacy guarantee (49.36), which represents great minimal protection even under different circumstances. With lower-end values dropping below 43, traditional systems such p2p and BNT demonstrate lesser consistency and more sensitivity to data exposure. While ensuring traceability through the public ledger, TPM-PPHB secures private user data using encrypted token mapping and private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layers. A critical requirement in government transactions, the technology ensures that the data is not accessed by illicit groups. The outcomes validate TPM-PPHB's ability to ensure integrity and confidentiality, thus eclipsing other models based solely on centralized or distributed architectures. Findings report overall that TPM-PPHB offers a robust privacy-preserving architecture suitable for modern e-governance systems.</w:t>
      </w:r>
    </w:p>
    <w:p w14:paraId="3274F19F" w14:textId="585D3E57" w:rsidR="00083A7B" w:rsidRPr="003A46AF" w:rsidRDefault="0095572F" w:rsidP="00B1597B">
      <w:pPr>
        <w:spacing w:before="0" w:beforeAutospacing="0" w:after="120" w:afterAutospacing="0" w:line="228" w:lineRule="auto"/>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3</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+jρεθ* 3ρ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π</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 xml:space="preserve"> (4)</m:t>
          </m:r>
        </m:oMath>
      </m:oMathPara>
    </w:p>
    <w:p w14:paraId="4B6633DB" w14:textId="77777777" w:rsidR="00083A7B" w:rsidRPr="003A46AF" w:rsidRDefault="00083A7B" w:rsidP="003A46AF">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3A46AF">
        <w:rPr>
          <w:rFonts w:ascii="Times New Roman" w:eastAsia="Times New Roman" w:hAnsi="Times New Roman" w:cs="Times New Roman"/>
          <w:sz w:val="20"/>
          <w:szCs w:val="20"/>
          <w:lang w:val="en-IN" w:eastAsia="en-IN"/>
        </w:rPr>
        <w:lastRenderedPageBreak/>
        <w:t>With consideration for transaction volume (</w:t>
      </w:r>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2</m:t>
                </m:r>
              </m:sup>
            </m:sSubSup>
          </m:den>
        </m:f>
      </m:oMath>
      <w:r w:rsidRPr="003A46AF">
        <w:rPr>
          <w:rFonts w:ascii="Times New Roman" w:eastAsia="Times New Roman" w:hAnsi="Times New Roman" w:cs="Times New Roman"/>
          <w:sz w:val="20"/>
          <w:szCs w:val="20"/>
          <w:lang w:val="en-IN" w:eastAsia="en-IN"/>
        </w:rPr>
        <w:t>), transaction frequency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3</m:t>
            </m:r>
          </m:den>
        </m:f>
      </m:oMath>
      <w:r w:rsidRPr="003A46AF">
        <w:rPr>
          <w:rFonts w:ascii="Times New Roman" w:eastAsia="Times New Roman" w:hAnsi="Times New Roman" w:cs="Times New Roman"/>
          <w:sz w:val="20"/>
          <w:szCs w:val="20"/>
          <w:lang w:val="en-IN" w:eastAsia="en-IN"/>
        </w:rPr>
        <w:t>), and security factors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3A46AF">
        <w:rPr>
          <w:rFonts w:ascii="Times New Roman" w:eastAsia="Times New Roman" w:hAnsi="Times New Roman" w:cs="Times New Roman"/>
          <w:sz w:val="20"/>
          <w:szCs w:val="20"/>
          <w:lang w:val="en-IN" w:eastAsia="en-IN"/>
        </w:rPr>
        <w:t>), the equation 4 defines distance and privacy settings (</w:t>
      </w:r>
      <m:oMath>
        <m:r>
          <w:rPr>
            <w:rFonts w:ascii="Cambria Math" w:eastAsiaTheme="minorEastAsia" w:hAnsi="Cambria Math" w:cs="Times New Roman"/>
            <w:sz w:val="20"/>
            <w:szCs w:val="20"/>
          </w:rPr>
          <m:t>jρεθ</m:t>
        </m:r>
      </m:oMath>
      <w:r w:rsidRPr="003A46AF">
        <w:rPr>
          <w:rFonts w:ascii="Times New Roman" w:eastAsia="Times New Roman" w:hAnsi="Times New Roman" w:cs="Times New Roman"/>
          <w:sz w:val="20"/>
          <w:szCs w:val="20"/>
          <w:lang w:val="en-IN" w:eastAsia="en-IN"/>
        </w:rPr>
        <w:t>\ in the framework of blockchain transactions</w:t>
      </w:r>
      <m:oMath>
        <m:r>
          <w:rPr>
            <w:rFonts w:ascii="Cambria Math" w:eastAsiaTheme="minorEastAsia" w:hAnsi="Cambria Math" w:cs="Times New Roman"/>
            <w:sz w:val="20"/>
            <w:szCs w:val="20"/>
          </w:rPr>
          <m:t>3ρ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π</m:t>
            </m:r>
          </m:e>
          <m:sup>
            <m:r>
              <w:rPr>
                <w:rFonts w:ascii="Cambria Math" w:eastAsiaTheme="minorEastAsia" w:hAnsi="Cambria Math" w:cs="Times New Roman"/>
                <w:sz w:val="20"/>
                <w:szCs w:val="20"/>
              </w:rPr>
              <m:t>3</m:t>
            </m:r>
          </m:sup>
        </m:sSup>
      </m:oMath>
      <w:r w:rsidR="000A3A27" w:rsidRPr="003A46AF">
        <w:rPr>
          <w:rFonts w:ascii="Times New Roman" w:eastAsia="Times New Roman" w:hAnsi="Times New Roman" w:cs="Times New Roman"/>
          <w:sz w:val="20"/>
          <w:szCs w:val="20"/>
          <w:lang w:val="en-IN" w:eastAsia="en-IN"/>
        </w:rPr>
        <w:t xml:space="preserve"> by </w:t>
      </w:r>
      <w:r w:rsidR="00EA0F84" w:rsidRPr="003A46AF">
        <w:rPr>
          <w:rFonts w:ascii="Times New Roman" w:hAnsi="Times New Roman" w:cs="Times New Roman"/>
          <w:bCs/>
          <w:sz w:val="20"/>
          <w:szCs w:val="20"/>
        </w:rPr>
        <w:t>analysis of privacy assurance.</w:t>
      </w:r>
    </w:p>
    <w:p w14:paraId="2AE04342" w14:textId="261242AE" w:rsidR="00083A7B" w:rsidRPr="003A46AF" w:rsidRDefault="00083A7B" w:rsidP="00B1597B">
      <w:pPr>
        <w:spacing w:before="0" w:beforeAutospacing="0" w:after="120" w:afterAutospacing="0" w:line="228" w:lineRule="auto"/>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+jδεθ</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r>
            <w:rPr>
              <w:rFonts w:ascii="Cambria Math" w:eastAsiaTheme="minorEastAsia" w:hAnsi="Cambria Math" w:cs="Times New Roman"/>
              <w:sz w:val="20"/>
              <w:szCs w:val="20"/>
            </w:rPr>
            <m:t xml:space="preserve"> (5)</m:t>
          </m:r>
        </m:oMath>
      </m:oMathPara>
    </w:p>
    <w:p w14:paraId="788107A0" w14:textId="77777777" w:rsidR="00083A7B" w:rsidRPr="003A46AF" w:rsidRDefault="00083A7B" w:rsidP="003A46AF">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3A46AF">
        <w:rPr>
          <w:rFonts w:ascii="Times New Roman" w:eastAsia="Times New Roman" w:hAnsi="Times New Roman" w:cs="Times New Roman"/>
          <w:sz w:val="20"/>
          <w:szCs w:val="20"/>
          <w:lang w:val="en-IN" w:eastAsia="en-IN"/>
        </w:rPr>
        <w:t>Considering the effect of security factors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3A46AF">
        <w:rPr>
          <w:rFonts w:ascii="Times New Roman" w:eastAsia="Times New Roman" w:hAnsi="Times New Roman" w:cs="Times New Roman"/>
          <w:sz w:val="20"/>
          <w:szCs w:val="20"/>
          <w:lang w:val="en-IN" w:eastAsia="en-IN"/>
        </w:rPr>
        <w:t>) and purchases dynamics (</w:t>
      </w:r>
      <m:oMath>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+jδεθ</m:t>
            </m:r>
          </m:e>
        </m:d>
      </m:oMath>
      <w:r w:rsidRPr="003A46AF">
        <w:rPr>
          <w:rFonts w:ascii="Times New Roman" w:eastAsia="Times New Roman" w:hAnsi="Times New Roman" w:cs="Times New Roman"/>
          <w:sz w:val="20"/>
          <w:szCs w:val="20"/>
          <w:lang w:val="en-IN" w:eastAsia="en-IN"/>
        </w:rPr>
        <w:t>) the equation models the connection between safety parameters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γ+1</m:t>
            </m:r>
          </m:e>
        </m:d>
      </m:oMath>
      <w:r w:rsidRPr="003A46AF">
        <w:rPr>
          <w:rFonts w:ascii="Times New Roman" w:eastAsia="Times New Roman" w:hAnsi="Times New Roman" w:cs="Times New Roman"/>
          <w:sz w:val="20"/>
          <w:szCs w:val="20"/>
          <w:lang w:val="en-IN" w:eastAsia="en-IN"/>
        </w:rPr>
        <w:t>) in the blockchain system.</w:t>
      </w:r>
    </w:p>
    <w:p w14:paraId="090E7E5D" w14:textId="77777777" w:rsidR="0090179E" w:rsidRPr="00BC557F" w:rsidRDefault="0090179E" w:rsidP="00BC557F">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t>Conclusion</w:t>
      </w:r>
    </w:p>
    <w:p w14:paraId="0C12655E" w14:textId="77777777" w:rsidR="00447F49" w:rsidRPr="003A46AF" w:rsidRDefault="00447F49" w:rsidP="003A46AF">
      <w:pPr>
        <w:spacing w:before="0" w:beforeAutospacing="0" w:after="120" w:afterAutospacing="0" w:line="228" w:lineRule="auto"/>
        <w:ind w:firstLine="288"/>
        <w:rPr>
          <w:rFonts w:ascii="Times New Roman" w:hAnsi="Times New Roman" w:cs="Times New Roman"/>
          <w:sz w:val="20"/>
          <w:szCs w:val="20"/>
        </w:rPr>
      </w:pPr>
      <w:r w:rsidRPr="003A46AF">
        <w:rPr>
          <w:rFonts w:ascii="Times New Roman" w:hAnsi="Times New Roman" w:cs="Times New Roman"/>
          <w:sz w:val="20"/>
          <w:szCs w:val="20"/>
        </w:rPr>
        <w:t xml:space="preserve">This study put forward a novel model named TPM-PPHB to enhance the security, transparency, and efficiency of the e-government payment system. Traditional e-government systems usually experience low transparency, centralized behavior, and potential security threats such as </w:t>
      </w:r>
      <w:r w:rsidRPr="003A46AF">
        <w:rPr>
          <w:rFonts w:ascii="Times New Roman" w:hAnsi="Times New Roman" w:cs="Times New Roman"/>
          <w:sz w:val="20"/>
          <w:szCs w:val="20"/>
        </w:rPr>
        <w:lastRenderedPageBreak/>
        <w:t xml:space="preserve">single points of failure. Utilizing a twin-layer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architecture, the model overcomes these challenges effectively by combining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technology, tokenization, and smart contracts. The private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ensures data privacy, while the public </w:t>
      </w:r>
      <w:proofErr w:type="spellStart"/>
      <w:r w:rsidRPr="003A46AF">
        <w:rPr>
          <w:rFonts w:ascii="Times New Roman" w:hAnsi="Times New Roman" w:cs="Times New Roman"/>
          <w:sz w:val="20"/>
          <w:szCs w:val="20"/>
        </w:rPr>
        <w:t>blockchain</w:t>
      </w:r>
      <w:proofErr w:type="spellEnd"/>
      <w:r w:rsidRPr="003A46AF">
        <w:rPr>
          <w:rFonts w:ascii="Times New Roman" w:hAnsi="Times New Roman" w:cs="Times New Roman"/>
          <w:sz w:val="20"/>
          <w:szCs w:val="20"/>
        </w:rPr>
        <w:t xml:space="preserve"> ensures auditability and tamper-proof record keeping. Experimental results showed that TPM-PPHB significantly outperforms state-of-the-art solutions like p2p, </w:t>
      </w:r>
      <w:r w:rsidR="00C66DEE" w:rsidRPr="003A46AF">
        <w:rPr>
          <w:rFonts w:ascii="Times New Roman" w:hAnsi="Times New Roman" w:cs="Times New Roman"/>
          <w:sz w:val="20"/>
          <w:szCs w:val="20"/>
        </w:rPr>
        <w:t>HF</w:t>
      </w:r>
      <w:r w:rsidRPr="003A46AF">
        <w:rPr>
          <w:rFonts w:ascii="Times New Roman" w:hAnsi="Times New Roman" w:cs="Times New Roman"/>
          <w:sz w:val="20"/>
          <w:szCs w:val="20"/>
        </w:rPr>
        <w:t>, IBFT, and BNT in both transactional efficiency and privacy guarantee. The technology is suitable for government sensitive operations since it ensures robust security against data loss and minimizes transaction processing time. Smart contracts reduce the risk of fraud and manual intervention and allow automated verification and token life cycle management that give a seamless user experience. For the enhancement of public service payments, the proposed architecture thus offers a scalable, secure, and open solution. Future work should explore real-world implementation and integration with identity management systems to further improve user verification and service personalization in e-governance systems.</w:t>
      </w:r>
    </w:p>
    <w:p w14:paraId="38C787BD" w14:textId="2FE63EF0" w:rsidR="0090179E" w:rsidRPr="00BC557F" w:rsidRDefault="0090179E" w:rsidP="00BC557F">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BC557F">
        <w:rPr>
          <w:rFonts w:eastAsia="SimSun"/>
          <w:smallCaps/>
          <w:noProof/>
          <w:sz w:val="20"/>
          <w:szCs w:val="20"/>
        </w:rPr>
        <w:t>Reference</w:t>
      </w:r>
      <w:r w:rsidR="004D2734" w:rsidRPr="00BC557F">
        <w:rPr>
          <w:rFonts w:eastAsia="SimSun"/>
          <w:smallCaps/>
          <w:noProof/>
          <w:sz w:val="20"/>
          <w:szCs w:val="20"/>
        </w:rPr>
        <w:t>s</w:t>
      </w:r>
    </w:p>
    <w:p w14:paraId="1F6E076D" w14:textId="77777777" w:rsidR="00BC557F" w:rsidRDefault="00BC557F" w:rsidP="00BC557F">
      <w:pPr>
        <w:pStyle w:val="references"/>
        <w:numPr>
          <w:ilvl w:val="0"/>
          <w:numId w:val="7"/>
        </w:numPr>
        <w:ind w:left="360"/>
      </w:pPr>
      <w:r>
        <w:t xml:space="preserve">C.S. Sung, and J.Y. Park, “Understanding of blockchain-based identity management system adoption in the public sector,” </w:t>
      </w:r>
      <w:r w:rsidRPr="00BC557F">
        <w:t>Journal of Enterprise Information Management</w:t>
      </w:r>
      <w:r>
        <w:t>, vol. 34, no. 5, pp. 1481-1505, 2021.</w:t>
      </w:r>
    </w:p>
    <w:p w14:paraId="5B1F9A24" w14:textId="535A4798" w:rsidR="00BC557F" w:rsidRDefault="00BC557F" w:rsidP="00BC557F">
      <w:pPr>
        <w:pStyle w:val="references"/>
        <w:numPr>
          <w:ilvl w:val="0"/>
          <w:numId w:val="7"/>
        </w:numPr>
        <w:ind w:left="360"/>
      </w:pPr>
      <w:r>
        <w:t>K. Gopalakrishnan, R. Lakshmanan, V. Naveen, S. Tamil</w:t>
      </w:r>
      <w:r w:rsidR="00BD5DCF">
        <w:t xml:space="preserve"> </w:t>
      </w:r>
      <w:r>
        <w:t xml:space="preserve">Kumaran, and S. Venkatesh, “Digital signature manager,” </w:t>
      </w:r>
      <w:r w:rsidRPr="00BC557F">
        <w:t>International Journal of Communication and Computer Technologies</w:t>
      </w:r>
      <w:r>
        <w:t xml:space="preserve">, vol. 5, no. 2, </w:t>
      </w:r>
      <w:r w:rsidR="00776B64">
        <w:t xml:space="preserve">                           </w:t>
      </w:r>
      <w:r>
        <w:t>pp. 53-57, 2017.</w:t>
      </w:r>
    </w:p>
    <w:p w14:paraId="66694419" w14:textId="4BBEA1DB" w:rsidR="00BC557F" w:rsidRDefault="00BC557F" w:rsidP="00BC557F">
      <w:pPr>
        <w:pStyle w:val="references"/>
        <w:numPr>
          <w:ilvl w:val="0"/>
          <w:numId w:val="7"/>
        </w:numPr>
        <w:ind w:left="360"/>
      </w:pPr>
      <w:r>
        <w:t xml:space="preserve">A. Alketbi, Q. Nasir, and M.A. Talib, “Blockchain for government services—Use cases, security benefits and challenges,” in </w:t>
      </w:r>
      <w:r w:rsidRPr="00BC557F">
        <w:t>2018 15th Learning and Technology Conference (L&amp;T)</w:t>
      </w:r>
      <w:r>
        <w:t xml:space="preserve">, February 2018, </w:t>
      </w:r>
      <w:r w:rsidR="00776B64">
        <w:t xml:space="preserve">                     </w:t>
      </w:r>
      <w:r>
        <w:t>pp. 112-119, IEEE.</w:t>
      </w:r>
    </w:p>
    <w:p w14:paraId="6F6657EF" w14:textId="77777777" w:rsidR="00BC557F" w:rsidRDefault="00BC557F" w:rsidP="00BC557F">
      <w:pPr>
        <w:pStyle w:val="references"/>
        <w:numPr>
          <w:ilvl w:val="0"/>
          <w:numId w:val="7"/>
        </w:numPr>
        <w:ind w:left="360"/>
      </w:pPr>
      <w:r>
        <w:t xml:space="preserve">A. Datta, “Blockchain enabled digital government and public sector services: A survey,” in </w:t>
      </w:r>
      <w:r w:rsidRPr="00BC557F">
        <w:t>Blockchain and the Public Sector: Theories, Reforms, and Case Studies</w:t>
      </w:r>
      <w:r>
        <w:t>, pp. 175-195, 2021.</w:t>
      </w:r>
    </w:p>
    <w:p w14:paraId="44485865" w14:textId="77777777" w:rsidR="00BC557F" w:rsidRDefault="00BC557F" w:rsidP="00BC557F">
      <w:pPr>
        <w:pStyle w:val="references"/>
        <w:numPr>
          <w:ilvl w:val="0"/>
          <w:numId w:val="7"/>
        </w:numPr>
        <w:ind w:left="360"/>
      </w:pPr>
      <w:r>
        <w:t xml:space="preserve">H. Hyvärinen, M. Risius, and G. Friis, “A blockchain-based approach towards overcoming financial fraud in public sector services,” </w:t>
      </w:r>
      <w:r w:rsidRPr="00BC557F">
        <w:t>Business &amp; Information Systems Engineering</w:t>
      </w:r>
      <w:r>
        <w:t>, vol. 59, pp. 441-456, 2017.</w:t>
      </w:r>
    </w:p>
    <w:p w14:paraId="2673FC2D" w14:textId="77777777" w:rsidR="00BC557F" w:rsidRDefault="00BC557F" w:rsidP="00BC557F">
      <w:pPr>
        <w:pStyle w:val="references"/>
        <w:numPr>
          <w:ilvl w:val="0"/>
          <w:numId w:val="7"/>
        </w:numPr>
        <w:ind w:left="360"/>
      </w:pPr>
      <w:r>
        <w:t xml:space="preserve">Z. Emarloo, and M. Doustkam, “Psychological treatment efficacy in primary dysmenorrhea,” </w:t>
      </w:r>
      <w:r w:rsidRPr="00BC557F">
        <w:t>International Academic Journal of Innovative Research</w:t>
      </w:r>
      <w:r>
        <w:t>, vol. 2, no. 1, pp. 1–9, 2015.</w:t>
      </w:r>
    </w:p>
    <w:p w14:paraId="4A9E09E3" w14:textId="77777777" w:rsidR="00BC557F" w:rsidRDefault="00BC557F" w:rsidP="00BC557F">
      <w:pPr>
        <w:pStyle w:val="references"/>
        <w:numPr>
          <w:ilvl w:val="0"/>
          <w:numId w:val="7"/>
        </w:numPr>
        <w:ind w:left="360"/>
      </w:pPr>
      <w:r>
        <w:t xml:space="preserve">C.A. Prasath, “Optimization of FPGA architectures for real-time signal processing in medical devices,” </w:t>
      </w:r>
      <w:r w:rsidRPr="00BC557F">
        <w:t>Journal of Integrated VLSI, Embedded and Computing Technologies</w:t>
      </w:r>
      <w:r>
        <w:t xml:space="preserve">, vol. 1, no. 1, pp. 11-15, 2024. </w:t>
      </w:r>
      <w:hyperlink r:id="rId10" w:tgtFrame="_new" w:history="1">
        <w:r w:rsidRPr="00BC557F">
          <w:t>https://doi.org/10.31838/JIVCT/01.01.03</w:t>
        </w:r>
      </w:hyperlink>
    </w:p>
    <w:p w14:paraId="2BEE2481" w14:textId="0C1CBE52" w:rsidR="00BC557F" w:rsidRDefault="00BC557F" w:rsidP="00BC557F">
      <w:pPr>
        <w:pStyle w:val="references"/>
        <w:numPr>
          <w:ilvl w:val="0"/>
          <w:numId w:val="7"/>
        </w:numPr>
        <w:ind w:left="360"/>
      </w:pPr>
      <w:r>
        <w:t xml:space="preserve">M. Atia, “Breakthroughs in tissue engineering techniques,” </w:t>
      </w:r>
      <w:r w:rsidRPr="00BC557F">
        <w:t>Innovative Reviews in Engineering and Science</w:t>
      </w:r>
      <w:r>
        <w:t xml:space="preserve">, vol. 2, no. 1, </w:t>
      </w:r>
      <w:r w:rsidR="00281242">
        <w:t xml:space="preserve">                      </w:t>
      </w:r>
      <w:r>
        <w:t xml:space="preserve">pp. 1-12, 2025. </w:t>
      </w:r>
      <w:hyperlink r:id="rId11" w:tgtFrame="_new" w:history="1">
        <w:r w:rsidRPr="00BC557F">
          <w:t>https://doi.org/10.31838/INES/02.01.01</w:t>
        </w:r>
      </w:hyperlink>
    </w:p>
    <w:p w14:paraId="69FB36F0" w14:textId="77777777" w:rsidR="00BC557F" w:rsidRDefault="00BC557F" w:rsidP="00BC557F">
      <w:pPr>
        <w:pStyle w:val="references"/>
        <w:numPr>
          <w:ilvl w:val="0"/>
          <w:numId w:val="7"/>
        </w:numPr>
        <w:ind w:left="360"/>
      </w:pPr>
      <w:r>
        <w:t xml:space="preserve">L. Sachdeva, P.K. Chhabda, C. Tandon, and S. Sardana, “Analyzing the economic benefits of sustainable fisheries management,” </w:t>
      </w:r>
      <w:r w:rsidRPr="00BC557F">
        <w:t>International Journal of Aquatic Research and Environmental Studies</w:t>
      </w:r>
      <w:r>
        <w:t xml:space="preserve">, vol. 4, no. S1, pp. 101-106, 2024. </w:t>
      </w:r>
      <w:hyperlink r:id="rId12" w:tgtFrame="_new" w:history="1">
        <w:r w:rsidRPr="00BC557F">
          <w:t>https://doi.org/10.70102/IJARES/V4S1/17</w:t>
        </w:r>
      </w:hyperlink>
    </w:p>
    <w:p w14:paraId="6577795D" w14:textId="77777777" w:rsidR="00BC557F" w:rsidRDefault="00BC557F" w:rsidP="00BC557F">
      <w:pPr>
        <w:pStyle w:val="references"/>
        <w:numPr>
          <w:ilvl w:val="0"/>
          <w:numId w:val="7"/>
        </w:numPr>
        <w:ind w:left="360"/>
      </w:pPr>
      <w:r>
        <w:t xml:space="preserve">S. Alam, M. Shuaib, W.Z. Khan, S. Garg, G. Kaddoum, M.S. Hossain, and Y.B. Zikria, “Blockchain-based initiatives: current state and challenges,” </w:t>
      </w:r>
      <w:r w:rsidRPr="00BC557F">
        <w:t>Computer Networks</w:t>
      </w:r>
      <w:r>
        <w:t>, vol. 198, p. 108395, 2021.</w:t>
      </w:r>
    </w:p>
    <w:p w14:paraId="3377DF5E" w14:textId="77777777" w:rsidR="00BC557F" w:rsidRDefault="00BC557F" w:rsidP="00BC557F">
      <w:pPr>
        <w:pStyle w:val="references"/>
        <w:numPr>
          <w:ilvl w:val="0"/>
          <w:numId w:val="7"/>
        </w:numPr>
        <w:ind w:left="360"/>
      </w:pPr>
      <w:r>
        <w:t>A. Rao, and S. Chatterjee, “Application</w:t>
      </w:r>
      <w:bookmarkStart w:id="0" w:name="_GoBack"/>
      <w:bookmarkEnd w:id="0"/>
      <w:r>
        <w:t xml:space="preserve"> of Pressure-Driven Membrane Systems in Sustainable Brewing Practices,” </w:t>
      </w:r>
      <w:r w:rsidRPr="00BC557F">
        <w:t>Engineering Perspectives in Filtration and Separation</w:t>
      </w:r>
      <w:r>
        <w:t>, vol. 2, no. 2, pp. 1-4, 2025.</w:t>
      </w:r>
    </w:p>
    <w:p w14:paraId="18C0F949" w14:textId="77777777" w:rsidR="00BC557F" w:rsidRDefault="00BC557F" w:rsidP="00BC557F">
      <w:pPr>
        <w:pStyle w:val="references"/>
        <w:numPr>
          <w:ilvl w:val="0"/>
          <w:numId w:val="7"/>
        </w:numPr>
        <w:ind w:left="360"/>
      </w:pPr>
      <w:r>
        <w:t xml:space="preserve">S. Rahman, and A. Begum, “Analysis of Structural Integrity in High-Rise Buildings Under Dynamic Load Conditions Using AI: A Computational Perspective,” </w:t>
      </w:r>
      <w:r w:rsidRPr="00BC557F">
        <w:t>Association Journal of Interdisciplinary Technics in Engineering Mechanics</w:t>
      </w:r>
      <w:r>
        <w:t>, vol. 2, no. 2, pp. 6-9, 2024.</w:t>
      </w:r>
    </w:p>
    <w:p w14:paraId="3E281AB8" w14:textId="44F943EA" w:rsidR="00BC557F" w:rsidRDefault="00BC557F" w:rsidP="00BC557F">
      <w:pPr>
        <w:pStyle w:val="references"/>
        <w:numPr>
          <w:ilvl w:val="0"/>
          <w:numId w:val="7"/>
        </w:numPr>
        <w:ind w:left="360"/>
      </w:pPr>
      <w:r>
        <w:t xml:space="preserve">A.B. Zadeh, and M. Khalili, “Security Solutions and challenges of cloud processing in line with service development,” </w:t>
      </w:r>
      <w:r w:rsidRPr="00BC557F">
        <w:t>International Academic Journal of Science and Engineering</w:t>
      </w:r>
      <w:r>
        <w:t xml:space="preserve">, vol. 2, no. 2, </w:t>
      </w:r>
      <w:r w:rsidR="00776B64">
        <w:t xml:space="preserve">                       </w:t>
      </w:r>
      <w:r>
        <w:t>pp. 175–181, 2015.</w:t>
      </w:r>
    </w:p>
    <w:p w14:paraId="2395DD56" w14:textId="77777777" w:rsidR="00BC557F" w:rsidRDefault="00BC557F" w:rsidP="00BC557F">
      <w:pPr>
        <w:pStyle w:val="references"/>
        <w:numPr>
          <w:ilvl w:val="0"/>
          <w:numId w:val="7"/>
        </w:numPr>
        <w:ind w:left="360"/>
      </w:pPr>
      <w:r>
        <w:lastRenderedPageBreak/>
        <w:t xml:space="preserve">L.W. Cheng, and B.L. Wei, “Transforming smart devices and networks using blockchain for IoT,” </w:t>
      </w:r>
      <w:r w:rsidRPr="00BC557F">
        <w:t>Progress in Electronics and Communication Engineering</w:t>
      </w:r>
      <w:r>
        <w:t xml:space="preserve">, vol. 2, no. 1, pp. 60–67, 2024. </w:t>
      </w:r>
      <w:hyperlink r:id="rId13" w:tgtFrame="_new" w:history="1">
        <w:r w:rsidRPr="00BC557F">
          <w:t>https://doi.org/10.31838/PECE/02.01.06</w:t>
        </w:r>
      </w:hyperlink>
    </w:p>
    <w:p w14:paraId="4758F393" w14:textId="77777777" w:rsidR="00BC557F" w:rsidRDefault="00BC557F" w:rsidP="00BC557F">
      <w:pPr>
        <w:pStyle w:val="references"/>
        <w:numPr>
          <w:ilvl w:val="0"/>
          <w:numId w:val="7"/>
        </w:numPr>
        <w:ind w:left="360"/>
      </w:pPr>
      <w:r>
        <w:t xml:space="preserve">N. Elisa, L. Yang, F. Chao, and Y. Cao, “A framework of blockchain-based secure and privacy-preserving E-government system,” </w:t>
      </w:r>
      <w:r w:rsidRPr="00BC557F">
        <w:t>Wireless Networks</w:t>
      </w:r>
      <w:r>
        <w:t>, vol. 29, no. 3, pp. 1005-1015, 2023.</w:t>
      </w:r>
    </w:p>
    <w:p w14:paraId="3A85253F" w14:textId="45BE0F2E" w:rsidR="00BC557F" w:rsidRDefault="00BC557F" w:rsidP="00BC557F">
      <w:pPr>
        <w:pStyle w:val="references"/>
        <w:numPr>
          <w:ilvl w:val="0"/>
          <w:numId w:val="7"/>
        </w:numPr>
        <w:ind w:left="360"/>
      </w:pPr>
      <w:r>
        <w:t xml:space="preserve">T. Sureshkumar, M. Lingaraj, and B. Anand, “A Review on Network Security Mechanisms for Policy Analysis,” </w:t>
      </w:r>
      <w:r w:rsidRPr="00BC557F">
        <w:t>International Journal of Advances in Engineering and Emerging Technology</w:t>
      </w:r>
      <w:r>
        <w:t xml:space="preserve">, vol. 8, no. 3, </w:t>
      </w:r>
      <w:r w:rsidR="00281242">
        <w:t xml:space="preserve">  </w:t>
      </w:r>
      <w:r>
        <w:t>pp. 1–8, 2017.</w:t>
      </w:r>
    </w:p>
    <w:p w14:paraId="20F2A95F" w14:textId="77777777" w:rsidR="00BC557F" w:rsidRDefault="00BC557F" w:rsidP="00BC557F">
      <w:pPr>
        <w:pStyle w:val="references"/>
        <w:numPr>
          <w:ilvl w:val="0"/>
          <w:numId w:val="7"/>
        </w:numPr>
        <w:ind w:left="360"/>
      </w:pPr>
      <w:r>
        <w:t xml:space="preserve">Y. Gao, Q. Pan, Y. Liu, H. Lin, Y. Chen, and Q. Wen, “The notarial office in E-government: a blockchain-based solution,” </w:t>
      </w:r>
      <w:r w:rsidRPr="00BC557F">
        <w:t>IEEE Access</w:t>
      </w:r>
      <w:r>
        <w:t>, vol. 9, pp. 44411-44425, 2021.</w:t>
      </w:r>
    </w:p>
    <w:p w14:paraId="18585FEE" w14:textId="77777777" w:rsidR="00BC557F" w:rsidRDefault="00BC557F" w:rsidP="00BC557F">
      <w:pPr>
        <w:pStyle w:val="references"/>
        <w:numPr>
          <w:ilvl w:val="0"/>
          <w:numId w:val="7"/>
        </w:numPr>
        <w:ind w:left="360"/>
      </w:pPr>
      <w:r>
        <w:t xml:space="preserve">M.R. Ahmed, K. Meenakshi, M.S. Obaidat, R. Amin, and P. Vijayakumar, “Blockchain based architecture and solution for secure digital payment system,” in </w:t>
      </w:r>
      <w:r w:rsidRPr="00BC557F">
        <w:t>ICC 2021-IEEE International Conference on Communications</w:t>
      </w:r>
      <w:r>
        <w:t>, June 2021, pp. 1-6, IEEE.</w:t>
      </w:r>
    </w:p>
    <w:p w14:paraId="1164ECB4" w14:textId="77777777" w:rsidR="00BC557F" w:rsidRDefault="00BC557F" w:rsidP="00BC557F">
      <w:pPr>
        <w:pStyle w:val="references"/>
        <w:numPr>
          <w:ilvl w:val="0"/>
          <w:numId w:val="7"/>
        </w:numPr>
        <w:ind w:left="360"/>
      </w:pPr>
      <w:r>
        <w:t xml:space="preserve">W. Lu, L. Wu, R. Zhao, X. Li, and F. Xue, “Blockchain technology for governmental supervision of construction work: Learning from digital currency electronic payment systems,” </w:t>
      </w:r>
      <w:r w:rsidRPr="00BC557F">
        <w:t>Journal of Construction Engineering and Management</w:t>
      </w:r>
      <w:r>
        <w:t>, vol. 147, no. 10, pp. 04021122, 2021.</w:t>
      </w:r>
    </w:p>
    <w:p w14:paraId="67D9748E" w14:textId="77777777" w:rsidR="00BC557F" w:rsidRDefault="00BC557F" w:rsidP="00BC557F">
      <w:pPr>
        <w:pStyle w:val="references"/>
        <w:numPr>
          <w:ilvl w:val="0"/>
          <w:numId w:val="7"/>
        </w:numPr>
        <w:ind w:left="360"/>
      </w:pPr>
      <w:r>
        <w:t xml:space="preserve">C.L. Rao, S. Palit, V. Dandu, G. Verma, S. Lakhanpal, and A.Y.B. Ahmad, “Trusted Payment Methods Based on Blockchain For Electronic Government Services,” in </w:t>
      </w:r>
      <w:r w:rsidRPr="00BC557F">
        <w:t>Recent Trends In Engineering and Science for Resource Optimization and Sustainable Development</w:t>
      </w:r>
      <w:r>
        <w:t>, CRC Press, 2025, pp. 82-86.</w:t>
      </w:r>
    </w:p>
    <w:p w14:paraId="1C594A26" w14:textId="77777777" w:rsidR="00BC557F" w:rsidRDefault="00BC557F" w:rsidP="00BC557F">
      <w:pPr>
        <w:pStyle w:val="references"/>
        <w:numPr>
          <w:ilvl w:val="0"/>
          <w:numId w:val="7"/>
        </w:numPr>
        <w:ind w:left="360"/>
      </w:pPr>
      <w:r>
        <w:t xml:space="preserve">S. Ølnes, and A. Jansen, “Blockchain technology as support infrastructure in e-government,” in </w:t>
      </w:r>
      <w:r w:rsidRPr="00BC557F">
        <w:t>Electronic Government: 16th IFIP WG 8.5 International Conference, EGOV 2017</w:t>
      </w:r>
      <w:r>
        <w:t>, St. Petersburg, Russia, September 4-7, 2017, Proceedings 16, Springer International Publishing, 2017, pp. 215-227.</w:t>
      </w:r>
    </w:p>
    <w:p w14:paraId="287E5020" w14:textId="77777777" w:rsidR="00BC557F" w:rsidRDefault="00BC557F" w:rsidP="00BC557F">
      <w:pPr>
        <w:pStyle w:val="references"/>
        <w:numPr>
          <w:ilvl w:val="0"/>
          <w:numId w:val="7"/>
        </w:numPr>
        <w:ind w:left="360"/>
      </w:pPr>
      <w:r>
        <w:t xml:space="preserve">P.W. Chen, B.S. Jiang, and C.H. Wang, “Blockchain-based payment collection supervision system using pervasive Bitcoin digital wallet,” in </w:t>
      </w:r>
      <w:r w:rsidRPr="00BC557F">
        <w:t>2017 IEEE 13th International Conference on Wireless and Mobile Computing, Networking and Communications (WiMob)</w:t>
      </w:r>
      <w:r>
        <w:t>, pp. 139-146, IEEE, 2017.</w:t>
      </w:r>
    </w:p>
    <w:p w14:paraId="10D49792" w14:textId="1DA2EC0C" w:rsidR="00BC557F" w:rsidRDefault="00BC557F" w:rsidP="00BC557F">
      <w:pPr>
        <w:pStyle w:val="references"/>
        <w:numPr>
          <w:ilvl w:val="0"/>
          <w:numId w:val="7"/>
        </w:numPr>
        <w:ind w:left="360"/>
      </w:pPr>
      <w:r>
        <w:t xml:space="preserve">T.I. Akaba, A. Norta, C. Udokwu, and D. Draheim, “A framework for the adoption of blockchain-based e-procurement systems in the public sector: A case study of Nigeria,” in </w:t>
      </w:r>
      <w:r w:rsidRPr="00BC557F">
        <w:t xml:space="preserve">Responsible Design, Implementation and Use of Information and Communication Technology: 19th IFIP WG 6.11 Conference on e-Business, </w:t>
      </w:r>
      <w:r w:rsidR="00281242">
        <w:t xml:space="preserve">                       </w:t>
      </w:r>
      <w:r w:rsidRPr="00BC557F">
        <w:t>e-Services, and e-Society, I3E 2020</w:t>
      </w:r>
      <w:r>
        <w:t xml:space="preserve">, Skukuza, South Africa, April </w:t>
      </w:r>
      <w:r w:rsidR="003F5A44">
        <w:t xml:space="preserve">           </w:t>
      </w:r>
      <w:r>
        <w:t>6–8, 2020, Proceedings, Part I 19, Springer International Publishing, 2020, pp. 3-14.</w:t>
      </w:r>
    </w:p>
    <w:p w14:paraId="46C77B81" w14:textId="77777777" w:rsidR="00BC557F" w:rsidRDefault="00BC557F" w:rsidP="00BC557F">
      <w:pPr>
        <w:pStyle w:val="references"/>
        <w:numPr>
          <w:ilvl w:val="0"/>
          <w:numId w:val="7"/>
        </w:numPr>
        <w:ind w:left="360"/>
      </w:pPr>
      <w:r>
        <w:t xml:space="preserve">M. Hakimi, K.R. Rahmani, Z. Ezam, and H. Shahbazi, “Integrating Blockchain Technology for Secure E-Government Services: Opportunities and Challenges,” </w:t>
      </w:r>
      <w:r w:rsidRPr="00BC557F">
        <w:t>Journal of Social Science Utilizing Technology</w:t>
      </w:r>
      <w:r>
        <w:t>, vol. 2, no. 3, pp. 317-335, 2024.</w:t>
      </w:r>
    </w:p>
    <w:p w14:paraId="752525C4" w14:textId="29AF3E07" w:rsidR="00BC557F" w:rsidRDefault="00BC557F" w:rsidP="00BC557F">
      <w:pPr>
        <w:pStyle w:val="references"/>
        <w:numPr>
          <w:ilvl w:val="0"/>
          <w:numId w:val="7"/>
        </w:numPr>
        <w:ind w:left="360"/>
      </w:pPr>
      <w:r>
        <w:t xml:space="preserve">I. Lykidis, G. Drosatos, and K. Rantos, “The use of blockchain technology in e-government services,” </w:t>
      </w:r>
      <w:r w:rsidRPr="00BC557F">
        <w:t>Computers</w:t>
      </w:r>
      <w:r w:rsidR="00776B64">
        <w:t>, vol. 10, no. 12,    pp. 168.</w:t>
      </w:r>
    </w:p>
    <w:sectPr w:rsidR="00BC557F" w:rsidSect="00776B64">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8397B"/>
    <w:multiLevelType w:val="hybridMultilevel"/>
    <w:tmpl w:val="AD40DC54"/>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E326BC"/>
    <w:multiLevelType w:val="hybridMultilevel"/>
    <w:tmpl w:val="4F04DB1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B858FE"/>
    <w:multiLevelType w:val="hybridMultilevel"/>
    <w:tmpl w:val="7FC40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297701B"/>
    <w:multiLevelType w:val="hybridMultilevel"/>
    <w:tmpl w:val="DC58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944F1"/>
    <w:multiLevelType w:val="hybridMultilevel"/>
    <w:tmpl w:val="B87CE0F2"/>
    <w:lvl w:ilvl="0" w:tplc="974A66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93D30AF"/>
    <w:multiLevelType w:val="hybridMultilevel"/>
    <w:tmpl w:val="BC1AAF94"/>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65C7A26"/>
    <w:multiLevelType w:val="hybridMultilevel"/>
    <w:tmpl w:val="ADA29178"/>
    <w:lvl w:ilvl="0" w:tplc="85045606">
      <w:start w:val="26"/>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NjQ2NzOysASSZko6SsGpxcWZ+XkgBUa1APROSH0sAAAA"/>
  </w:docVars>
  <w:rsids>
    <w:rsidRoot w:val="0090179E"/>
    <w:rsid w:val="00012D69"/>
    <w:rsid w:val="0004783D"/>
    <w:rsid w:val="0006656F"/>
    <w:rsid w:val="00083A7B"/>
    <w:rsid w:val="00096806"/>
    <w:rsid w:val="000A3A27"/>
    <w:rsid w:val="000B3005"/>
    <w:rsid w:val="000E1103"/>
    <w:rsid w:val="000E1DB2"/>
    <w:rsid w:val="001C3EE3"/>
    <w:rsid w:val="001C5F66"/>
    <w:rsid w:val="00273516"/>
    <w:rsid w:val="00281242"/>
    <w:rsid w:val="00290320"/>
    <w:rsid w:val="002B6C65"/>
    <w:rsid w:val="0037047E"/>
    <w:rsid w:val="003805EA"/>
    <w:rsid w:val="003A0370"/>
    <w:rsid w:val="003A46AF"/>
    <w:rsid w:val="003E6CDE"/>
    <w:rsid w:val="003F5A44"/>
    <w:rsid w:val="00422AD6"/>
    <w:rsid w:val="0043361F"/>
    <w:rsid w:val="00447F49"/>
    <w:rsid w:val="004826D1"/>
    <w:rsid w:val="004D2734"/>
    <w:rsid w:val="005237A6"/>
    <w:rsid w:val="005252C1"/>
    <w:rsid w:val="00542EEF"/>
    <w:rsid w:val="005A1043"/>
    <w:rsid w:val="005D761F"/>
    <w:rsid w:val="006228BE"/>
    <w:rsid w:val="00641C0C"/>
    <w:rsid w:val="006C0EBC"/>
    <w:rsid w:val="00712E2D"/>
    <w:rsid w:val="00763FA7"/>
    <w:rsid w:val="00776B64"/>
    <w:rsid w:val="007C0942"/>
    <w:rsid w:val="007F0EE9"/>
    <w:rsid w:val="008143FE"/>
    <w:rsid w:val="008E528A"/>
    <w:rsid w:val="0090179E"/>
    <w:rsid w:val="009256F8"/>
    <w:rsid w:val="0094125F"/>
    <w:rsid w:val="0095572F"/>
    <w:rsid w:val="00960053"/>
    <w:rsid w:val="00965A37"/>
    <w:rsid w:val="00A410B4"/>
    <w:rsid w:val="00A4422D"/>
    <w:rsid w:val="00A903BA"/>
    <w:rsid w:val="00AD6444"/>
    <w:rsid w:val="00B12BB5"/>
    <w:rsid w:val="00B1597B"/>
    <w:rsid w:val="00B56DCD"/>
    <w:rsid w:val="00BC557F"/>
    <w:rsid w:val="00BD18BC"/>
    <w:rsid w:val="00BD5DCF"/>
    <w:rsid w:val="00BE0763"/>
    <w:rsid w:val="00BF7A2D"/>
    <w:rsid w:val="00C61B8B"/>
    <w:rsid w:val="00C66DEE"/>
    <w:rsid w:val="00C71EA6"/>
    <w:rsid w:val="00C77C66"/>
    <w:rsid w:val="00C828A6"/>
    <w:rsid w:val="00D22ADF"/>
    <w:rsid w:val="00D372B9"/>
    <w:rsid w:val="00DE22BF"/>
    <w:rsid w:val="00DF31DA"/>
    <w:rsid w:val="00E04326"/>
    <w:rsid w:val="00E41AC7"/>
    <w:rsid w:val="00E85586"/>
    <w:rsid w:val="00EA0F84"/>
    <w:rsid w:val="00EF727C"/>
    <w:rsid w:val="00F3795B"/>
    <w:rsid w:val="00F44A47"/>
    <w:rsid w:val="00F505D8"/>
    <w:rsid w:val="00FC6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AA2E"/>
  <w15:docId w15:val="{A1F9A441-328A-45CB-9169-378291FC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8BC"/>
  </w:style>
  <w:style w:type="paragraph" w:styleId="Heading1">
    <w:name w:val="heading 1"/>
    <w:basedOn w:val="Normal"/>
    <w:link w:val="Heading1Char"/>
    <w:qFormat/>
    <w:rsid w:val="00BC557F"/>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9E"/>
    <w:pPr>
      <w:ind w:left="720"/>
      <w:contextualSpacing/>
    </w:pPr>
  </w:style>
  <w:style w:type="paragraph" w:styleId="NormalWeb">
    <w:name w:val="Normal (Web)"/>
    <w:basedOn w:val="Normal"/>
    <w:uiPriority w:val="99"/>
    <w:semiHidden/>
    <w:unhideWhenUsed/>
    <w:rsid w:val="005D761F"/>
    <w:pPr>
      <w:spacing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5D761F"/>
    <w:rPr>
      <w:i/>
      <w:iCs/>
    </w:rPr>
  </w:style>
  <w:style w:type="character" w:styleId="Strong">
    <w:name w:val="Strong"/>
    <w:basedOn w:val="DefaultParagraphFont"/>
    <w:uiPriority w:val="22"/>
    <w:qFormat/>
    <w:rsid w:val="008E528A"/>
    <w:rPr>
      <w:b/>
      <w:bCs/>
    </w:rPr>
  </w:style>
  <w:style w:type="table" w:customStyle="1" w:styleId="PlainTable11">
    <w:name w:val="Plain Table 11"/>
    <w:basedOn w:val="TableNormal"/>
    <w:uiPriority w:val="41"/>
    <w:rsid w:val="008E528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12D69"/>
    <w:rPr>
      <w:color w:val="0563C1" w:themeColor="hyperlink"/>
      <w:u w:val="single"/>
    </w:rPr>
  </w:style>
  <w:style w:type="paragraph" w:customStyle="1" w:styleId="papertitle">
    <w:name w:val="paper title"/>
    <w:rsid w:val="001C5F66"/>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7C0942"/>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BC557F"/>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C557F"/>
    <w:rPr>
      <w:rFonts w:ascii="Times New Roman" w:eastAsia="Times New Roman" w:hAnsi="Times New Roman" w:cs="Times New Roman"/>
      <w:sz w:val="28"/>
      <w:szCs w:val="28"/>
    </w:rPr>
  </w:style>
  <w:style w:type="paragraph" w:customStyle="1" w:styleId="references">
    <w:name w:val="references"/>
    <w:rsid w:val="00BC557F"/>
    <w:pPr>
      <w:spacing w:before="0" w:beforeAutospacing="0" w:after="50" w:afterAutospacing="0" w:line="180" w:lineRule="exact"/>
    </w:pPr>
    <w:rPr>
      <w:rFonts w:ascii="Times New Roman" w:eastAsia="MS Mincho" w:hAnsi="Times New Roman" w:cs="Times New Roman"/>
      <w:noProof/>
      <w:sz w:val="16"/>
      <w:szCs w:val="16"/>
    </w:rPr>
  </w:style>
  <w:style w:type="table" w:styleId="TableGrid">
    <w:name w:val="Table Grid"/>
    <w:basedOn w:val="TableNormal"/>
    <w:uiPriority w:val="39"/>
    <w:rsid w:val="00776B6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8583">
      <w:bodyDiv w:val="1"/>
      <w:marLeft w:val="0"/>
      <w:marRight w:val="0"/>
      <w:marTop w:val="0"/>
      <w:marBottom w:val="0"/>
      <w:divBdr>
        <w:top w:val="none" w:sz="0" w:space="0" w:color="auto"/>
        <w:left w:val="none" w:sz="0" w:space="0" w:color="auto"/>
        <w:bottom w:val="none" w:sz="0" w:space="0" w:color="auto"/>
        <w:right w:val="none" w:sz="0" w:space="0" w:color="auto"/>
      </w:divBdr>
    </w:div>
    <w:div w:id="493642912">
      <w:bodyDiv w:val="1"/>
      <w:marLeft w:val="0"/>
      <w:marRight w:val="0"/>
      <w:marTop w:val="0"/>
      <w:marBottom w:val="0"/>
      <w:divBdr>
        <w:top w:val="none" w:sz="0" w:space="0" w:color="auto"/>
        <w:left w:val="none" w:sz="0" w:space="0" w:color="auto"/>
        <w:bottom w:val="none" w:sz="0" w:space="0" w:color="auto"/>
        <w:right w:val="none" w:sz="0" w:space="0" w:color="auto"/>
      </w:divBdr>
    </w:div>
    <w:div w:id="892347768">
      <w:bodyDiv w:val="1"/>
      <w:marLeft w:val="0"/>
      <w:marRight w:val="0"/>
      <w:marTop w:val="0"/>
      <w:marBottom w:val="0"/>
      <w:divBdr>
        <w:top w:val="none" w:sz="0" w:space="0" w:color="auto"/>
        <w:left w:val="none" w:sz="0" w:space="0" w:color="auto"/>
        <w:bottom w:val="none" w:sz="0" w:space="0" w:color="auto"/>
        <w:right w:val="none" w:sz="0" w:space="0" w:color="auto"/>
      </w:divBdr>
    </w:div>
    <w:div w:id="1355110812">
      <w:bodyDiv w:val="1"/>
      <w:marLeft w:val="0"/>
      <w:marRight w:val="0"/>
      <w:marTop w:val="0"/>
      <w:marBottom w:val="0"/>
      <w:divBdr>
        <w:top w:val="none" w:sz="0" w:space="0" w:color="auto"/>
        <w:left w:val="none" w:sz="0" w:space="0" w:color="auto"/>
        <w:bottom w:val="none" w:sz="0" w:space="0" w:color="auto"/>
        <w:right w:val="none" w:sz="0" w:space="0" w:color="auto"/>
      </w:divBdr>
    </w:div>
    <w:div w:id="1408266238">
      <w:bodyDiv w:val="1"/>
      <w:marLeft w:val="0"/>
      <w:marRight w:val="0"/>
      <w:marTop w:val="0"/>
      <w:marBottom w:val="0"/>
      <w:divBdr>
        <w:top w:val="none" w:sz="0" w:space="0" w:color="auto"/>
        <w:left w:val="none" w:sz="0" w:space="0" w:color="auto"/>
        <w:bottom w:val="none" w:sz="0" w:space="0" w:color="auto"/>
        <w:right w:val="none" w:sz="0" w:space="0" w:color="auto"/>
      </w:divBdr>
    </w:div>
    <w:div w:id="1647009063">
      <w:bodyDiv w:val="1"/>
      <w:marLeft w:val="0"/>
      <w:marRight w:val="0"/>
      <w:marTop w:val="0"/>
      <w:marBottom w:val="0"/>
      <w:divBdr>
        <w:top w:val="none" w:sz="0" w:space="0" w:color="auto"/>
        <w:left w:val="none" w:sz="0" w:space="0" w:color="auto"/>
        <w:bottom w:val="none" w:sz="0" w:space="0" w:color="auto"/>
        <w:right w:val="none" w:sz="0" w:space="0" w:color="auto"/>
      </w:divBdr>
    </w:div>
    <w:div w:id="1674718084">
      <w:bodyDiv w:val="1"/>
      <w:marLeft w:val="0"/>
      <w:marRight w:val="0"/>
      <w:marTop w:val="0"/>
      <w:marBottom w:val="0"/>
      <w:divBdr>
        <w:top w:val="none" w:sz="0" w:space="0" w:color="auto"/>
        <w:left w:val="none" w:sz="0" w:space="0" w:color="auto"/>
        <w:bottom w:val="none" w:sz="0" w:space="0" w:color="auto"/>
        <w:right w:val="none" w:sz="0" w:space="0" w:color="auto"/>
      </w:divBdr>
    </w:div>
    <w:div w:id="1683582380">
      <w:bodyDiv w:val="1"/>
      <w:marLeft w:val="0"/>
      <w:marRight w:val="0"/>
      <w:marTop w:val="0"/>
      <w:marBottom w:val="0"/>
      <w:divBdr>
        <w:top w:val="none" w:sz="0" w:space="0" w:color="auto"/>
        <w:left w:val="none" w:sz="0" w:space="0" w:color="auto"/>
        <w:bottom w:val="none" w:sz="0" w:space="0" w:color="auto"/>
        <w:right w:val="none" w:sz="0" w:space="0" w:color="auto"/>
      </w:divBdr>
    </w:div>
    <w:div w:id="1729764276">
      <w:bodyDiv w:val="1"/>
      <w:marLeft w:val="0"/>
      <w:marRight w:val="0"/>
      <w:marTop w:val="0"/>
      <w:marBottom w:val="0"/>
      <w:divBdr>
        <w:top w:val="none" w:sz="0" w:space="0" w:color="auto"/>
        <w:left w:val="none" w:sz="0" w:space="0" w:color="auto"/>
        <w:bottom w:val="none" w:sz="0" w:space="0" w:color="auto"/>
        <w:right w:val="none" w:sz="0" w:space="0" w:color="auto"/>
      </w:divBdr>
    </w:div>
    <w:div w:id="1765149959">
      <w:bodyDiv w:val="1"/>
      <w:marLeft w:val="0"/>
      <w:marRight w:val="0"/>
      <w:marTop w:val="0"/>
      <w:marBottom w:val="0"/>
      <w:divBdr>
        <w:top w:val="none" w:sz="0" w:space="0" w:color="auto"/>
        <w:left w:val="none" w:sz="0" w:space="0" w:color="auto"/>
        <w:bottom w:val="none" w:sz="0" w:space="0" w:color="auto"/>
        <w:right w:val="none" w:sz="0" w:space="0" w:color="auto"/>
      </w:divBdr>
    </w:div>
    <w:div w:id="19303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1838/PECE/02.01.06"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70102/IJARES/V4S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1838/INES/02.01.01" TargetMode="External"/><Relationship Id="rId5" Type="http://schemas.openxmlformats.org/officeDocument/2006/relationships/hyperlink" Target="https://orcid.org/0000-0002-6804-7660" TargetMode="External"/><Relationship Id="rId15" Type="http://schemas.openxmlformats.org/officeDocument/2006/relationships/theme" Target="theme/theme1.xml"/><Relationship Id="rId10" Type="http://schemas.openxmlformats.org/officeDocument/2006/relationships/hyperlink" Target="https://doi.org/10.31838/JIVCT/01.01.03"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3943</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23</cp:revision>
  <dcterms:created xsi:type="dcterms:W3CDTF">2025-05-06T04:41:00Z</dcterms:created>
  <dcterms:modified xsi:type="dcterms:W3CDTF">2025-05-12T09:47:00Z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0bcfa77f-49be-4632-be36-5cc7a468c9b0</vt:lpwstr>
  </property>
</Properties>
</file>