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ED6F" w14:textId="77777777" w:rsidR="006625BE" w:rsidRPr="009D77F9" w:rsidRDefault="006625BE" w:rsidP="009D77F9">
      <w:pPr>
        <w:pStyle w:val="papertitle"/>
        <w:spacing w:before="120"/>
      </w:pPr>
      <w:r w:rsidRPr="009D77F9">
        <w:t>Enhancing Implantable Healthcare Devices with Dual-Band Wireless Communication</w:t>
      </w:r>
    </w:p>
    <w:p w14:paraId="569C4489" w14:textId="77777777" w:rsidR="0023027E" w:rsidRDefault="0023027E" w:rsidP="0023027E">
      <w:pPr>
        <w:pStyle w:val="Author"/>
        <w:spacing w:before="0"/>
        <w:rPr>
          <w:i/>
          <w:sz w:val="18"/>
          <w:szCs w:val="18"/>
        </w:rPr>
        <w:sectPr w:rsidR="0023027E" w:rsidSect="00276766">
          <w:type w:val="continuous"/>
          <w:pgSz w:w="11909" w:h="16834" w:code="9"/>
          <w:pgMar w:top="1080" w:right="907" w:bottom="1440" w:left="907" w:header="720" w:footer="720" w:gutter="0"/>
          <w:cols w:space="720"/>
          <w:docGrid w:linePitch="360"/>
        </w:sectPr>
      </w:pPr>
    </w:p>
    <w:p w14:paraId="68D0F511" w14:textId="77777777" w:rsidR="00EE3630" w:rsidRPr="00EE3630" w:rsidRDefault="00EE3630" w:rsidP="00EE3630">
      <w:pPr>
        <w:pStyle w:val="Author"/>
        <w:rPr>
          <w:i/>
          <w:sz w:val="18"/>
          <w:szCs w:val="18"/>
        </w:rPr>
      </w:pPr>
      <w:r w:rsidRPr="00EE3630">
        <w:rPr>
          <w:i/>
          <w:sz w:val="18"/>
          <w:szCs w:val="18"/>
        </w:rPr>
        <w:t xml:space="preserve">Dr.Biswaranjan Barik, Assistant Professor (1) , Ph.D Scholar(2), Department of ECE, MVJ COLLEGE OF ENGINEERING (A), Bangalore, Andhra University, Visakhapatnam, India. Email id: barikbiswa65@gmail.com </w:t>
      </w:r>
    </w:p>
    <w:p w14:paraId="33566FDC" w14:textId="77777777" w:rsidR="00EE3630" w:rsidRPr="00EE3630" w:rsidRDefault="00EE3630" w:rsidP="00EE3630">
      <w:pPr>
        <w:pStyle w:val="Author"/>
        <w:rPr>
          <w:i/>
          <w:sz w:val="18"/>
          <w:szCs w:val="18"/>
        </w:rPr>
      </w:pPr>
    </w:p>
    <w:p w14:paraId="160E06DE" w14:textId="77777777" w:rsidR="00EE3630" w:rsidRPr="00EE3630" w:rsidRDefault="00EE3630" w:rsidP="00EE3630">
      <w:pPr>
        <w:pStyle w:val="Author"/>
        <w:rPr>
          <w:i/>
          <w:sz w:val="18"/>
          <w:szCs w:val="18"/>
        </w:rPr>
      </w:pPr>
      <w:r w:rsidRPr="00EE3630">
        <w:rPr>
          <w:i/>
          <w:sz w:val="18"/>
          <w:szCs w:val="18"/>
        </w:rPr>
        <w:t>Lakshay Bareja, Centre of Research Impact and Outcome, Chitkara University, Rajpura- 140417, Punjab, India - lakshay.bareja.orp@chitkara.edu.in https://orcid.org/0009-0006-2368-7353</w:t>
      </w:r>
      <w:r w:rsidRPr="00EE3630">
        <w:rPr>
          <w:i/>
          <w:sz w:val="18"/>
          <w:szCs w:val="18"/>
        </w:rPr>
        <w:tab/>
      </w:r>
    </w:p>
    <w:p w14:paraId="332A321D" w14:textId="77777777" w:rsidR="00EE3630" w:rsidRPr="00EE3630" w:rsidRDefault="00EE3630" w:rsidP="00EE3630">
      <w:pPr>
        <w:pStyle w:val="Author"/>
        <w:rPr>
          <w:i/>
          <w:sz w:val="18"/>
          <w:szCs w:val="18"/>
        </w:rPr>
      </w:pPr>
    </w:p>
    <w:p w14:paraId="74D1569A" w14:textId="77777777" w:rsidR="00EE3630" w:rsidRPr="00EE3630" w:rsidRDefault="00EE3630" w:rsidP="00EE3630">
      <w:pPr>
        <w:pStyle w:val="Author"/>
        <w:rPr>
          <w:i/>
          <w:sz w:val="18"/>
          <w:szCs w:val="18"/>
        </w:rPr>
      </w:pPr>
      <w:r w:rsidRPr="00EE3630">
        <w:rPr>
          <w:i/>
          <w:sz w:val="18"/>
          <w:szCs w:val="18"/>
        </w:rPr>
        <w:t>Jatin Khurana, Chitkara Centre for Research and Development, Chitkara University, Himachal Pradesh-174103 India. jatin.khurana.orp@chitkara.edu.in https://orcid.org/0009-0004-5266-6928</w:t>
      </w:r>
      <w:r w:rsidRPr="00EE3630">
        <w:rPr>
          <w:i/>
          <w:sz w:val="18"/>
          <w:szCs w:val="18"/>
        </w:rPr>
        <w:tab/>
      </w:r>
    </w:p>
    <w:p w14:paraId="1DF44A82" w14:textId="77777777" w:rsidR="00EE3630" w:rsidRPr="00EE3630" w:rsidRDefault="00EE3630" w:rsidP="00EE3630">
      <w:pPr>
        <w:pStyle w:val="Author"/>
        <w:rPr>
          <w:i/>
          <w:sz w:val="18"/>
          <w:szCs w:val="18"/>
        </w:rPr>
      </w:pPr>
    </w:p>
    <w:p w14:paraId="3FDB1ABE" w14:textId="77777777" w:rsidR="00EE3630" w:rsidRPr="00EE3630" w:rsidRDefault="00EE3630" w:rsidP="00EE3630">
      <w:pPr>
        <w:pStyle w:val="Author"/>
        <w:rPr>
          <w:i/>
          <w:sz w:val="18"/>
          <w:szCs w:val="18"/>
        </w:rPr>
      </w:pPr>
      <w:r w:rsidRPr="00EE3630">
        <w:rPr>
          <w:i/>
          <w:sz w:val="18"/>
          <w:szCs w:val="18"/>
        </w:rPr>
        <w:t>N. V. BALAJI, Department of Computer Science, Karpagam Academy of Higher Education, Coimbatore- 641021. Email Id: fashdean@kahedu.edu.in</w:t>
      </w:r>
      <w:r w:rsidRPr="00EE3630">
        <w:rPr>
          <w:i/>
          <w:sz w:val="18"/>
          <w:szCs w:val="18"/>
        </w:rPr>
        <w:tab/>
      </w:r>
    </w:p>
    <w:p w14:paraId="539DC9BB" w14:textId="77777777" w:rsidR="00EE3630" w:rsidRPr="00EE3630" w:rsidRDefault="00EE3630" w:rsidP="00EE3630">
      <w:pPr>
        <w:pStyle w:val="Author"/>
        <w:rPr>
          <w:i/>
          <w:sz w:val="18"/>
          <w:szCs w:val="18"/>
        </w:rPr>
      </w:pPr>
    </w:p>
    <w:p w14:paraId="6750FB8C" w14:textId="77777777" w:rsidR="00EE3630" w:rsidRPr="00EE3630" w:rsidRDefault="00EE3630" w:rsidP="00EE3630">
      <w:pPr>
        <w:pStyle w:val="Author"/>
        <w:rPr>
          <w:i/>
          <w:sz w:val="18"/>
          <w:szCs w:val="18"/>
        </w:rPr>
      </w:pPr>
      <w:r w:rsidRPr="00EE3630">
        <w:rPr>
          <w:i/>
          <w:sz w:val="18"/>
          <w:szCs w:val="18"/>
        </w:rPr>
        <w:t>S.ARUL ANTRAN VIJAY, Department of Computer Science Engineering, Karpagam College of Engineering, Coimbatore- 641032. Email Id: arulantranvijay@gmail.com</w:t>
      </w:r>
      <w:r w:rsidRPr="00EE3630">
        <w:rPr>
          <w:i/>
          <w:sz w:val="18"/>
          <w:szCs w:val="18"/>
        </w:rPr>
        <w:tab/>
      </w:r>
    </w:p>
    <w:p w14:paraId="28CF2A4A" w14:textId="77777777" w:rsidR="00EE3630" w:rsidRPr="00EE3630" w:rsidRDefault="00EE3630" w:rsidP="00EE3630">
      <w:pPr>
        <w:pStyle w:val="Author"/>
        <w:rPr>
          <w:i/>
          <w:sz w:val="18"/>
          <w:szCs w:val="18"/>
        </w:rPr>
      </w:pPr>
    </w:p>
    <w:p w14:paraId="5940C4D0" w14:textId="4F4DA11C" w:rsidR="0023027E" w:rsidRDefault="00EE3630" w:rsidP="00EE3630">
      <w:pPr>
        <w:pStyle w:val="Author"/>
        <w:spacing w:before="0"/>
        <w:rPr>
          <w:i/>
          <w:sz w:val="18"/>
          <w:szCs w:val="18"/>
        </w:rPr>
      </w:pPr>
      <w:r w:rsidRPr="00EE3630">
        <w:rPr>
          <w:i/>
          <w:sz w:val="18"/>
          <w:szCs w:val="18"/>
        </w:rPr>
        <w:t>Mr.Shankar Prasad S, Assistant Professor, Department of Management, School of Mangement - UG, JAIN (Deemed to be University), Bangalore, Karnataka, India, Email Id- shankarprasad@cms.ac.in</w:t>
      </w:r>
    </w:p>
    <w:p w14:paraId="0ACC73C5" w14:textId="77777777" w:rsidR="0023027E" w:rsidRDefault="0023027E" w:rsidP="0023027E">
      <w:pPr>
        <w:pStyle w:val="Author"/>
        <w:spacing w:before="0"/>
        <w:rPr>
          <w:i/>
          <w:sz w:val="18"/>
          <w:szCs w:val="18"/>
        </w:rPr>
      </w:pPr>
    </w:p>
    <w:p w14:paraId="6081F46D" w14:textId="77777777" w:rsidR="0023027E" w:rsidRDefault="0023027E" w:rsidP="0023027E">
      <w:pPr>
        <w:pStyle w:val="Author"/>
        <w:spacing w:before="0"/>
        <w:rPr>
          <w:i/>
          <w:sz w:val="18"/>
          <w:szCs w:val="18"/>
        </w:rPr>
      </w:pPr>
    </w:p>
    <w:p w14:paraId="748AEBB6" w14:textId="77777777" w:rsidR="0023027E" w:rsidRDefault="0023027E" w:rsidP="0023027E">
      <w:pPr>
        <w:pStyle w:val="Author"/>
        <w:spacing w:before="0"/>
        <w:rPr>
          <w:i/>
          <w:sz w:val="18"/>
          <w:szCs w:val="18"/>
        </w:rPr>
      </w:pPr>
    </w:p>
    <w:p w14:paraId="06DA647A" w14:textId="77777777" w:rsidR="0023027E" w:rsidRDefault="0023027E" w:rsidP="00276766">
      <w:pPr>
        <w:tabs>
          <w:tab w:val="left" w:pos="5205"/>
        </w:tabs>
        <w:spacing w:after="120" w:line="228" w:lineRule="auto"/>
        <w:ind w:firstLine="288"/>
        <w:rPr>
          <w:rFonts w:cs="Times New Roman"/>
          <w:b/>
          <w:sz w:val="20"/>
          <w:szCs w:val="20"/>
        </w:rPr>
        <w:sectPr w:rsidR="0023027E" w:rsidSect="0023027E">
          <w:type w:val="continuous"/>
          <w:pgSz w:w="11909" w:h="16834" w:code="9"/>
          <w:pgMar w:top="1080" w:right="907" w:bottom="1440" w:left="907" w:header="720" w:footer="720" w:gutter="0"/>
          <w:cols w:num="3" w:space="720"/>
          <w:docGrid w:linePitch="360"/>
        </w:sectPr>
      </w:pPr>
    </w:p>
    <w:p w14:paraId="0AD5ABC5" w14:textId="45E18EF7" w:rsidR="006625BE" w:rsidRPr="0023027E" w:rsidRDefault="006625BE" w:rsidP="0023027E">
      <w:pPr>
        <w:pStyle w:val="Abstract"/>
      </w:pPr>
      <w:r w:rsidRPr="0023027E">
        <w:rPr>
          <w:i/>
        </w:rPr>
        <w:t>Abstract</w:t>
      </w:r>
      <w:r w:rsidR="0023027E" w:rsidRPr="0023027E">
        <w:rPr>
          <w:i/>
        </w:rPr>
        <w:t>---</w:t>
      </w:r>
      <w:r w:rsidR="0023027E" w:rsidRPr="0023027E">
        <w:t xml:space="preserve"> </w:t>
      </w:r>
      <w:r w:rsidR="006870BF" w:rsidRPr="0023027E">
        <w:t>Changing medical diagnosis and therapy, implantable healthcare devices provide real-time physiological monitoring and therapeutic action. Especially in important uses like heart health monitoring, dual-band wireless connection significantly increases the data transmission dependability and efficiency of these devices. Particularly in dynamic and multi-device contexts, current systems might suffer from restricted data bandwidth, signal interference, and poor communication dependability. Apart from making it difficult for health data to be immediately available, these restrictions may impact patient safety and clinical results. Our work presents a new framework combining dual-band wireless communication with Hardware-in- Loop Testing (H-LT) and continuous health monitoring in cardiac implants in order to overcome these obstacles. By simulating real-time cardiac events, the H-LT method allows strict performance assessment and adaptive modification of implanted devices in a simulated yet responsive environment. For simultaneous short-range and long-range communication, the suggested approach makes use of the 2.4 GHz and sub-GHz frequencies. This dual-band technique guarantees continuous data flow, reduces interference, and enhances system resilience in numerous working contexts—including highly dense medical environments. Using H-LT experimental validation shows that the dual-band system provides up to 40% increase in data dependability and 30% decrease in latency over standard single-band systems. These results highlight how realistic the suggested design is to greatly improve the safety, efficiency, and real-time responsiveness of cardiac implanted devices, hence opening the path for next-generation smart healthcare solutions</w:t>
      </w:r>
      <w:r w:rsidRPr="0023027E">
        <w:t>.</w:t>
      </w:r>
    </w:p>
    <w:p w14:paraId="422B6A8D" w14:textId="79B5AA7A" w:rsidR="006625BE" w:rsidRPr="0023027E" w:rsidRDefault="0023027E" w:rsidP="0023027E">
      <w:pPr>
        <w:pStyle w:val="Abstract"/>
        <w:rPr>
          <w:i/>
        </w:rPr>
      </w:pPr>
      <w:r w:rsidRPr="0023027E">
        <w:rPr>
          <w:i/>
        </w:rPr>
        <w:t>Keywords---</w:t>
      </w:r>
      <w:r w:rsidR="006625BE" w:rsidRPr="0023027E">
        <w:rPr>
          <w:i/>
        </w:rPr>
        <w:t xml:space="preserve"> </w:t>
      </w:r>
      <w:r w:rsidR="00ED21E6" w:rsidRPr="0023027E">
        <w:rPr>
          <w:i/>
        </w:rPr>
        <w:t xml:space="preserve">Healthcare Devices, Dual-Band Wireless Communication, </w:t>
      </w:r>
      <w:r w:rsidRPr="0023027E">
        <w:rPr>
          <w:i/>
        </w:rPr>
        <w:t>Real</w:t>
      </w:r>
      <w:r w:rsidR="00ED21E6" w:rsidRPr="0023027E">
        <w:rPr>
          <w:i/>
        </w:rPr>
        <w:t xml:space="preserve">-time </w:t>
      </w:r>
      <w:r w:rsidRPr="0023027E">
        <w:rPr>
          <w:i/>
        </w:rPr>
        <w:t>Physiological Monitoring</w:t>
      </w:r>
      <w:r w:rsidR="00ED21E6" w:rsidRPr="0023027E">
        <w:rPr>
          <w:i/>
        </w:rPr>
        <w:t xml:space="preserve">, H-LT, </w:t>
      </w:r>
      <w:r w:rsidRPr="0023027E">
        <w:rPr>
          <w:i/>
        </w:rPr>
        <w:t>Data Transmission.</w:t>
      </w:r>
    </w:p>
    <w:p w14:paraId="16A36FBA" w14:textId="77777777" w:rsidR="006625BE" w:rsidRPr="006B043D" w:rsidRDefault="006625BE" w:rsidP="006B043D">
      <w:pPr>
        <w:pStyle w:val="Heading1"/>
        <w:numPr>
          <w:ilvl w:val="0"/>
          <w:numId w:val="6"/>
        </w:numPr>
        <w:tabs>
          <w:tab w:val="left" w:pos="216"/>
        </w:tabs>
        <w:spacing w:before="160" w:line="240" w:lineRule="auto"/>
        <w:ind w:left="0" w:firstLine="0"/>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Introduction</w:t>
      </w:r>
    </w:p>
    <w:p w14:paraId="46906724" w14:textId="6C515CD9" w:rsidR="006870BF" w:rsidRPr="00276766" w:rsidRDefault="006870BF"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Particularly for patients requiring continuous physiological monitoring and therapeutic intervention, implanted medical devices have become indispensable part of contemporary medical treatment in recent years [1]. </w:t>
      </w:r>
      <w:r w:rsidRPr="00276766">
        <w:rPr>
          <w:rFonts w:eastAsia="Times New Roman" w:cs="Times New Roman"/>
          <w:kern w:val="0"/>
          <w:sz w:val="20"/>
          <w:szCs w:val="20"/>
          <w:lang w:eastAsia="en-IN"/>
        </w:rPr>
        <w:t>Among the most important in the management of heart-related disorders are implanted cardiac devices including pacemakers, defibrillators, and cardiac resynchronization devices. This is so why these gadgets provide real-time data and the tools to apply treatments with possibilities to save millions of lives [</w:t>
      </w:r>
      <w:r w:rsidR="003E2078">
        <w:rPr>
          <w:rFonts w:eastAsia="Times New Roman" w:cs="Times New Roman"/>
          <w:kern w:val="0"/>
          <w:sz w:val="20"/>
          <w:szCs w:val="20"/>
          <w:lang w:eastAsia="en-IN"/>
        </w:rPr>
        <w:t>2</w:t>
      </w:r>
      <w:r w:rsidRPr="00276766">
        <w:rPr>
          <w:rFonts w:eastAsia="Times New Roman" w:cs="Times New Roman"/>
          <w:kern w:val="0"/>
          <w:sz w:val="20"/>
          <w:szCs w:val="20"/>
          <w:lang w:eastAsia="en-IN"/>
        </w:rPr>
        <w:t>]. The continuous evolution of these devices makes it more and more crucial for them to be able to establish consistent rather than just rapid connections with outside systems. This determines both the improvement of patient outcomes and the swift and quick therapeutic decision making possible [3].</w:t>
      </w:r>
    </w:p>
    <w:p w14:paraId="01952BE5" w14:textId="42A65F1F" w:rsidR="00803AEE" w:rsidRPr="00276766" w:rsidRDefault="00803AEE"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Including wireless communication technology into implanted medical devices makes it possible to transmit continuous data to distant monitoring systems</w:t>
      </w:r>
      <w:r w:rsidR="002764C2"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4</w:t>
      </w:r>
      <w:r w:rsidR="002764C2" w:rsidRPr="00276766">
        <w:rPr>
          <w:rFonts w:eastAsia="Times New Roman" w:cs="Times New Roman"/>
          <w:kern w:val="0"/>
          <w:sz w:val="20"/>
          <w:szCs w:val="20"/>
          <w:lang w:eastAsia="en-IN"/>
        </w:rPr>
        <w:t>]</w:t>
      </w:r>
      <w:r w:rsidRPr="00276766">
        <w:rPr>
          <w:rFonts w:eastAsia="Times New Roman" w:cs="Times New Roman"/>
          <w:kern w:val="0"/>
          <w:sz w:val="20"/>
          <w:szCs w:val="20"/>
          <w:lang w:eastAsia="en-IN"/>
        </w:rPr>
        <w:t>. This enables patient monitoring from a distance conceivable [</w:t>
      </w:r>
      <w:r w:rsidR="003E2078">
        <w:rPr>
          <w:rFonts w:eastAsia="Times New Roman" w:cs="Times New Roman"/>
          <w:kern w:val="0"/>
          <w:sz w:val="20"/>
          <w:szCs w:val="20"/>
          <w:lang w:eastAsia="en-IN"/>
        </w:rPr>
        <w:t>5</w:t>
      </w:r>
      <w:r w:rsidRPr="00276766">
        <w:rPr>
          <w:rFonts w:eastAsia="Times New Roman" w:cs="Times New Roman"/>
          <w:kern w:val="0"/>
          <w:sz w:val="20"/>
          <w:szCs w:val="20"/>
          <w:lang w:eastAsia="en-IN"/>
        </w:rPr>
        <w:t>]. This enables early stage detection of problems, therefore reducing the number of times patients must visit the hospital. Still, the most of the implant communication systems presently on use single-band wireless transmission. Given that it could lead to data congestion, interference, and a restricted range, this can be troublesome. In terms of healthcare, these issues become considerably more difficult in densely inhabited areas with high device running count concurrently</w:t>
      </w:r>
      <w:r w:rsidR="00987BD9"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6</w:t>
      </w:r>
      <w:r w:rsidR="00987BD9" w:rsidRPr="00276766">
        <w:rPr>
          <w:rFonts w:eastAsia="Times New Roman" w:cs="Times New Roman"/>
          <w:kern w:val="0"/>
          <w:sz w:val="20"/>
          <w:szCs w:val="20"/>
          <w:lang w:eastAsia="en-IN"/>
        </w:rPr>
        <w:t>]</w:t>
      </w:r>
      <w:r w:rsidR="003E2078">
        <w:rPr>
          <w:rFonts w:eastAsia="Times New Roman" w:cs="Times New Roman"/>
          <w:kern w:val="0"/>
          <w:sz w:val="20"/>
          <w:szCs w:val="20"/>
          <w:lang w:eastAsia="en-IN"/>
        </w:rPr>
        <w:t xml:space="preserve"> </w:t>
      </w:r>
      <w:r w:rsidRPr="00276766">
        <w:rPr>
          <w:rFonts w:eastAsia="Times New Roman" w:cs="Times New Roman"/>
          <w:kern w:val="0"/>
          <w:sz w:val="20"/>
          <w:szCs w:val="20"/>
          <w:lang w:eastAsia="en-IN"/>
        </w:rPr>
        <w:t>[</w:t>
      </w:r>
      <w:r w:rsidR="003E2078">
        <w:rPr>
          <w:rFonts w:eastAsia="Times New Roman" w:cs="Times New Roman"/>
          <w:kern w:val="0"/>
          <w:sz w:val="20"/>
          <w:szCs w:val="20"/>
          <w:lang w:eastAsia="en-IN"/>
        </w:rPr>
        <w:t>7</w:t>
      </w:r>
      <w:r w:rsidRPr="00276766">
        <w:rPr>
          <w:rFonts w:eastAsia="Times New Roman" w:cs="Times New Roman"/>
          <w:kern w:val="0"/>
          <w:sz w:val="20"/>
          <w:szCs w:val="20"/>
          <w:lang w:eastAsia="en-IN"/>
        </w:rPr>
        <w:t>]. Under conditions that call for scenarios with serious health issues, there is a chance that this might cause data loss or a delay in transmission—two undesirable outcomes</w:t>
      </w:r>
      <w:r w:rsidR="00987BD9"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8</w:t>
      </w:r>
      <w:r w:rsidR="00987BD9" w:rsidRPr="00276766">
        <w:rPr>
          <w:rFonts w:eastAsia="Times New Roman" w:cs="Times New Roman"/>
          <w:kern w:val="0"/>
          <w:sz w:val="20"/>
          <w:szCs w:val="20"/>
          <w:lang w:eastAsia="en-IN"/>
        </w:rPr>
        <w:t>]</w:t>
      </w:r>
      <w:r w:rsidRPr="00276766">
        <w:rPr>
          <w:rFonts w:eastAsia="Times New Roman" w:cs="Times New Roman"/>
          <w:kern w:val="0"/>
          <w:sz w:val="20"/>
          <w:szCs w:val="20"/>
          <w:lang w:eastAsia="en-IN"/>
        </w:rPr>
        <w:t xml:space="preserve">. </w:t>
      </w:r>
    </w:p>
    <w:p w14:paraId="0F6236A8" w14:textId="25D08245" w:rsidR="00803AEE" w:rsidRPr="00276766" w:rsidRDefault="00803AEE"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In this </w:t>
      </w:r>
      <w:r w:rsidR="006870BF" w:rsidRPr="00276766">
        <w:rPr>
          <w:rFonts w:eastAsia="Times New Roman" w:cs="Times New Roman"/>
          <w:kern w:val="0"/>
          <w:sz w:val="20"/>
          <w:szCs w:val="20"/>
          <w:lang w:eastAsia="en-IN"/>
        </w:rPr>
        <w:t>paper</w:t>
      </w:r>
      <w:r w:rsidRPr="00276766">
        <w:rPr>
          <w:rFonts w:eastAsia="Times New Roman" w:cs="Times New Roman"/>
          <w:kern w:val="0"/>
          <w:sz w:val="20"/>
          <w:szCs w:val="20"/>
          <w:lang w:eastAsia="en-IN"/>
        </w:rPr>
        <w:t>, the prospect of improving cardiac implants using a dual-band wireless communication technology is investigated. This work was motivated by the need for implanted devices to possess wireless communication that is both more dependable and more durable</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9</w:t>
      </w:r>
      <w:r w:rsidR="00471164" w:rsidRPr="00276766">
        <w:rPr>
          <w:rFonts w:eastAsia="Times New Roman" w:cs="Times New Roman"/>
          <w:kern w:val="0"/>
          <w:sz w:val="20"/>
          <w:szCs w:val="20"/>
          <w:lang w:eastAsia="en-IN"/>
        </w:rPr>
        <w:t>]</w:t>
      </w:r>
      <w:r w:rsidRPr="00276766">
        <w:rPr>
          <w:rFonts w:eastAsia="Times New Roman" w:cs="Times New Roman"/>
          <w:kern w:val="0"/>
          <w:sz w:val="20"/>
          <w:szCs w:val="20"/>
          <w:lang w:eastAsia="en-IN"/>
        </w:rPr>
        <w:t>. Dual-band technologies let systems utilize two frequency spectrums—usually 2.4 GHz and a sub-GHz band simultaneously</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10</w:t>
      </w:r>
      <w:r w:rsidR="00471164" w:rsidRPr="00276766">
        <w:rPr>
          <w:rFonts w:eastAsia="Times New Roman" w:cs="Times New Roman"/>
          <w:kern w:val="0"/>
          <w:sz w:val="20"/>
          <w:szCs w:val="20"/>
          <w:lang w:eastAsia="en-IN"/>
        </w:rPr>
        <w:t>]</w:t>
      </w:r>
      <w:r w:rsidRPr="00276766">
        <w:rPr>
          <w:rFonts w:eastAsia="Times New Roman" w:cs="Times New Roman"/>
          <w:kern w:val="0"/>
          <w:sz w:val="20"/>
          <w:szCs w:val="20"/>
          <w:lang w:eastAsia="en-IN"/>
        </w:rPr>
        <w:t xml:space="preserve">. </w:t>
      </w:r>
      <w:r w:rsidR="006870BF" w:rsidRPr="00276766">
        <w:rPr>
          <w:rFonts w:eastAsia="Times New Roman" w:cs="Times New Roman"/>
          <w:kern w:val="0"/>
          <w:sz w:val="20"/>
          <w:szCs w:val="20"/>
          <w:lang w:eastAsia="en-IN"/>
        </w:rPr>
        <w:t xml:space="preserve">Better ways of range management, interference reduction, and simultaneous transmission of many data streams as well are made possible here. Given the relevance of cardiac </w:t>
      </w:r>
      <w:r w:rsidR="006870BF" w:rsidRPr="00276766">
        <w:rPr>
          <w:rFonts w:eastAsia="Times New Roman" w:cs="Times New Roman"/>
          <w:kern w:val="0"/>
          <w:sz w:val="20"/>
          <w:szCs w:val="20"/>
          <w:lang w:eastAsia="en-IN"/>
        </w:rPr>
        <w:lastRenderedPageBreak/>
        <w:t>applications, it is of considerable need to have both redundancy and flexibility to enable continuous monitoring and sufficient response times [</w:t>
      </w:r>
      <w:r w:rsidR="003E2078">
        <w:rPr>
          <w:rFonts w:eastAsia="Times New Roman" w:cs="Times New Roman"/>
          <w:kern w:val="0"/>
          <w:sz w:val="20"/>
          <w:szCs w:val="20"/>
          <w:lang w:eastAsia="en-IN"/>
        </w:rPr>
        <w:t>11</w:t>
      </w:r>
      <w:r w:rsidR="006870BF" w:rsidRPr="00276766">
        <w:rPr>
          <w:rFonts w:eastAsia="Times New Roman" w:cs="Times New Roman"/>
          <w:kern w:val="0"/>
          <w:sz w:val="20"/>
          <w:szCs w:val="20"/>
          <w:lang w:eastAsia="en-IN"/>
        </w:rPr>
        <w:t>]</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12</w:t>
      </w:r>
      <w:r w:rsidR="00471164" w:rsidRPr="00276766">
        <w:rPr>
          <w:rFonts w:eastAsia="Times New Roman" w:cs="Times New Roman"/>
          <w:kern w:val="0"/>
          <w:sz w:val="20"/>
          <w:szCs w:val="20"/>
          <w:lang w:eastAsia="en-IN"/>
        </w:rPr>
        <w:t>]</w:t>
      </w:r>
      <w:r w:rsidR="006870BF" w:rsidRPr="00276766">
        <w:rPr>
          <w:rFonts w:eastAsia="Times New Roman" w:cs="Times New Roman"/>
          <w:kern w:val="0"/>
          <w:sz w:val="20"/>
          <w:szCs w:val="20"/>
          <w:lang w:eastAsia="en-IN"/>
        </w:rPr>
        <w:t>. The paper authentically reproduces and investigates the functionality of this communication system integrated into cardiac implants in the real world using a method called H-LT</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13</w:t>
      </w:r>
      <w:r w:rsidR="00471164" w:rsidRPr="00276766">
        <w:rPr>
          <w:rFonts w:eastAsia="Times New Roman" w:cs="Times New Roman"/>
          <w:kern w:val="0"/>
          <w:sz w:val="20"/>
          <w:szCs w:val="20"/>
          <w:lang w:eastAsia="en-IN"/>
        </w:rPr>
        <w:t>]</w:t>
      </w:r>
      <w:r w:rsidR="006870BF" w:rsidRPr="00276766">
        <w:rPr>
          <w:rFonts w:eastAsia="Times New Roman" w:cs="Times New Roman"/>
          <w:kern w:val="0"/>
          <w:sz w:val="20"/>
          <w:szCs w:val="20"/>
          <w:lang w:eastAsia="en-IN"/>
        </w:rPr>
        <w:t>. Real-time hardware component testing is feasible under dynamic and realistic settings depending on which closes the gap between software simulation and actual implementation correspondingly. It is possible because H-LT closes the two's gap</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14</w:t>
      </w:r>
      <w:r w:rsidR="00471164" w:rsidRPr="00276766">
        <w:rPr>
          <w:rFonts w:eastAsia="Times New Roman" w:cs="Times New Roman"/>
          <w:kern w:val="0"/>
          <w:sz w:val="20"/>
          <w:szCs w:val="20"/>
          <w:lang w:eastAsia="en-IN"/>
        </w:rPr>
        <w:t>]</w:t>
      </w:r>
      <w:r w:rsidR="006870BF" w:rsidRPr="00276766">
        <w:rPr>
          <w:rFonts w:eastAsia="Times New Roman" w:cs="Times New Roman"/>
          <w:kern w:val="0"/>
          <w:sz w:val="20"/>
          <w:szCs w:val="20"/>
          <w:lang w:eastAsia="en-IN"/>
        </w:rPr>
        <w:t>. This method lets engineers assess the implant's effectiveness in many physiological and network environments without compromising patient safety or incurring significant testing costs. The design permitting easy testing makes this possible</w:t>
      </w:r>
      <w:r w:rsidR="00471164" w:rsidRPr="00276766">
        <w:rPr>
          <w:rFonts w:eastAsia="Times New Roman" w:cs="Times New Roman"/>
          <w:kern w:val="0"/>
          <w:sz w:val="20"/>
          <w:szCs w:val="20"/>
          <w:lang w:eastAsia="en-IN"/>
        </w:rPr>
        <w:t xml:space="preserve"> [</w:t>
      </w:r>
      <w:r w:rsidR="003E2078">
        <w:rPr>
          <w:rFonts w:eastAsia="Times New Roman" w:cs="Times New Roman"/>
          <w:kern w:val="0"/>
          <w:sz w:val="20"/>
          <w:szCs w:val="20"/>
          <w:lang w:eastAsia="en-IN"/>
        </w:rPr>
        <w:t>15</w:t>
      </w:r>
      <w:r w:rsidR="00471164" w:rsidRPr="00276766">
        <w:rPr>
          <w:rFonts w:eastAsia="Times New Roman" w:cs="Times New Roman"/>
          <w:kern w:val="0"/>
          <w:sz w:val="20"/>
          <w:szCs w:val="20"/>
          <w:lang w:eastAsia="en-IN"/>
        </w:rPr>
        <w:t>]</w:t>
      </w:r>
      <w:r w:rsidRPr="00276766">
        <w:rPr>
          <w:rFonts w:eastAsia="Times New Roman" w:cs="Times New Roman"/>
          <w:kern w:val="0"/>
          <w:sz w:val="20"/>
          <w:szCs w:val="20"/>
          <w:lang w:eastAsia="en-IN"/>
        </w:rPr>
        <w:t xml:space="preserve">. </w:t>
      </w:r>
    </w:p>
    <w:p w14:paraId="5C49A350" w14:textId="5153CE0A" w:rsidR="006625BE" w:rsidRPr="00276766" w:rsidRDefault="006625BE" w:rsidP="00276766">
      <w:pPr>
        <w:spacing w:after="120" w:line="228" w:lineRule="auto"/>
        <w:ind w:firstLine="288"/>
        <w:rPr>
          <w:rFonts w:cs="Times New Roman"/>
          <w:b/>
          <w:sz w:val="20"/>
          <w:szCs w:val="20"/>
        </w:rPr>
      </w:pPr>
      <w:r w:rsidRPr="00276766">
        <w:rPr>
          <w:rFonts w:cs="Times New Roman"/>
          <w:b/>
          <w:sz w:val="20"/>
          <w:szCs w:val="20"/>
        </w:rPr>
        <w:t xml:space="preserve">Motivation: </w:t>
      </w:r>
      <w:r w:rsidR="00ED21E6" w:rsidRPr="00276766">
        <w:rPr>
          <w:rFonts w:cs="Times New Roman"/>
          <w:sz w:val="20"/>
          <w:szCs w:val="20"/>
        </w:rPr>
        <w:t>There is a growing need for communication in cardiac implants that is both real-time and reliable. This demand is a direct result of the rising prevalence of remote patient monitoring and individualized medical treatment. Both in terms of bandwidth and range, as well as resilience to interference and interference, the single-band wireless systems that are now in use have their strengths and weaknesses. It is possible that the upgrading of these implants with dual-band communication, which is supported by Hardware-in-the-Loop Testing, might be a viable avenue for the improvement of patient safety, the optimization of device performance, and the progress of intelligent healthcare technology</w:t>
      </w:r>
      <w:r w:rsidR="003E2078">
        <w:rPr>
          <w:rFonts w:cs="Times New Roman"/>
          <w:sz w:val="20"/>
          <w:szCs w:val="20"/>
        </w:rPr>
        <w:t xml:space="preserve"> </w:t>
      </w:r>
      <w:r w:rsidR="006671C7" w:rsidRPr="00276766">
        <w:rPr>
          <w:rFonts w:cs="Times New Roman"/>
          <w:sz w:val="20"/>
          <w:szCs w:val="20"/>
        </w:rPr>
        <w:t>[</w:t>
      </w:r>
      <w:r w:rsidR="003E2078">
        <w:rPr>
          <w:rFonts w:cs="Times New Roman"/>
          <w:sz w:val="20"/>
          <w:szCs w:val="20"/>
        </w:rPr>
        <w:t>1</w:t>
      </w:r>
      <w:r w:rsidR="006671C7" w:rsidRPr="00276766">
        <w:rPr>
          <w:rFonts w:cs="Times New Roman"/>
          <w:sz w:val="20"/>
          <w:szCs w:val="20"/>
        </w:rPr>
        <w:t>6]</w:t>
      </w:r>
      <w:r w:rsidR="00ED21E6" w:rsidRPr="00276766">
        <w:rPr>
          <w:rFonts w:cs="Times New Roman"/>
          <w:sz w:val="20"/>
          <w:szCs w:val="20"/>
        </w:rPr>
        <w:t>.</w:t>
      </w:r>
    </w:p>
    <w:p w14:paraId="100B2369" w14:textId="77777777" w:rsidR="006625BE" w:rsidRPr="00276766" w:rsidRDefault="006625BE" w:rsidP="00276766">
      <w:pPr>
        <w:spacing w:after="120" w:line="228" w:lineRule="auto"/>
        <w:ind w:firstLine="288"/>
        <w:rPr>
          <w:rFonts w:cs="Times New Roman"/>
          <w:b/>
          <w:sz w:val="20"/>
          <w:szCs w:val="20"/>
        </w:rPr>
      </w:pPr>
      <w:r w:rsidRPr="00276766">
        <w:rPr>
          <w:rFonts w:cs="Times New Roman"/>
          <w:b/>
          <w:sz w:val="20"/>
          <w:szCs w:val="20"/>
        </w:rPr>
        <w:t xml:space="preserve">Problem statement: </w:t>
      </w:r>
      <w:r w:rsidR="00ED21E6" w:rsidRPr="00276766">
        <w:rPr>
          <w:rFonts w:cs="Times New Roman"/>
          <w:sz w:val="20"/>
          <w:szCs w:val="20"/>
        </w:rPr>
        <w:t>Existing implanted cardiac devices run into difficulties when it comes to maintaining stable communication because of the limits that are imposed by single-band wireless networks. Because of this, there is a possibility that data could be lost, and the treatment response will be delayed. These issues are of utmost significance in environments that need a significant amount of intervention, such as hospitals. There is an immediate need for a communication architecture that is more durable in order to ensure continuous and trustworthy health monitoring while also allowing for extensive testing in real time under dynamic cardiac situations. This is a need that must be met.</w:t>
      </w:r>
    </w:p>
    <w:p w14:paraId="165A237A" w14:textId="77777777" w:rsidR="006625BE" w:rsidRPr="00276766" w:rsidRDefault="006625BE" w:rsidP="00276766">
      <w:pPr>
        <w:spacing w:after="120" w:line="228" w:lineRule="auto"/>
        <w:ind w:firstLine="288"/>
        <w:rPr>
          <w:rFonts w:cs="Times New Roman"/>
          <w:b/>
          <w:sz w:val="20"/>
          <w:szCs w:val="20"/>
        </w:rPr>
      </w:pPr>
      <w:r w:rsidRPr="00276766">
        <w:rPr>
          <w:rFonts w:cs="Times New Roman"/>
          <w:b/>
          <w:sz w:val="20"/>
          <w:szCs w:val="20"/>
        </w:rPr>
        <w:t>Contribution of this paper,</w:t>
      </w:r>
    </w:p>
    <w:p w14:paraId="1B0FB8DE" w14:textId="77777777" w:rsidR="003B438B" w:rsidRPr="00276766" w:rsidRDefault="003B438B" w:rsidP="00E9577D">
      <w:pPr>
        <w:pStyle w:val="ListParagraph"/>
        <w:numPr>
          <w:ilvl w:val="0"/>
          <w:numId w:val="8"/>
        </w:numPr>
        <w:spacing w:after="120" w:line="228" w:lineRule="auto"/>
        <w:contextualSpacing w:val="0"/>
        <w:rPr>
          <w:rFonts w:cs="Times New Roman"/>
          <w:b/>
          <w:sz w:val="20"/>
          <w:szCs w:val="20"/>
        </w:rPr>
      </w:pPr>
      <w:r w:rsidRPr="00276766">
        <w:rPr>
          <w:rFonts w:cs="Times New Roman"/>
          <w:sz w:val="20"/>
          <w:szCs w:val="20"/>
        </w:rPr>
        <w:t xml:space="preserve">Even in extremely interference-prone environments, cardiac implanted devices may transfer data more effectively and consistently with the inclusion of dual-band wireless communication. </w:t>
      </w:r>
    </w:p>
    <w:p w14:paraId="4533E34E" w14:textId="77777777" w:rsidR="003B438B" w:rsidRPr="00276766" w:rsidRDefault="003B438B" w:rsidP="00E9577D">
      <w:pPr>
        <w:pStyle w:val="ListParagraph"/>
        <w:numPr>
          <w:ilvl w:val="0"/>
          <w:numId w:val="8"/>
        </w:numPr>
        <w:spacing w:after="120" w:line="228" w:lineRule="auto"/>
        <w:contextualSpacing w:val="0"/>
        <w:rPr>
          <w:rFonts w:cs="Times New Roman"/>
          <w:b/>
          <w:sz w:val="20"/>
          <w:szCs w:val="20"/>
        </w:rPr>
      </w:pPr>
      <w:r w:rsidRPr="00276766">
        <w:rPr>
          <w:rFonts w:cs="Times New Roman"/>
          <w:sz w:val="20"/>
          <w:szCs w:val="20"/>
        </w:rPr>
        <w:t xml:space="preserve">This effort aims to develop and run an H-LT framework able to replicate and test cardiac implant systems in real-time under varying physiological conditions. </w:t>
      </w:r>
    </w:p>
    <w:p w14:paraId="72A40C30" w14:textId="77777777" w:rsidR="003B438B" w:rsidRPr="00276766" w:rsidRDefault="003B438B" w:rsidP="00E9577D">
      <w:pPr>
        <w:pStyle w:val="ListParagraph"/>
        <w:numPr>
          <w:ilvl w:val="0"/>
          <w:numId w:val="8"/>
        </w:numPr>
        <w:spacing w:after="120" w:line="228" w:lineRule="auto"/>
        <w:contextualSpacing w:val="0"/>
        <w:rPr>
          <w:rFonts w:cs="Times New Roman"/>
          <w:b/>
          <w:sz w:val="20"/>
          <w:szCs w:val="20"/>
        </w:rPr>
      </w:pPr>
      <w:r w:rsidRPr="00276766">
        <w:rPr>
          <w:rFonts w:cs="Times New Roman"/>
          <w:sz w:val="20"/>
          <w:szCs w:val="20"/>
        </w:rPr>
        <w:t>Data integrity, latency, and adaptability of the proposed system should be tested in order to confirm that it can improve continuous heart health monitoring and provide safe, continuous operation in high-stakes healthcare environments.</w:t>
      </w:r>
    </w:p>
    <w:p w14:paraId="1A747A03" w14:textId="77777777" w:rsidR="008F4159" w:rsidRPr="00E9577D" w:rsidRDefault="008F4159" w:rsidP="00AC092D">
      <w:pPr>
        <w:spacing w:after="120" w:line="228" w:lineRule="auto"/>
        <w:jc w:val="center"/>
        <w:rPr>
          <w:rFonts w:cs="Times New Roman"/>
          <w:bCs/>
          <w:sz w:val="16"/>
          <w:szCs w:val="16"/>
        </w:rPr>
      </w:pPr>
      <w:r w:rsidRPr="00E9577D">
        <w:rPr>
          <w:rFonts w:cs="Times New Roman"/>
          <w:bCs/>
          <w:noProof/>
          <w:sz w:val="16"/>
          <w:szCs w:val="16"/>
          <w:lang w:eastAsia="en-IN"/>
        </w:rPr>
        <w:drawing>
          <wp:inline distT="0" distB="0" distL="0" distR="0" wp14:anchorId="2B57CDC9" wp14:editId="3F6146F8">
            <wp:extent cx="3058168" cy="2317898"/>
            <wp:effectExtent l="0" t="0" r="8890" b="6350"/>
            <wp:docPr id="1" name="Picture 1" descr="C:\Users\Sagar\Downloads\paper 4 apr23-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4 apr23-Page-2.drawio.png"/>
                    <pic:cNvPicPr>
                      <a:picLocks noChangeAspect="1" noChangeArrowheads="1"/>
                    </pic:cNvPicPr>
                  </pic:nvPicPr>
                  <pic:blipFill>
                    <a:blip r:embed="rId5"/>
                    <a:srcRect/>
                    <a:stretch>
                      <a:fillRect/>
                    </a:stretch>
                  </pic:blipFill>
                  <pic:spPr bwMode="auto">
                    <a:xfrm>
                      <a:off x="0" y="0"/>
                      <a:ext cx="3066136" cy="2323937"/>
                    </a:xfrm>
                    <a:prstGeom prst="rect">
                      <a:avLst/>
                    </a:prstGeom>
                    <a:noFill/>
                    <a:ln w="9525">
                      <a:noFill/>
                      <a:miter lim="800000"/>
                      <a:headEnd/>
                      <a:tailEnd/>
                    </a:ln>
                  </pic:spPr>
                </pic:pic>
              </a:graphicData>
            </a:graphic>
          </wp:inline>
        </w:drawing>
      </w:r>
    </w:p>
    <w:p w14:paraId="01798036" w14:textId="77777777" w:rsidR="006625BE" w:rsidRPr="00E9577D" w:rsidRDefault="006625BE" w:rsidP="00E9577D">
      <w:pPr>
        <w:spacing w:after="120" w:line="228" w:lineRule="auto"/>
        <w:rPr>
          <w:rFonts w:cs="Times New Roman"/>
          <w:bCs/>
          <w:sz w:val="16"/>
          <w:szCs w:val="16"/>
        </w:rPr>
      </w:pPr>
      <w:r w:rsidRPr="00E9577D">
        <w:rPr>
          <w:rFonts w:cs="Times New Roman"/>
          <w:bCs/>
          <w:sz w:val="16"/>
          <w:szCs w:val="16"/>
        </w:rPr>
        <w:t xml:space="preserve">Figure 1: </w:t>
      </w:r>
      <w:r w:rsidR="007837A3" w:rsidRPr="00E9577D">
        <w:rPr>
          <w:rFonts w:cs="Times New Roman"/>
          <w:bCs/>
          <w:sz w:val="16"/>
          <w:szCs w:val="16"/>
        </w:rPr>
        <w:t>Hardware-in-the-Loop Testing for Cardiac Implants</w:t>
      </w:r>
    </w:p>
    <w:p w14:paraId="2D385728" w14:textId="77777777" w:rsidR="007837A3" w:rsidRPr="00276766" w:rsidRDefault="007837A3" w:rsidP="00276766">
      <w:pPr>
        <w:spacing w:after="120" w:line="228" w:lineRule="auto"/>
        <w:ind w:firstLine="288"/>
        <w:rPr>
          <w:rFonts w:cs="Times New Roman"/>
          <w:b/>
          <w:bCs/>
          <w:sz w:val="20"/>
          <w:szCs w:val="20"/>
        </w:rPr>
      </w:pPr>
      <w:r w:rsidRPr="00276766">
        <w:rPr>
          <w:rFonts w:cs="Times New Roman"/>
          <w:sz w:val="20"/>
          <w:szCs w:val="20"/>
        </w:rPr>
        <w:t>Figure 1 depicts the H-LT architecture without engaging invasive clinical trials, reproducing heart signals to test cardiac implants in real-time, therefore ensuring consistent data transmission and performance validation.</w:t>
      </w:r>
    </w:p>
    <w:p w14:paraId="65747491" w14:textId="77777777" w:rsidR="006625BE" w:rsidRPr="00276766" w:rsidRDefault="006625BE" w:rsidP="00276766">
      <w:pPr>
        <w:spacing w:after="120" w:line="228" w:lineRule="auto"/>
        <w:ind w:firstLine="288"/>
        <w:rPr>
          <w:rFonts w:cs="Times New Roman"/>
          <w:sz w:val="20"/>
          <w:szCs w:val="20"/>
        </w:rPr>
      </w:pPr>
      <w:r w:rsidRPr="00276766">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3FA8DE9E" w14:textId="69147EA7" w:rsidR="006625BE" w:rsidRPr="006B043D" w:rsidRDefault="006625BE" w:rsidP="006B043D">
      <w:pPr>
        <w:pStyle w:val="Heading1"/>
        <w:numPr>
          <w:ilvl w:val="0"/>
          <w:numId w:val="6"/>
        </w:numPr>
        <w:tabs>
          <w:tab w:val="left" w:pos="216"/>
        </w:tabs>
        <w:spacing w:before="160" w:line="240" w:lineRule="auto"/>
        <w:ind w:left="0" w:firstLine="0"/>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 xml:space="preserve">Related </w:t>
      </w:r>
      <w:r w:rsidR="006B043D" w:rsidRPr="006B043D">
        <w:rPr>
          <w:rFonts w:eastAsia="SimSun" w:cs="Times New Roman"/>
          <w:smallCaps/>
          <w:noProof/>
          <w:color w:val="auto"/>
          <w:kern w:val="0"/>
          <w:sz w:val="20"/>
          <w:szCs w:val="20"/>
          <w:lang w:val="en-US"/>
        </w:rPr>
        <w:t>Work</w:t>
      </w:r>
    </w:p>
    <w:p w14:paraId="4C711FD3" w14:textId="77777777" w:rsidR="00CF5A35" w:rsidRPr="00276766" w:rsidRDefault="00CF5A35" w:rsidP="00276766">
      <w:pPr>
        <w:pStyle w:val="NormalWeb"/>
        <w:spacing w:before="0" w:beforeAutospacing="0" w:after="120" w:afterAutospacing="0" w:line="228" w:lineRule="auto"/>
        <w:ind w:firstLine="288"/>
        <w:rPr>
          <w:sz w:val="20"/>
          <w:szCs w:val="20"/>
        </w:rPr>
      </w:pPr>
      <w:r w:rsidRPr="00276766">
        <w:rPr>
          <w:sz w:val="20"/>
          <w:szCs w:val="20"/>
        </w:rPr>
        <w:t>Remote patient management and real-time physiological monitoring made possible by implanted medical devices (IMDs) are revolutionizing healthcare. Modern antenna designs and wireless communication techniques are vital if we are to improve the dependability and efficiency of these systems. Four sophisticated dual-band implantable technologies—each with special solutions including compact design, circular polarization, microwave backscattering, and integrated rectenna systems—are compared here. These techniques open the path for more responsive, energy-efficient, biocompatible healthcare implants by aiming to enhance data transfer, power delivery, and patient safety.</w:t>
      </w:r>
    </w:p>
    <w:p w14:paraId="2ADEC5FC" w14:textId="7D5C9BE4" w:rsidR="00CF5A35" w:rsidRPr="00276766" w:rsidRDefault="00CF5A35" w:rsidP="00276766">
      <w:pPr>
        <w:pStyle w:val="NormalWeb"/>
        <w:spacing w:before="0" w:beforeAutospacing="0" w:after="120" w:afterAutospacing="0" w:line="228" w:lineRule="auto"/>
        <w:ind w:firstLine="288"/>
        <w:rPr>
          <w:sz w:val="20"/>
          <w:szCs w:val="20"/>
        </w:rPr>
      </w:pPr>
      <w:r w:rsidRPr="00276766">
        <w:rPr>
          <w:sz w:val="20"/>
          <w:szCs w:val="20"/>
        </w:rPr>
        <w:t>Operating at 1.4–2.45 GHz, this work offers a small dual-band circularly polarized (CP) implanted antenna intended for Wireless Medical Telemetry Service (WMTS) and Industrial, Scientific, and Medical (ISM) bands [</w:t>
      </w:r>
      <w:r w:rsidR="003E2078">
        <w:rPr>
          <w:sz w:val="20"/>
          <w:szCs w:val="20"/>
        </w:rPr>
        <w:t>1</w:t>
      </w:r>
      <w:r w:rsidRPr="00276766">
        <w:rPr>
          <w:sz w:val="20"/>
          <w:szCs w:val="20"/>
        </w:rPr>
        <w:t>7]. The suggested approach achieves right-hand circular polarization (RHCP) by loading symmetric meandering slots and short-pins, therefore lowering the antenna size to 8.8×8.8×0.508 mm³. Integrated into a biocompatible shell with battery and control electronics, the antenna showed high gain performance in heterogeneous tissue phantoms. It also shown very little frequency change throughout many body compositions. SAR study verified adherence to IEEE safety standards, therefore verifying its use for biological telemetry.</w:t>
      </w:r>
    </w:p>
    <w:p w14:paraId="3F5E1057" w14:textId="5C15B87B" w:rsidR="00CF5A35" w:rsidRPr="00276766" w:rsidRDefault="00CF5A35" w:rsidP="00276766">
      <w:pPr>
        <w:pStyle w:val="NormalWeb"/>
        <w:spacing w:before="0" w:beforeAutospacing="0" w:after="120" w:afterAutospacing="0" w:line="228" w:lineRule="auto"/>
        <w:ind w:firstLine="288"/>
        <w:rPr>
          <w:sz w:val="20"/>
          <w:szCs w:val="20"/>
        </w:rPr>
      </w:pPr>
      <w:r w:rsidRPr="00276766">
        <w:rPr>
          <w:sz w:val="20"/>
          <w:szCs w:val="20"/>
        </w:rPr>
        <w:t>This work presents a data communication system for remote patient monitoring along with a comprehensive wireless power transfer (WPT). An implantable dual-band Rx antenna (915/2450 MHz), a high-efficiency rectifier, and an external Tx antenna are suggested to be integrated. With a 58.9 mm¹ dimension, the Rx antenna helps to simultaneously receive data and power. High efficiency (82%) and communication reliability up to two meters are confirmed by simulations and prac</w:t>
      </w:r>
      <w:r w:rsidR="003E2078">
        <w:rPr>
          <w:sz w:val="20"/>
          <w:szCs w:val="20"/>
        </w:rPr>
        <w:t>tical tests in tissue phantoms</w:t>
      </w:r>
      <w:r w:rsidRPr="00276766">
        <w:rPr>
          <w:sz w:val="20"/>
          <w:szCs w:val="20"/>
        </w:rPr>
        <w:t xml:space="preserve">. Analyzes of temperature and SAR confirm safety. By means of a </w:t>
      </w:r>
      <w:r w:rsidRPr="00276766">
        <w:rPr>
          <w:sz w:val="20"/>
          <w:szCs w:val="20"/>
        </w:rPr>
        <w:lastRenderedPageBreak/>
        <w:t>robust, effective wireless power and data connection for long-term implanted biomedical equipment, the system greatly improves remote monitoring.</w:t>
      </w:r>
    </w:p>
    <w:p w14:paraId="16A5B180" w14:textId="40AE931C" w:rsidR="00CF5A35" w:rsidRPr="00276766" w:rsidRDefault="00CF5A35" w:rsidP="00276766">
      <w:pPr>
        <w:pStyle w:val="NormalWeb"/>
        <w:spacing w:before="0" w:beforeAutospacing="0" w:after="120" w:afterAutospacing="0" w:line="228" w:lineRule="auto"/>
        <w:ind w:firstLine="288"/>
        <w:rPr>
          <w:sz w:val="20"/>
          <w:szCs w:val="20"/>
        </w:rPr>
      </w:pPr>
      <w:r w:rsidRPr="00276766">
        <w:rPr>
          <w:sz w:val="20"/>
          <w:szCs w:val="20"/>
        </w:rPr>
        <w:t>This paper presents a new dual-band implantable antenna for microwave backscattering with operating frequencies of 4.8 GHz (reflected signal) and 2.4 GHz (incoming signal). Reaching compactness at 8.5×8.5×1.27 mm¹, the suggested approach consists of a tiny rectangular patch antenna devoid of vias or ground slots [</w:t>
      </w:r>
      <w:r w:rsidR="003E2078">
        <w:rPr>
          <w:sz w:val="20"/>
          <w:szCs w:val="20"/>
        </w:rPr>
        <w:t>18</w:t>
      </w:r>
      <w:r w:rsidRPr="00276766">
        <w:rPr>
          <w:sz w:val="20"/>
          <w:szCs w:val="20"/>
        </w:rPr>
        <w:t>]. Verified by phantom testing and CST simulations, the antenna guarantees low SAR and consistent gain in multi-layered human tissue models, therefore ensuring safe operation. Where space, efficiency, and patient safety are paramount in battery-free implantable medical applications, its dual-band performance and completely passive operation make it a reasonable alternative.</w:t>
      </w:r>
    </w:p>
    <w:p w14:paraId="6D973172" w14:textId="48532744" w:rsidR="00CF5A35" w:rsidRPr="00276766" w:rsidRDefault="00CF5A35" w:rsidP="00276766">
      <w:pPr>
        <w:pStyle w:val="NormalWeb"/>
        <w:spacing w:before="0" w:beforeAutospacing="0" w:after="120" w:afterAutospacing="0" w:line="228" w:lineRule="auto"/>
        <w:ind w:firstLine="288"/>
        <w:rPr>
          <w:sz w:val="20"/>
          <w:szCs w:val="20"/>
        </w:rPr>
      </w:pPr>
      <w:r w:rsidRPr="00276766">
        <w:rPr>
          <w:sz w:val="20"/>
          <w:szCs w:val="20"/>
        </w:rPr>
        <w:t>This paper presents a fully integrated dual-band implanted rectenna device for Wireless Medical Telemetry Service (WMTS) and ISM bands utilizing a new tunnel diode and small antenna. Integrated with a tiny folded dipole antenna (1×4.5×0.63 mm), the suggested approach comprises a Quantum Well Asymmetric Spacer Tunnel Layer (QW-ASPAT) diode for RF–DC conversion. In a four-layer human tissue model, the antenna provides large impedance bandwidths and adequate gain operating at 1.5 GHz and 5.8 GHz [</w:t>
      </w:r>
      <w:r w:rsidR="003E2078">
        <w:rPr>
          <w:sz w:val="20"/>
          <w:szCs w:val="20"/>
        </w:rPr>
        <w:t>19</w:t>
      </w:r>
      <w:r w:rsidRPr="00276766">
        <w:rPr>
          <w:sz w:val="20"/>
          <w:szCs w:val="20"/>
        </w:rPr>
        <w:t>]. The two-stage voltage doubler rectifier twice the output power, hence improving wireless power transmission in implants. Performance measures and SAR help to confirm its biomedical feasibility</w:t>
      </w:r>
      <w:r w:rsidR="003E2078">
        <w:rPr>
          <w:sz w:val="20"/>
          <w:szCs w:val="20"/>
        </w:rPr>
        <w:t xml:space="preserve"> [20]</w:t>
      </w:r>
      <w:r w:rsidRPr="00276766">
        <w:rPr>
          <w:sz w:val="20"/>
          <w:szCs w:val="20"/>
        </w:rPr>
        <w:t>.</w:t>
      </w:r>
    </w:p>
    <w:p w14:paraId="5C50DA39" w14:textId="77777777" w:rsidR="006625BE" w:rsidRPr="00E9577D" w:rsidRDefault="006625BE"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Table 1: The Comparison of Exiting Methods</w:t>
      </w:r>
    </w:p>
    <w:tbl>
      <w:tblPr>
        <w:tblStyle w:val="TableGrid"/>
        <w:tblW w:w="0" w:type="auto"/>
        <w:tblLook w:val="04A0" w:firstRow="1" w:lastRow="0" w:firstColumn="1" w:lastColumn="0" w:noHBand="0" w:noVBand="1"/>
      </w:tblPr>
      <w:tblGrid>
        <w:gridCol w:w="418"/>
        <w:gridCol w:w="1373"/>
        <w:gridCol w:w="1576"/>
        <w:gridCol w:w="1490"/>
      </w:tblGrid>
      <w:tr w:rsidR="00276766" w:rsidRPr="00AC092D" w14:paraId="39F43B00" w14:textId="77777777" w:rsidTr="00AC092D">
        <w:tc>
          <w:tcPr>
            <w:tcW w:w="0" w:type="auto"/>
          </w:tcPr>
          <w:p w14:paraId="24D0A7A2" w14:textId="77777777" w:rsidR="006625BE" w:rsidRPr="00AC092D" w:rsidRDefault="006625BE" w:rsidP="00AC092D">
            <w:pPr>
              <w:pStyle w:val="NormalWeb"/>
              <w:spacing w:before="0" w:beforeAutospacing="0" w:after="0" w:afterAutospacing="0"/>
              <w:jc w:val="left"/>
              <w:rPr>
                <w:b/>
                <w:bCs/>
                <w:sz w:val="16"/>
                <w:szCs w:val="16"/>
              </w:rPr>
            </w:pPr>
            <w:r w:rsidRPr="00AC092D">
              <w:rPr>
                <w:b/>
                <w:bCs/>
                <w:sz w:val="16"/>
                <w:szCs w:val="16"/>
              </w:rPr>
              <w:t>S. No</w:t>
            </w:r>
          </w:p>
        </w:tc>
        <w:tc>
          <w:tcPr>
            <w:tcW w:w="0" w:type="auto"/>
          </w:tcPr>
          <w:p w14:paraId="73BBAD0B" w14:textId="77777777" w:rsidR="006625BE" w:rsidRPr="00AC092D" w:rsidRDefault="006625BE" w:rsidP="00AC092D">
            <w:pPr>
              <w:pStyle w:val="NormalWeb"/>
              <w:spacing w:before="0" w:beforeAutospacing="0" w:after="0" w:afterAutospacing="0"/>
              <w:jc w:val="left"/>
              <w:rPr>
                <w:b/>
                <w:bCs/>
                <w:sz w:val="16"/>
                <w:szCs w:val="16"/>
              </w:rPr>
            </w:pPr>
            <w:r w:rsidRPr="00AC092D">
              <w:rPr>
                <w:b/>
                <w:bCs/>
                <w:sz w:val="16"/>
                <w:szCs w:val="16"/>
              </w:rPr>
              <w:t>Methods</w:t>
            </w:r>
          </w:p>
        </w:tc>
        <w:tc>
          <w:tcPr>
            <w:tcW w:w="0" w:type="auto"/>
          </w:tcPr>
          <w:p w14:paraId="01EA6BDF" w14:textId="77777777" w:rsidR="006625BE" w:rsidRPr="00AC092D" w:rsidRDefault="006625BE" w:rsidP="00AC092D">
            <w:pPr>
              <w:pStyle w:val="NormalWeb"/>
              <w:spacing w:before="0" w:beforeAutospacing="0" w:after="0" w:afterAutospacing="0"/>
              <w:jc w:val="left"/>
              <w:rPr>
                <w:b/>
                <w:bCs/>
                <w:sz w:val="16"/>
                <w:szCs w:val="16"/>
              </w:rPr>
            </w:pPr>
            <w:r w:rsidRPr="00AC092D">
              <w:rPr>
                <w:b/>
                <w:bCs/>
                <w:sz w:val="16"/>
                <w:szCs w:val="16"/>
              </w:rPr>
              <w:t>Advantages</w:t>
            </w:r>
          </w:p>
        </w:tc>
        <w:tc>
          <w:tcPr>
            <w:tcW w:w="0" w:type="auto"/>
          </w:tcPr>
          <w:p w14:paraId="1938FAA5" w14:textId="77777777" w:rsidR="006625BE" w:rsidRPr="00AC092D" w:rsidRDefault="006625BE" w:rsidP="00AC092D">
            <w:pPr>
              <w:pStyle w:val="NormalWeb"/>
              <w:spacing w:before="0" w:beforeAutospacing="0" w:after="0" w:afterAutospacing="0"/>
              <w:jc w:val="left"/>
              <w:rPr>
                <w:b/>
                <w:bCs/>
                <w:sz w:val="16"/>
                <w:szCs w:val="16"/>
              </w:rPr>
            </w:pPr>
            <w:r w:rsidRPr="00AC092D">
              <w:rPr>
                <w:b/>
                <w:bCs/>
                <w:sz w:val="16"/>
                <w:szCs w:val="16"/>
              </w:rPr>
              <w:t>Limitations</w:t>
            </w:r>
          </w:p>
        </w:tc>
      </w:tr>
      <w:tr w:rsidR="00276766" w:rsidRPr="00AC092D" w14:paraId="1C5CA5A2" w14:textId="77777777" w:rsidTr="00AC092D">
        <w:tc>
          <w:tcPr>
            <w:tcW w:w="0" w:type="auto"/>
          </w:tcPr>
          <w:p w14:paraId="69883C2D" w14:textId="77777777" w:rsidR="00CF5A35" w:rsidRPr="00AC092D" w:rsidRDefault="00CF5A35" w:rsidP="00AC092D">
            <w:pPr>
              <w:pStyle w:val="NormalWeb"/>
              <w:spacing w:before="0" w:beforeAutospacing="0" w:after="0" w:afterAutospacing="0"/>
              <w:jc w:val="left"/>
              <w:rPr>
                <w:sz w:val="16"/>
                <w:szCs w:val="16"/>
              </w:rPr>
            </w:pPr>
            <w:r w:rsidRPr="00AC092D">
              <w:rPr>
                <w:sz w:val="16"/>
                <w:szCs w:val="16"/>
              </w:rPr>
              <w:t>1</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276766" w:rsidRPr="00AC092D" w14:paraId="0E89912A" w14:textId="77777777" w:rsidTr="006F0E09">
              <w:trPr>
                <w:tblCellSpacing w:w="15" w:type="dxa"/>
              </w:trPr>
              <w:tc>
                <w:tcPr>
                  <w:tcW w:w="0" w:type="auto"/>
                  <w:vAlign w:val="center"/>
                  <w:hideMark/>
                </w:tcPr>
                <w:p w14:paraId="2A7967A3"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Compact dual-band CP antenna with meandering slots &amp; short-pins</w:t>
                  </w:r>
                </w:p>
              </w:tc>
            </w:tr>
          </w:tbl>
          <w:p w14:paraId="4E92AD88"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0"/>
            </w:tblGrid>
            <w:tr w:rsidR="00276766" w:rsidRPr="00AC092D" w14:paraId="73A51CDB" w14:textId="77777777" w:rsidTr="006F0E09">
              <w:trPr>
                <w:tblCellSpacing w:w="15" w:type="dxa"/>
              </w:trPr>
              <w:tc>
                <w:tcPr>
                  <w:tcW w:w="0" w:type="auto"/>
                  <w:vAlign w:val="center"/>
                  <w:hideMark/>
                </w:tcPr>
                <w:p w14:paraId="6C1819DD"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Miniaturized design (8.8×8.8×0.508 mm³), supports circular polarization, validated SAR compliance, good gain in tissue phantoms</w:t>
                  </w:r>
                </w:p>
              </w:tc>
            </w:tr>
          </w:tbl>
          <w:p w14:paraId="2050FB37"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276766" w:rsidRPr="00AC092D" w14:paraId="7EEA9190" w14:textId="77777777" w:rsidTr="006F0E09">
              <w:trPr>
                <w:tblCellSpacing w:w="15" w:type="dxa"/>
              </w:trPr>
              <w:tc>
                <w:tcPr>
                  <w:tcW w:w="0" w:type="auto"/>
                  <w:vAlign w:val="center"/>
                  <w:hideMark/>
                </w:tcPr>
                <w:p w14:paraId="5DC237FB"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Gain still relatively low (−23.4 dBi, −16 dBi), performance affected by varying body compositions</w:t>
                  </w:r>
                </w:p>
              </w:tc>
            </w:tr>
          </w:tbl>
          <w:p w14:paraId="07DF4B69" w14:textId="77777777" w:rsidR="00CF5A35" w:rsidRPr="00AC092D" w:rsidRDefault="00CF5A35" w:rsidP="00AC092D">
            <w:pPr>
              <w:jc w:val="left"/>
              <w:rPr>
                <w:rFonts w:cs="Times New Roman"/>
                <w:sz w:val="16"/>
                <w:szCs w:val="16"/>
              </w:rPr>
            </w:pPr>
          </w:p>
        </w:tc>
      </w:tr>
      <w:tr w:rsidR="00276766" w:rsidRPr="00AC092D" w14:paraId="61CC65BE" w14:textId="77777777" w:rsidTr="00AC092D">
        <w:tc>
          <w:tcPr>
            <w:tcW w:w="0" w:type="auto"/>
          </w:tcPr>
          <w:p w14:paraId="294AEAF4" w14:textId="77777777" w:rsidR="00CF5A35" w:rsidRPr="00AC092D" w:rsidRDefault="00CF5A35" w:rsidP="00AC092D">
            <w:pPr>
              <w:pStyle w:val="NormalWeb"/>
              <w:spacing w:before="0" w:beforeAutospacing="0" w:after="0" w:afterAutospacing="0"/>
              <w:jc w:val="left"/>
              <w:rPr>
                <w:sz w:val="16"/>
                <w:szCs w:val="16"/>
              </w:rPr>
            </w:pPr>
            <w:r w:rsidRPr="00AC092D">
              <w:rPr>
                <w:sz w:val="16"/>
                <w:szCs w:val="16"/>
              </w:rPr>
              <w:t>2</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276766" w:rsidRPr="00AC092D" w14:paraId="21B04460" w14:textId="77777777" w:rsidTr="000A5922">
              <w:trPr>
                <w:tblCellSpacing w:w="15" w:type="dxa"/>
              </w:trPr>
              <w:tc>
                <w:tcPr>
                  <w:tcW w:w="0" w:type="auto"/>
                  <w:vAlign w:val="center"/>
                  <w:hideMark/>
                </w:tcPr>
                <w:p w14:paraId="3A2467D6"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Wireless power transfer system with Rx/Tx antennas and integrated rectifier</w:t>
                  </w:r>
                </w:p>
              </w:tc>
            </w:tr>
          </w:tbl>
          <w:p w14:paraId="023BE33B"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0"/>
            </w:tblGrid>
            <w:tr w:rsidR="00276766" w:rsidRPr="00AC092D" w14:paraId="79A2333D" w14:textId="77777777" w:rsidTr="000A5922">
              <w:trPr>
                <w:tblCellSpacing w:w="15" w:type="dxa"/>
              </w:trPr>
              <w:tc>
                <w:tcPr>
                  <w:tcW w:w="0" w:type="auto"/>
                  <w:vAlign w:val="center"/>
                  <w:hideMark/>
                </w:tcPr>
                <w:p w14:paraId="4E89056E"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High RF–DC efficiency (82%), dual-band Rx for simultaneous power/data, proven in phantom and tissue models, works over 2 meters</w:t>
                  </w:r>
                </w:p>
              </w:tc>
            </w:tr>
          </w:tbl>
          <w:p w14:paraId="5E9499AE"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276766" w:rsidRPr="00AC092D" w14:paraId="5D8F0391" w14:textId="77777777" w:rsidTr="000A5922">
              <w:trPr>
                <w:tblCellSpacing w:w="15" w:type="dxa"/>
              </w:trPr>
              <w:tc>
                <w:tcPr>
                  <w:tcW w:w="0" w:type="auto"/>
                  <w:vAlign w:val="center"/>
                  <w:hideMark/>
                </w:tcPr>
                <w:p w14:paraId="05D87F0F"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Requires careful alignment, external unit dependency, miniaturization still complex</w:t>
                  </w:r>
                </w:p>
              </w:tc>
            </w:tr>
          </w:tbl>
          <w:p w14:paraId="5288B674" w14:textId="77777777" w:rsidR="00CF5A35" w:rsidRPr="00AC092D" w:rsidRDefault="00CF5A35" w:rsidP="00AC092D">
            <w:pPr>
              <w:jc w:val="left"/>
              <w:rPr>
                <w:rFonts w:cs="Times New Roman"/>
                <w:sz w:val="16"/>
                <w:szCs w:val="16"/>
              </w:rPr>
            </w:pPr>
          </w:p>
        </w:tc>
      </w:tr>
      <w:tr w:rsidR="00276766" w:rsidRPr="00AC092D" w14:paraId="3E33B009" w14:textId="77777777" w:rsidTr="00AC092D">
        <w:tc>
          <w:tcPr>
            <w:tcW w:w="0" w:type="auto"/>
          </w:tcPr>
          <w:p w14:paraId="79680F8C" w14:textId="77777777" w:rsidR="00CF5A35" w:rsidRPr="00AC092D" w:rsidRDefault="00CF5A35" w:rsidP="00AC092D">
            <w:pPr>
              <w:pStyle w:val="NormalWeb"/>
              <w:spacing w:before="0" w:beforeAutospacing="0" w:after="0" w:afterAutospacing="0"/>
              <w:jc w:val="left"/>
              <w:rPr>
                <w:sz w:val="16"/>
                <w:szCs w:val="16"/>
              </w:rPr>
            </w:pPr>
            <w:r w:rsidRPr="00AC092D">
              <w:rPr>
                <w:sz w:val="16"/>
                <w:szCs w:val="16"/>
              </w:rPr>
              <w:t>3</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276766" w:rsidRPr="00AC092D" w14:paraId="5925457C" w14:textId="77777777" w:rsidTr="00413C4E">
              <w:trPr>
                <w:tblCellSpacing w:w="15" w:type="dxa"/>
              </w:trPr>
              <w:tc>
                <w:tcPr>
                  <w:tcW w:w="0" w:type="auto"/>
                  <w:vAlign w:val="center"/>
                  <w:hideMark/>
                </w:tcPr>
                <w:p w14:paraId="282972C9"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 xml:space="preserve">Dual-band microwave </w:t>
                  </w:r>
                  <w:r w:rsidRPr="00AC092D">
                    <w:rPr>
                      <w:rFonts w:cs="Times New Roman"/>
                      <w:sz w:val="16"/>
                      <w:szCs w:val="16"/>
                    </w:rPr>
                    <w:t>backscattering antenna without vias or ground slots</w:t>
                  </w:r>
                </w:p>
              </w:tc>
            </w:tr>
          </w:tbl>
          <w:p w14:paraId="05E7964B"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0"/>
            </w:tblGrid>
            <w:tr w:rsidR="00276766" w:rsidRPr="00AC092D" w14:paraId="079D3A6B" w14:textId="77777777" w:rsidTr="00413C4E">
              <w:trPr>
                <w:tblCellSpacing w:w="15" w:type="dxa"/>
              </w:trPr>
              <w:tc>
                <w:tcPr>
                  <w:tcW w:w="0" w:type="auto"/>
                  <w:vAlign w:val="center"/>
                  <w:hideMark/>
                </w:tcPr>
                <w:p w14:paraId="207D7278"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Fully passive, compact size (8.5×8.5×1.27 mm³), dual-band operation, low SAR, validated in multi-layered human tissue phantoms</w:t>
                  </w:r>
                </w:p>
              </w:tc>
            </w:tr>
          </w:tbl>
          <w:p w14:paraId="35D6BFA9"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276766" w:rsidRPr="00AC092D" w14:paraId="7552332E" w14:textId="77777777" w:rsidTr="00413C4E">
              <w:trPr>
                <w:tblCellSpacing w:w="15" w:type="dxa"/>
              </w:trPr>
              <w:tc>
                <w:tcPr>
                  <w:tcW w:w="0" w:type="auto"/>
                  <w:vAlign w:val="center"/>
                  <w:hideMark/>
                </w:tcPr>
                <w:p w14:paraId="0A83975B"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Reflective backscatter limits data throughput, limited power handling, relies on strong external signals</w:t>
                  </w:r>
                </w:p>
              </w:tc>
            </w:tr>
          </w:tbl>
          <w:p w14:paraId="6D826398" w14:textId="77777777" w:rsidR="00CF5A35" w:rsidRPr="00AC092D" w:rsidRDefault="00CF5A35" w:rsidP="00AC092D">
            <w:pPr>
              <w:jc w:val="left"/>
              <w:rPr>
                <w:rFonts w:cs="Times New Roman"/>
                <w:sz w:val="16"/>
                <w:szCs w:val="16"/>
              </w:rPr>
            </w:pPr>
          </w:p>
        </w:tc>
      </w:tr>
      <w:tr w:rsidR="00276766" w:rsidRPr="00AC092D" w14:paraId="084F100C" w14:textId="77777777" w:rsidTr="00AC092D">
        <w:tc>
          <w:tcPr>
            <w:tcW w:w="0" w:type="auto"/>
          </w:tcPr>
          <w:p w14:paraId="5FF51FCF" w14:textId="77777777" w:rsidR="00CF5A35" w:rsidRPr="00AC092D" w:rsidRDefault="00CF5A35" w:rsidP="00AC092D">
            <w:pPr>
              <w:pStyle w:val="NormalWeb"/>
              <w:spacing w:before="0" w:beforeAutospacing="0" w:after="0" w:afterAutospacing="0"/>
              <w:jc w:val="left"/>
              <w:rPr>
                <w:sz w:val="16"/>
                <w:szCs w:val="16"/>
              </w:rPr>
            </w:pPr>
            <w:r w:rsidRPr="00AC092D">
              <w:rPr>
                <w:sz w:val="16"/>
                <w:szCs w:val="16"/>
              </w:rPr>
              <w:t>4</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276766" w:rsidRPr="00AC092D" w14:paraId="720296AB" w14:textId="77777777" w:rsidTr="00EC53BE">
              <w:trPr>
                <w:tblCellSpacing w:w="15" w:type="dxa"/>
              </w:trPr>
              <w:tc>
                <w:tcPr>
                  <w:tcW w:w="0" w:type="auto"/>
                  <w:vAlign w:val="center"/>
                  <w:hideMark/>
                </w:tcPr>
                <w:p w14:paraId="59D24088"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Dual-band folded dipole rectenna with QW-ASPAT diode</w:t>
                  </w:r>
                </w:p>
              </w:tc>
            </w:tr>
          </w:tbl>
          <w:p w14:paraId="685B0239"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0"/>
            </w:tblGrid>
            <w:tr w:rsidR="00276766" w:rsidRPr="00AC092D" w14:paraId="408A860B" w14:textId="77777777" w:rsidTr="00EC53BE">
              <w:trPr>
                <w:tblCellSpacing w:w="15" w:type="dxa"/>
              </w:trPr>
              <w:tc>
                <w:tcPr>
                  <w:tcW w:w="0" w:type="auto"/>
                  <w:vAlign w:val="center"/>
                  <w:hideMark/>
                </w:tcPr>
                <w:p w14:paraId="06713853"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High bandwidth, compact footprint (2.84 mm³), high output with 2-stage VDR, temperature-insensitive diode</w:t>
                  </w:r>
                </w:p>
              </w:tc>
            </w:tr>
          </w:tbl>
          <w:p w14:paraId="1D452F30" w14:textId="77777777" w:rsidR="00CF5A35" w:rsidRPr="00AC092D" w:rsidRDefault="00CF5A35" w:rsidP="00AC092D">
            <w:pPr>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276766" w:rsidRPr="00AC092D" w14:paraId="0599F9EF" w14:textId="77777777" w:rsidTr="00EC53BE">
              <w:trPr>
                <w:tblCellSpacing w:w="15" w:type="dxa"/>
              </w:trPr>
              <w:tc>
                <w:tcPr>
                  <w:tcW w:w="0" w:type="auto"/>
                  <w:vAlign w:val="center"/>
                  <w:hideMark/>
                </w:tcPr>
                <w:p w14:paraId="022FFA17" w14:textId="77777777" w:rsidR="00CF5A35" w:rsidRPr="00AC092D" w:rsidRDefault="00CF5A35" w:rsidP="00AC092D">
                  <w:pPr>
                    <w:spacing w:after="0" w:line="240" w:lineRule="auto"/>
                    <w:jc w:val="left"/>
                    <w:rPr>
                      <w:rFonts w:cs="Times New Roman"/>
                      <w:sz w:val="16"/>
                      <w:szCs w:val="16"/>
                    </w:rPr>
                  </w:pPr>
                  <w:r w:rsidRPr="00AC092D">
                    <w:rPr>
                      <w:rFonts w:cs="Times New Roman"/>
                      <w:sz w:val="16"/>
                      <w:szCs w:val="16"/>
                    </w:rPr>
                    <w:t>High complexity in integration and tuning, lower gain (−36.9 dBi, −24.3 dBi), fabrication at micro-scale</w:t>
                  </w:r>
                </w:p>
              </w:tc>
            </w:tr>
          </w:tbl>
          <w:p w14:paraId="7F15F46E" w14:textId="77777777" w:rsidR="00CF5A35" w:rsidRPr="00AC092D" w:rsidRDefault="00CF5A35" w:rsidP="00AC092D">
            <w:pPr>
              <w:jc w:val="left"/>
              <w:rPr>
                <w:rFonts w:cs="Times New Roman"/>
                <w:sz w:val="16"/>
                <w:szCs w:val="16"/>
              </w:rPr>
            </w:pPr>
          </w:p>
        </w:tc>
      </w:tr>
    </w:tbl>
    <w:p w14:paraId="6D22BFE9" w14:textId="77777777" w:rsidR="00CF5A35" w:rsidRPr="00276766" w:rsidRDefault="00CF5A35" w:rsidP="00276766">
      <w:pPr>
        <w:spacing w:after="120" w:line="228" w:lineRule="auto"/>
        <w:ind w:firstLine="288"/>
        <w:rPr>
          <w:rFonts w:cs="Times New Roman"/>
          <w:b/>
          <w:sz w:val="20"/>
          <w:szCs w:val="20"/>
        </w:rPr>
      </w:pPr>
      <w:r w:rsidRPr="00276766">
        <w:rPr>
          <w:rFonts w:cs="Times New Roman"/>
          <w:sz w:val="20"/>
          <w:szCs w:val="20"/>
        </w:rPr>
        <w:t>For state-of- the-art dual-band implanted technologies targeted on enhancing wireless communication and power transmission in medical devices were examined in this comparative research. Every approach showed advantages including low SAR, strong dual-band performance, small size, and great efficiency. Among the limitations were dependency on outside units, integration difficulty, and gain restrictions. With possible to improve continuous monitoring, lower invasiveness, and support long-term patient care via dependable, safe, and effective biomedical communication systems, these developments generally show great success in implanted device design.</w:t>
      </w:r>
    </w:p>
    <w:p w14:paraId="692932DF" w14:textId="411657A6" w:rsidR="006625BE" w:rsidRPr="006B043D" w:rsidRDefault="006625BE" w:rsidP="006B043D">
      <w:pPr>
        <w:pStyle w:val="Heading1"/>
        <w:numPr>
          <w:ilvl w:val="0"/>
          <w:numId w:val="6"/>
        </w:numPr>
        <w:tabs>
          <w:tab w:val="left" w:pos="216"/>
        </w:tabs>
        <w:spacing w:before="160" w:line="240" w:lineRule="auto"/>
        <w:ind w:left="0" w:firstLine="0"/>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 xml:space="preserve">Proposed </w:t>
      </w:r>
      <w:r w:rsidR="006B043D" w:rsidRPr="006B043D">
        <w:rPr>
          <w:rFonts w:eastAsia="SimSun" w:cs="Times New Roman"/>
          <w:smallCaps/>
          <w:noProof/>
          <w:color w:val="auto"/>
          <w:kern w:val="0"/>
          <w:sz w:val="20"/>
          <w:szCs w:val="20"/>
          <w:lang w:val="en-US"/>
        </w:rPr>
        <w:t>Method</w:t>
      </w:r>
    </w:p>
    <w:p w14:paraId="6C917E22" w14:textId="77777777" w:rsidR="007837A3" w:rsidRPr="00276766" w:rsidRDefault="007837A3" w:rsidP="00276766">
      <w:pPr>
        <w:spacing w:after="120" w:line="228" w:lineRule="auto"/>
        <w:ind w:firstLine="288"/>
        <w:rPr>
          <w:rFonts w:cs="Times New Roman"/>
          <w:bCs/>
          <w:sz w:val="20"/>
          <w:szCs w:val="20"/>
        </w:rPr>
      </w:pPr>
      <w:r w:rsidRPr="00276766">
        <w:rPr>
          <w:rFonts w:cs="Times New Roman"/>
          <w:sz w:val="20"/>
          <w:szCs w:val="20"/>
        </w:rPr>
        <w:t>Data transmission reliability and efficiency are much improved by dual-band wireless communication included into cardiac implants. The designs exhibit system architecture, performance testing, and communication flow all around. Especially in demanding medical environments, using both 2.4 GHz and sub-GHz frequency bands provides perfect, interference-free communication. Further confirming the real-time operation of the system, hardware-in-loop testing (H-LT) ensures efficiency and safety in continuous heart health monitoring and fast responsiveness to major medical events.</w:t>
      </w:r>
    </w:p>
    <w:p w14:paraId="370C8D4C" w14:textId="77777777" w:rsidR="003E2078" w:rsidRDefault="003E2078" w:rsidP="00AC092D">
      <w:pPr>
        <w:spacing w:after="120" w:line="228" w:lineRule="auto"/>
        <w:jc w:val="center"/>
        <w:rPr>
          <w:rFonts w:cs="Times New Roman"/>
          <w:bCs/>
          <w:noProof/>
          <w:sz w:val="16"/>
          <w:szCs w:val="16"/>
          <w:lang w:eastAsia="en-IN"/>
        </w:rPr>
      </w:pPr>
    </w:p>
    <w:p w14:paraId="7242C92A" w14:textId="77777777" w:rsidR="003E2078" w:rsidRDefault="003E2078" w:rsidP="00AC092D">
      <w:pPr>
        <w:spacing w:after="120" w:line="228" w:lineRule="auto"/>
        <w:jc w:val="center"/>
        <w:rPr>
          <w:rFonts w:cs="Times New Roman"/>
          <w:bCs/>
          <w:noProof/>
          <w:sz w:val="16"/>
          <w:szCs w:val="16"/>
          <w:lang w:eastAsia="en-IN"/>
        </w:rPr>
      </w:pPr>
    </w:p>
    <w:p w14:paraId="072C448D" w14:textId="77777777" w:rsidR="003E2078" w:rsidRDefault="003E2078" w:rsidP="00AC092D">
      <w:pPr>
        <w:spacing w:after="120" w:line="228" w:lineRule="auto"/>
        <w:jc w:val="center"/>
        <w:rPr>
          <w:rFonts w:cs="Times New Roman"/>
          <w:bCs/>
          <w:noProof/>
          <w:sz w:val="16"/>
          <w:szCs w:val="16"/>
          <w:lang w:eastAsia="en-IN"/>
        </w:rPr>
      </w:pPr>
    </w:p>
    <w:p w14:paraId="484E851A" w14:textId="77777777" w:rsidR="003E2078" w:rsidRDefault="003E2078" w:rsidP="00AC092D">
      <w:pPr>
        <w:spacing w:after="120" w:line="228" w:lineRule="auto"/>
        <w:jc w:val="center"/>
        <w:rPr>
          <w:rFonts w:cs="Times New Roman"/>
          <w:bCs/>
          <w:noProof/>
          <w:sz w:val="16"/>
          <w:szCs w:val="16"/>
          <w:lang w:eastAsia="en-IN"/>
        </w:rPr>
      </w:pPr>
    </w:p>
    <w:p w14:paraId="075512E9" w14:textId="77777777" w:rsidR="003E2078" w:rsidRDefault="003E2078" w:rsidP="00AC092D">
      <w:pPr>
        <w:spacing w:after="120" w:line="228" w:lineRule="auto"/>
        <w:jc w:val="center"/>
        <w:rPr>
          <w:rFonts w:cs="Times New Roman"/>
          <w:bCs/>
          <w:noProof/>
          <w:sz w:val="16"/>
          <w:szCs w:val="16"/>
          <w:lang w:eastAsia="en-IN"/>
        </w:rPr>
      </w:pPr>
    </w:p>
    <w:p w14:paraId="65C32DAA" w14:textId="77777777" w:rsidR="003E2078" w:rsidRDefault="003E2078" w:rsidP="00AC092D">
      <w:pPr>
        <w:spacing w:after="120" w:line="228" w:lineRule="auto"/>
        <w:jc w:val="center"/>
        <w:rPr>
          <w:rFonts w:cs="Times New Roman"/>
          <w:bCs/>
          <w:noProof/>
          <w:sz w:val="16"/>
          <w:szCs w:val="16"/>
          <w:lang w:eastAsia="en-IN"/>
        </w:rPr>
      </w:pPr>
    </w:p>
    <w:p w14:paraId="0BBBB55E" w14:textId="77777777" w:rsidR="003E2078" w:rsidRDefault="003E2078" w:rsidP="00AC092D">
      <w:pPr>
        <w:spacing w:after="120" w:line="228" w:lineRule="auto"/>
        <w:jc w:val="center"/>
        <w:rPr>
          <w:rFonts w:cs="Times New Roman"/>
          <w:bCs/>
          <w:noProof/>
          <w:sz w:val="16"/>
          <w:szCs w:val="16"/>
          <w:lang w:eastAsia="en-IN"/>
        </w:rPr>
      </w:pPr>
    </w:p>
    <w:p w14:paraId="3B298C20" w14:textId="77777777" w:rsidR="003E2078" w:rsidRDefault="003E2078" w:rsidP="00AC092D">
      <w:pPr>
        <w:spacing w:after="120" w:line="228" w:lineRule="auto"/>
        <w:jc w:val="center"/>
        <w:rPr>
          <w:rFonts w:cs="Times New Roman"/>
          <w:bCs/>
          <w:noProof/>
          <w:sz w:val="16"/>
          <w:szCs w:val="16"/>
          <w:lang w:eastAsia="en-IN"/>
        </w:rPr>
      </w:pPr>
    </w:p>
    <w:p w14:paraId="43F16B36" w14:textId="77777777" w:rsidR="003E2078" w:rsidRDefault="003E2078" w:rsidP="00AC092D">
      <w:pPr>
        <w:spacing w:after="120" w:line="228" w:lineRule="auto"/>
        <w:jc w:val="center"/>
        <w:rPr>
          <w:rFonts w:cs="Times New Roman"/>
          <w:bCs/>
          <w:noProof/>
          <w:sz w:val="16"/>
          <w:szCs w:val="16"/>
          <w:lang w:eastAsia="en-IN"/>
        </w:rPr>
      </w:pPr>
    </w:p>
    <w:p w14:paraId="1FAACA50" w14:textId="77777777" w:rsidR="003E2078" w:rsidRDefault="003E2078" w:rsidP="00AC092D">
      <w:pPr>
        <w:spacing w:after="120" w:line="228" w:lineRule="auto"/>
        <w:jc w:val="center"/>
        <w:rPr>
          <w:rFonts w:cs="Times New Roman"/>
          <w:bCs/>
          <w:noProof/>
          <w:sz w:val="16"/>
          <w:szCs w:val="16"/>
          <w:lang w:eastAsia="en-IN"/>
        </w:rPr>
      </w:pPr>
    </w:p>
    <w:p w14:paraId="762034C7" w14:textId="77777777" w:rsidR="003E2078" w:rsidRDefault="003E2078" w:rsidP="00AC092D">
      <w:pPr>
        <w:spacing w:after="120" w:line="228" w:lineRule="auto"/>
        <w:jc w:val="center"/>
        <w:rPr>
          <w:rFonts w:cs="Times New Roman"/>
          <w:bCs/>
          <w:noProof/>
          <w:sz w:val="16"/>
          <w:szCs w:val="16"/>
          <w:lang w:eastAsia="en-IN"/>
        </w:rPr>
      </w:pPr>
    </w:p>
    <w:p w14:paraId="4C95AEB4" w14:textId="77777777" w:rsidR="003E2078" w:rsidRDefault="003E2078" w:rsidP="00AC092D">
      <w:pPr>
        <w:spacing w:after="120" w:line="228" w:lineRule="auto"/>
        <w:jc w:val="center"/>
        <w:rPr>
          <w:rFonts w:cs="Times New Roman"/>
          <w:bCs/>
          <w:noProof/>
          <w:sz w:val="16"/>
          <w:szCs w:val="16"/>
          <w:lang w:eastAsia="en-IN"/>
        </w:rPr>
        <w:sectPr w:rsidR="003E2078" w:rsidSect="003E2078">
          <w:type w:val="continuous"/>
          <w:pgSz w:w="11909" w:h="16834" w:code="9"/>
          <w:pgMar w:top="1080" w:right="907" w:bottom="1440" w:left="907" w:header="720" w:footer="720" w:gutter="0"/>
          <w:cols w:num="2" w:space="360"/>
          <w:docGrid w:linePitch="360"/>
        </w:sectPr>
      </w:pPr>
    </w:p>
    <w:p w14:paraId="255C0556" w14:textId="77777777" w:rsidR="003E2078" w:rsidRDefault="003E2078" w:rsidP="00AC092D">
      <w:pPr>
        <w:spacing w:after="120" w:line="228" w:lineRule="auto"/>
        <w:jc w:val="center"/>
        <w:rPr>
          <w:rFonts w:cs="Times New Roman"/>
          <w:bCs/>
          <w:noProof/>
          <w:sz w:val="16"/>
          <w:szCs w:val="16"/>
          <w:lang w:eastAsia="en-IN"/>
        </w:rPr>
      </w:pPr>
    </w:p>
    <w:p w14:paraId="24A0D87D" w14:textId="11EC7336" w:rsidR="00A46697" w:rsidRPr="00E9577D" w:rsidRDefault="00A46697" w:rsidP="00AC092D">
      <w:pPr>
        <w:spacing w:after="120" w:line="228" w:lineRule="auto"/>
        <w:jc w:val="center"/>
        <w:rPr>
          <w:rFonts w:cs="Times New Roman"/>
          <w:bCs/>
          <w:noProof/>
          <w:sz w:val="16"/>
          <w:szCs w:val="16"/>
          <w:lang w:eastAsia="en-IN"/>
        </w:rPr>
      </w:pPr>
      <w:r w:rsidRPr="00E9577D">
        <w:rPr>
          <w:rFonts w:cs="Times New Roman"/>
          <w:bCs/>
          <w:noProof/>
          <w:sz w:val="16"/>
          <w:szCs w:val="16"/>
          <w:lang w:eastAsia="en-IN"/>
        </w:rPr>
        <w:lastRenderedPageBreak/>
        <w:drawing>
          <wp:inline distT="0" distB="0" distL="0" distR="0" wp14:anchorId="25F18CF8" wp14:editId="462E11AF">
            <wp:extent cx="5942007" cy="2254102"/>
            <wp:effectExtent l="0" t="0" r="1905" b="0"/>
            <wp:docPr id="2" name="Picture 2" descr="C:\Users\Sagar\Downloads\paper 4 apr23-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4 apr23-Page-1.drawio.png"/>
                    <pic:cNvPicPr>
                      <a:picLocks noChangeAspect="1" noChangeArrowheads="1"/>
                    </pic:cNvPicPr>
                  </pic:nvPicPr>
                  <pic:blipFill>
                    <a:blip r:embed="rId6"/>
                    <a:srcRect/>
                    <a:stretch>
                      <a:fillRect/>
                    </a:stretch>
                  </pic:blipFill>
                  <pic:spPr bwMode="auto">
                    <a:xfrm>
                      <a:off x="0" y="0"/>
                      <a:ext cx="5945870" cy="2255567"/>
                    </a:xfrm>
                    <a:prstGeom prst="rect">
                      <a:avLst/>
                    </a:prstGeom>
                    <a:noFill/>
                    <a:ln w="9525">
                      <a:noFill/>
                      <a:miter lim="800000"/>
                      <a:headEnd/>
                      <a:tailEnd/>
                    </a:ln>
                  </pic:spPr>
                </pic:pic>
              </a:graphicData>
            </a:graphic>
          </wp:inline>
        </w:drawing>
      </w:r>
    </w:p>
    <w:p w14:paraId="499DE9E2" w14:textId="77777777" w:rsidR="006625BE" w:rsidRPr="00E9577D" w:rsidRDefault="006625BE"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Figure 2:</w:t>
      </w:r>
      <w:r w:rsidR="007837A3" w:rsidRPr="00E9577D">
        <w:rPr>
          <w:rFonts w:cs="Times New Roman"/>
          <w:bCs/>
          <w:noProof/>
          <w:sz w:val="16"/>
          <w:szCs w:val="16"/>
          <w:lang w:eastAsia="en-IN"/>
        </w:rPr>
        <w:t xml:space="preserve"> Dual-Band Communication in Cardiac Implants</w:t>
      </w:r>
    </w:p>
    <w:p w14:paraId="3CDC80B7" w14:textId="77777777" w:rsidR="003E2078" w:rsidRDefault="003E2078" w:rsidP="00276766">
      <w:pPr>
        <w:spacing w:after="120" w:line="228" w:lineRule="auto"/>
        <w:ind w:firstLine="288"/>
        <w:rPr>
          <w:rFonts w:cs="Times New Roman"/>
          <w:sz w:val="20"/>
          <w:szCs w:val="20"/>
        </w:rPr>
        <w:sectPr w:rsidR="003E2078" w:rsidSect="003E2078">
          <w:type w:val="continuous"/>
          <w:pgSz w:w="11909" w:h="16834" w:code="9"/>
          <w:pgMar w:top="1080" w:right="907" w:bottom="1440" w:left="907" w:header="720" w:footer="720" w:gutter="0"/>
          <w:cols w:space="360"/>
          <w:docGrid w:linePitch="360"/>
        </w:sectPr>
      </w:pPr>
    </w:p>
    <w:p w14:paraId="4A225EF7" w14:textId="77957CAA" w:rsidR="007837A3" w:rsidRPr="00276766" w:rsidRDefault="007837A3" w:rsidP="00276766">
      <w:pPr>
        <w:spacing w:after="120" w:line="228" w:lineRule="auto"/>
        <w:ind w:firstLine="288"/>
        <w:rPr>
          <w:rFonts w:cs="Times New Roman"/>
          <w:sz w:val="20"/>
          <w:szCs w:val="20"/>
        </w:rPr>
      </w:pPr>
      <w:r w:rsidRPr="00276766">
        <w:rPr>
          <w:rFonts w:cs="Times New Roman"/>
          <w:sz w:val="20"/>
          <w:szCs w:val="20"/>
        </w:rPr>
        <w:t xml:space="preserve">Figure 2 shows the simple architecture of a dual-band communication system used in a cardiac implant. Continually observing the patient's physiological traits, the cardiac implant sensor provides this data to the implant's data processor. Using 2.4 GHz and sub-GHz frequencies, the CPU uses dual-band wireless communication both short-range and long-range data transfer. The 2.4 GHz band is used in near-range communication; the sub-GHz band covers large distances to ensure constant data flow even in highly interfered with environments. Following that, the data is sent to an outside monitoring system for rapid reaction in case of a major cardiac event. Dual-band technology guarantees real-time patient health monitoring with little data loss or delay by </w:t>
      </w:r>
      <w:r w:rsidRPr="00276766">
        <w:rPr>
          <w:rFonts w:cs="Times New Roman"/>
          <w:sz w:val="20"/>
          <w:szCs w:val="20"/>
        </w:rPr>
        <w:t xml:space="preserve">enhancing the ability of the implant to effectively communicate in busy medical situations. </w:t>
      </w:r>
    </w:p>
    <w:p w14:paraId="425EFD14" w14:textId="621C6375" w:rsidR="00BD4077" w:rsidRPr="00276766" w:rsidRDefault="00BD4077" w:rsidP="00684DD4">
      <w:pPr>
        <w:spacing w:after="120" w:line="228" w:lineRule="auto"/>
        <w:jc w:val="center"/>
        <w:rPr>
          <w:rFonts w:eastAsiaTheme="minorEastAsia" w:cs="Times New Roman"/>
          <w:sz w:val="20"/>
          <w:szCs w:val="20"/>
        </w:rPr>
      </w:pPr>
      <m:oMathPara>
        <m:oMath>
          <m:r>
            <w:rPr>
              <w:rFonts w:ascii="Cambria Math" w:eastAsiaTheme="minorEastAsia" w:hAnsi="Cambria Math" w:cs="Times New Roman"/>
              <w:sz w:val="20"/>
              <w:szCs w:val="20"/>
            </w:rPr>
            <m:t>Vqx'=</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φθ'</m:t>
                  </m:r>
                </m:e>
              </m:func>
            </m:e>
          </m:func>
          <m:r>
            <w:rPr>
              <w:rFonts w:ascii="Cambria Math" w:eastAsiaTheme="minorEastAsia" w:hAnsi="Cambria Math" w:cs="Times New Roman"/>
              <w:sz w:val="20"/>
              <w:szCs w:val="20"/>
            </w:rPr>
            <m:t>+Pcεθ*</m:t>
          </m:r>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δx</m:t>
                  </m:r>
                </m:num>
                <m:den>
                  <m:r>
                    <w:rPr>
                      <w:rFonts w:ascii="Cambria Math" w:eastAsiaTheme="minorEastAsia" w:hAnsi="Cambria Math" w:cs="Times New Roman"/>
                      <w:sz w:val="20"/>
                      <w:szCs w:val="20"/>
                    </w:rPr>
                    <m:t>δy</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εkx</m:t>
                  </m:r>
                </m:e>
              </m:d>
            </m:num>
            <m:den>
              <m:r>
                <w:rPr>
                  <w:rFonts w:ascii="Cambria Math" w:eastAsiaTheme="minorEastAsia" w:hAnsi="Cambria Math" w:cs="Times New Roman"/>
                  <w:sz w:val="20"/>
                  <w:szCs w:val="20"/>
                </w:rPr>
                <m:t>2ε</m:t>
              </m:r>
            </m:den>
          </m:f>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m:oMathPara>
    </w:p>
    <w:p w14:paraId="476D5494" w14:textId="1528389C" w:rsidR="00E71CF1" w:rsidRPr="00276766" w:rsidRDefault="006C3F8C"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Despite its abstract nature</w:t>
      </w:r>
      <w:r w:rsidR="00EB2DDA" w:rsidRPr="00276766">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δx</m:t>
                </m:r>
              </m:num>
              <m:den>
                <m:r>
                  <w:rPr>
                    <w:rFonts w:ascii="Cambria Math" w:eastAsiaTheme="minorEastAsia" w:hAnsi="Cambria Math" w:cs="Times New Roman"/>
                    <w:sz w:val="20"/>
                    <w:szCs w:val="20"/>
                  </w:rPr>
                  <m:t>δy</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εkx</m:t>
                </m:r>
              </m:e>
            </m:d>
          </m:num>
          <m:den>
            <m:r>
              <w:rPr>
                <w:rFonts w:ascii="Cambria Math" w:eastAsiaTheme="minorEastAsia" w:hAnsi="Cambria Math" w:cs="Times New Roman"/>
                <w:sz w:val="20"/>
                <w:szCs w:val="20"/>
              </w:rPr>
              <m:t>2ε</m:t>
            </m:r>
          </m:den>
        </m:f>
      </m:oMath>
      <w:r w:rsidRPr="00276766">
        <w:rPr>
          <w:rFonts w:eastAsia="Times New Roman" w:cs="Times New Roman"/>
          <w:kern w:val="0"/>
          <w:sz w:val="20"/>
          <w:szCs w:val="20"/>
          <w:lang w:eastAsia="en-IN"/>
        </w:rPr>
        <w:t xml:space="preserve">, Equation (1) represents graphically the dynamic current response </w:t>
      </w:r>
      <m:oMath>
        <m:r>
          <w:rPr>
            <w:rFonts w:ascii="Cambria Math" w:eastAsiaTheme="minorEastAsia" w:hAnsi="Cambria Math" w:cs="Times New Roman"/>
            <w:sz w:val="20"/>
            <w:szCs w:val="20"/>
          </w:rPr>
          <m:t>Vqx'</m:t>
        </m:r>
      </m:oMath>
      <w:r w:rsidRPr="00276766">
        <w:rPr>
          <w:rFonts w:eastAsia="Times New Roman" w:cs="Times New Roman"/>
          <w:kern w:val="0"/>
          <w:sz w:val="20"/>
          <w:szCs w:val="20"/>
          <w:lang w:eastAsia="en-IN"/>
        </w:rPr>
        <w:t xml:space="preserve"> affected by sinusoidal signals</w:t>
      </w:r>
      <w:r w:rsidR="00EB2DDA" w:rsidRPr="00276766">
        <w:rPr>
          <w:rFonts w:eastAsia="Times New Roman" w:cs="Times New Roman"/>
          <w:kern w:val="0"/>
          <w:sz w:val="20"/>
          <w:szCs w:val="20"/>
          <w:lang w:eastAsia="en-IN"/>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φθ'</m:t>
                </m:r>
              </m:e>
            </m:func>
          </m:e>
        </m:func>
      </m:oMath>
      <w:r w:rsidRPr="00276766">
        <w:rPr>
          <w:rFonts w:eastAsia="Times New Roman" w:cs="Times New Roman"/>
          <w:kern w:val="0"/>
          <w:sz w:val="20"/>
          <w:szCs w:val="20"/>
          <w:lang w:eastAsia="en-IN"/>
        </w:rPr>
        <w:t xml:space="preserve"> and strain-related</w:t>
      </w:r>
      <w:r w:rsidR="00EB2DDA" w:rsidRPr="00276766">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Pcεθ</m:t>
        </m:r>
      </m:oMath>
      <w:r w:rsidRPr="00276766">
        <w:rPr>
          <w:rFonts w:eastAsia="Times New Roman" w:cs="Times New Roman"/>
          <w:kern w:val="0"/>
          <w:sz w:val="20"/>
          <w:szCs w:val="20"/>
          <w:lang w:eastAsia="en-IN"/>
        </w:rPr>
        <w:t xml:space="preserve"> material characteristics, which are pertinent to dual-band modulated signals.</w:t>
      </w:r>
    </w:p>
    <w:p w14:paraId="139654A1" w14:textId="77777777" w:rsidR="003E2078" w:rsidRDefault="003E2078" w:rsidP="00AC092D">
      <w:pPr>
        <w:spacing w:after="120" w:line="228" w:lineRule="auto"/>
        <w:jc w:val="center"/>
        <w:rPr>
          <w:rFonts w:cs="Times New Roman"/>
          <w:bCs/>
          <w:noProof/>
          <w:sz w:val="16"/>
          <w:szCs w:val="16"/>
          <w:lang w:eastAsia="en-IN"/>
        </w:rPr>
        <w:sectPr w:rsidR="003E2078" w:rsidSect="003E2078">
          <w:type w:val="continuous"/>
          <w:pgSz w:w="11909" w:h="16834" w:code="9"/>
          <w:pgMar w:top="1080" w:right="907" w:bottom="1440" w:left="907" w:header="720" w:footer="720" w:gutter="0"/>
          <w:cols w:num="2" w:space="360"/>
          <w:docGrid w:linePitch="360"/>
        </w:sectPr>
      </w:pPr>
    </w:p>
    <w:p w14:paraId="23A1F7BC" w14:textId="706952B1" w:rsidR="00253162" w:rsidRPr="00E9577D" w:rsidRDefault="00253162" w:rsidP="00AC092D">
      <w:pPr>
        <w:spacing w:after="120" w:line="228" w:lineRule="auto"/>
        <w:jc w:val="center"/>
        <w:rPr>
          <w:rFonts w:cs="Times New Roman"/>
          <w:bCs/>
          <w:noProof/>
          <w:sz w:val="16"/>
          <w:szCs w:val="16"/>
          <w:lang w:eastAsia="en-IN"/>
        </w:rPr>
      </w:pPr>
      <w:r w:rsidRPr="00E9577D">
        <w:rPr>
          <w:rFonts w:cs="Times New Roman"/>
          <w:bCs/>
          <w:noProof/>
          <w:sz w:val="16"/>
          <w:szCs w:val="16"/>
          <w:lang w:eastAsia="en-IN"/>
        </w:rPr>
        <w:drawing>
          <wp:inline distT="0" distB="0" distL="0" distR="0" wp14:anchorId="795B21D1" wp14:editId="0A8967C1">
            <wp:extent cx="5941992" cy="2371060"/>
            <wp:effectExtent l="0" t="0" r="1905" b="0"/>
            <wp:docPr id="3" name="Picture 3" descr="C:\Users\Sagar\Downloads\paper 4 apr23-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4 apr23-Page-3.drawio.png"/>
                    <pic:cNvPicPr>
                      <a:picLocks noChangeAspect="1" noChangeArrowheads="1"/>
                    </pic:cNvPicPr>
                  </pic:nvPicPr>
                  <pic:blipFill>
                    <a:blip r:embed="rId7"/>
                    <a:srcRect/>
                    <a:stretch>
                      <a:fillRect/>
                    </a:stretch>
                  </pic:blipFill>
                  <pic:spPr bwMode="auto">
                    <a:xfrm>
                      <a:off x="0" y="0"/>
                      <a:ext cx="5946334" cy="2372792"/>
                    </a:xfrm>
                    <a:prstGeom prst="rect">
                      <a:avLst/>
                    </a:prstGeom>
                    <a:noFill/>
                    <a:ln w="9525">
                      <a:noFill/>
                      <a:miter lim="800000"/>
                      <a:headEnd/>
                      <a:tailEnd/>
                    </a:ln>
                  </pic:spPr>
                </pic:pic>
              </a:graphicData>
            </a:graphic>
          </wp:inline>
        </w:drawing>
      </w:r>
    </w:p>
    <w:p w14:paraId="17A99E26" w14:textId="77777777" w:rsidR="006625BE" w:rsidRPr="00E9577D" w:rsidRDefault="006625BE"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Figure 3:</w:t>
      </w:r>
      <w:r w:rsidR="007837A3" w:rsidRPr="00E9577D">
        <w:rPr>
          <w:rFonts w:cs="Times New Roman"/>
          <w:bCs/>
          <w:noProof/>
          <w:sz w:val="16"/>
          <w:szCs w:val="16"/>
          <w:lang w:eastAsia="en-IN"/>
        </w:rPr>
        <w:t xml:space="preserve"> Dual-Band Communication Flow for Continuous Health Monitoring</w:t>
      </w:r>
    </w:p>
    <w:p w14:paraId="76AE7EE2" w14:textId="77777777" w:rsidR="003E2078" w:rsidRDefault="003E2078" w:rsidP="00276766">
      <w:pPr>
        <w:spacing w:after="120" w:line="228" w:lineRule="auto"/>
        <w:ind w:firstLine="288"/>
        <w:rPr>
          <w:rFonts w:cs="Times New Roman"/>
          <w:sz w:val="20"/>
          <w:szCs w:val="20"/>
        </w:rPr>
        <w:sectPr w:rsidR="003E2078" w:rsidSect="003E2078">
          <w:type w:val="continuous"/>
          <w:pgSz w:w="11909" w:h="16834" w:code="9"/>
          <w:pgMar w:top="1080" w:right="907" w:bottom="1440" w:left="907" w:header="720" w:footer="720" w:gutter="0"/>
          <w:cols w:space="360"/>
          <w:docGrid w:linePitch="360"/>
        </w:sectPr>
      </w:pPr>
    </w:p>
    <w:p w14:paraId="6124C9C8" w14:textId="09394F93" w:rsidR="007837A3" w:rsidRPr="00276766" w:rsidRDefault="007837A3" w:rsidP="00276766">
      <w:pPr>
        <w:spacing w:after="120" w:line="228" w:lineRule="auto"/>
        <w:ind w:firstLine="288"/>
        <w:rPr>
          <w:rFonts w:eastAsia="Times New Roman" w:cs="Times New Roman"/>
          <w:kern w:val="0"/>
          <w:sz w:val="20"/>
          <w:szCs w:val="20"/>
          <w:lang w:eastAsia="en-IN"/>
        </w:rPr>
      </w:pPr>
      <w:r w:rsidRPr="00276766">
        <w:rPr>
          <w:rFonts w:cs="Times New Roman"/>
          <w:sz w:val="20"/>
          <w:szCs w:val="20"/>
        </w:rPr>
        <w:t xml:space="preserve">For continuous health monitoring, figure 3 displays the dual-band communication flow inside the cardiac implant system. The system begins with compiling managed and ready for delivery health data. </w:t>
      </w:r>
      <w:r w:rsidR="006870BF" w:rsidRPr="00276766">
        <w:rPr>
          <w:rFonts w:eastAsia="Times New Roman" w:cs="Times New Roman"/>
          <w:kern w:val="0"/>
          <w:sz w:val="20"/>
          <w:szCs w:val="20"/>
          <w:lang w:eastAsia="en-IN"/>
        </w:rPr>
        <w:t xml:space="preserve">The dual-band selection block assures, depending on the working environment, the data is sent over the most suitable frequency: the 2.4 GHz band for short-range or the sub-GHz band for long-range transmission. Since they enable ideal data transmission with lowest interference, both frequency ranges allow a continuous connection between the implant and the central monitoring system. Perfect for real-time monitoring and prompt response to any cardiac issue, this two-frequency approach assures continuous connectivity, reduces latency, and improves data dependability. Since it increases the efficiency and safety of </w:t>
      </w:r>
      <w:r w:rsidR="006870BF" w:rsidRPr="00276766">
        <w:rPr>
          <w:rFonts w:eastAsia="Times New Roman" w:cs="Times New Roman"/>
          <w:kern w:val="0"/>
          <w:sz w:val="20"/>
          <w:szCs w:val="20"/>
          <w:lang w:eastAsia="en-IN"/>
        </w:rPr>
        <w:t>cardiac implants, the approach fit for complex healthcare environments</w:t>
      </w:r>
      <w:r w:rsidRPr="00276766">
        <w:rPr>
          <w:rFonts w:cs="Times New Roman"/>
          <w:sz w:val="20"/>
          <w:szCs w:val="20"/>
        </w:rPr>
        <w:t xml:space="preserve">. </w:t>
      </w:r>
    </w:p>
    <w:p w14:paraId="27BA51B7" w14:textId="77777777" w:rsidR="002A0A3D" w:rsidRPr="00276766" w:rsidRDefault="00000000" w:rsidP="00684DD4">
      <w:pPr>
        <w:spacing w:after="120" w:line="228" w:lineRule="auto"/>
        <w:jc w:val="center"/>
        <w:rPr>
          <w:rFonts w:eastAsiaTheme="minorEastAsia"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βεα</m:t>
                  </m:r>
                </m:den>
              </m:f>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γ</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n±0,1,2</m:t>
                      </m:r>
                    </m:e>
                  </m:d>
                </m:e>
              </m:func>
            </m:den>
          </m:f>
          <m:r>
            <w:rPr>
              <w:rFonts w:ascii="Cambria Math" w:eastAsiaTheme="minorEastAsia" w:hAnsi="Cambria Math" w:cs="Times New Roman"/>
              <w:sz w:val="20"/>
              <w:szCs w:val="20"/>
            </w:rPr>
            <m:t>+πv'+</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+β</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oMath>
      </m:oMathPara>
    </w:p>
    <w:p w14:paraId="31DDA0F7" w14:textId="77777777" w:rsidR="002A0A3D" w:rsidRPr="00276766" w:rsidRDefault="002A0A3D"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This equation (2) shows </w:t>
      </w:r>
      <m:oMath>
        <m:r>
          <w:rPr>
            <w:rFonts w:ascii="Cambria Math" w:eastAsiaTheme="minorEastAsia" w:hAnsi="Cambria Math" w:cs="Times New Roman"/>
            <w:sz w:val="20"/>
            <w:szCs w:val="20"/>
          </w:rPr>
          <m:t>Y+</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βεα</m:t>
            </m:r>
          </m:den>
        </m:f>
      </m:oMath>
      <w:r w:rsidRPr="00276766">
        <w:rPr>
          <w:rFonts w:eastAsia="Times New Roman" w:cs="Times New Roman"/>
          <w:kern w:val="0"/>
          <w:sz w:val="20"/>
          <w:szCs w:val="20"/>
          <w:lang w:eastAsia="en-IN"/>
        </w:rPr>
        <w:t xml:space="preserve">, intricate relationship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oMath>
      <w:r w:rsidRPr="00276766">
        <w:rPr>
          <w:rFonts w:eastAsia="Times New Roman" w:cs="Times New Roman"/>
          <w:kern w:val="0"/>
          <w:sz w:val="20"/>
          <w:szCs w:val="20"/>
          <w:lang w:eastAsia="en-IN"/>
        </w:rPr>
        <w:t xml:space="preserve"> between the device response </w:t>
      </w:r>
      <m:oMath>
        <m:r>
          <w:rPr>
            <w:rFonts w:ascii="Cambria Math" w:eastAsiaTheme="minorEastAsia" w:hAnsi="Cambria Math" w:cs="Times New Roman"/>
            <w:sz w:val="20"/>
            <w:szCs w:val="20"/>
          </w:rPr>
          <m:t>γ</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n±0,1,2</m:t>
                </m:r>
              </m:e>
            </m:d>
          </m:e>
        </m:func>
      </m:oMath>
      <w:r w:rsidRPr="00276766">
        <w:rPr>
          <w:rFonts w:eastAsia="Times New Roman" w:cs="Times New Roman"/>
          <w:kern w:val="0"/>
          <w:sz w:val="20"/>
          <w:szCs w:val="20"/>
          <w:lang w:eastAsia="en-IN"/>
        </w:rPr>
        <w:t xml:space="preserve"> and system constants, signal fluctuations, and spatial interaction </w:t>
      </w:r>
      <m:oMath>
        <m:r>
          <w:rPr>
            <w:rFonts w:ascii="Cambria Math" w:eastAsiaTheme="minorEastAsia" w:hAnsi="Cambria Math" w:cs="Times New Roman"/>
            <w:sz w:val="20"/>
            <w:szCs w:val="20"/>
          </w:rPr>
          <m:t>π</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oMath>
      <w:r w:rsidRPr="00276766">
        <w:rPr>
          <w:rFonts w:eastAsia="Times New Roman" w:cs="Times New Roman"/>
          <w:kern w:val="0"/>
          <w:sz w:val="20"/>
          <w:szCs w:val="20"/>
          <w:lang w:eastAsia="en-IN"/>
        </w:rPr>
        <w:t xml:space="preserve"> Variables in implantable systems </w:t>
      </w:r>
      <m:oMath>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+β</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e>
        </m:d>
      </m:oMath>
      <w:r w:rsidRPr="00276766">
        <w:rPr>
          <w:rFonts w:eastAsia="Times New Roman" w:cs="Times New Roman"/>
          <w:kern w:val="0"/>
          <w:sz w:val="20"/>
          <w:szCs w:val="20"/>
          <w:lang w:eastAsia="en-IN"/>
        </w:rPr>
        <w:t>, which are caused by the complicated interplay of temperature, electromagnetic, and positional elements.</w:t>
      </w:r>
    </w:p>
    <w:p w14:paraId="1E74E226" w14:textId="77777777" w:rsidR="002A0A3D" w:rsidRPr="00276766" w:rsidRDefault="002A0A3D" w:rsidP="00684DD4">
      <w:pPr>
        <w:spacing w:after="120" w:line="228" w:lineRule="auto"/>
        <w:jc w:val="center"/>
        <w:rPr>
          <w:rFonts w:eastAsiaTheme="minorEastAsia" w:cs="Times New Roman"/>
          <w:sz w:val="20"/>
          <w:szCs w:val="20"/>
        </w:rPr>
      </w:pPr>
      <m:oMathPara>
        <m:oMath>
          <m:r>
            <w:rPr>
              <w:rFonts w:ascii="Cambria Math" w:eastAsiaTheme="minorEastAsia" w:hAnsi="Cambria Math" w:cs="Times New Roman"/>
              <w:sz w:val="20"/>
              <w:szCs w:val="20"/>
            </w:rPr>
            <w:lastRenderedPageBreak/>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 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∆y</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βxP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 xml:space="preserve">  (3)</m:t>
          </m:r>
        </m:oMath>
      </m:oMathPara>
    </w:p>
    <w:p w14:paraId="05148B0C" w14:textId="77777777" w:rsidR="002A0A3D" w:rsidRPr="00276766" w:rsidRDefault="002A0A3D"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As a function of geographical gradients </w:t>
      </w:r>
      <m:oMath>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oMath>
      <w:r w:rsidRPr="00276766">
        <w:rPr>
          <w:rFonts w:eastAsia="Times New Roman" w:cs="Times New Roman"/>
          <w:kern w:val="0"/>
          <w:sz w:val="20"/>
          <w:szCs w:val="20"/>
          <w:lang w:eastAsia="en-IN"/>
        </w:rPr>
        <w:t xml:space="preserve">, time lags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∆y</m:t>
            </m:r>
          </m:den>
        </m:f>
      </m:oMath>
      <w:r w:rsidRPr="00276766">
        <w:rPr>
          <w:rFonts w:eastAsia="Times New Roman" w:cs="Times New Roman"/>
          <w:kern w:val="0"/>
          <w:sz w:val="20"/>
          <w:szCs w:val="20"/>
          <w:lang w:eastAsia="en-IN"/>
        </w:rPr>
        <w:t xml:space="preserve">, and scaled input-output radiation components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oMath>
      <w:r w:rsidRPr="00276766">
        <w:rPr>
          <w:rFonts w:eastAsia="Times New Roman" w:cs="Times New Roman"/>
          <w:kern w:val="0"/>
          <w:sz w:val="20"/>
          <w:szCs w:val="20"/>
          <w:lang w:eastAsia="en-IN"/>
        </w:rPr>
        <w:t xml:space="preserve">, Equation (3) describes the temporal pressure fluctuation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oMath>
      <w:r w:rsidRPr="00276766">
        <w:rPr>
          <w:rFonts w:eastAsia="Times New Roman" w:cs="Times New Roman"/>
          <w:kern w:val="0"/>
          <w:sz w:val="20"/>
          <w:szCs w:val="20"/>
          <w:lang w:eastAsia="en-IN"/>
        </w:rPr>
        <w:t xml:space="preserve"> while also considering device architecture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βxP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 xml:space="preserve"> </m:t>
        </m:r>
      </m:oMath>
      <w:r w:rsidRPr="00276766">
        <w:rPr>
          <w:rFonts w:eastAsia="Times New Roman" w:cs="Times New Roman"/>
          <w:kern w:val="0"/>
          <w:sz w:val="20"/>
          <w:szCs w:val="20"/>
          <w:lang w:eastAsia="en-IN"/>
        </w:rPr>
        <w:t xml:space="preserve"> and the wireless signal propagating dynamics.</w:t>
      </w:r>
    </w:p>
    <w:p w14:paraId="5B5DDD6A" w14:textId="77777777" w:rsidR="007837A3" w:rsidRPr="00276766" w:rsidRDefault="007837A3" w:rsidP="00276766">
      <w:pPr>
        <w:spacing w:after="120" w:line="228" w:lineRule="auto"/>
        <w:ind w:firstLine="288"/>
        <w:rPr>
          <w:rFonts w:cs="Times New Roman"/>
          <w:sz w:val="20"/>
          <w:szCs w:val="20"/>
        </w:rPr>
      </w:pPr>
      <w:r w:rsidRPr="00276766">
        <w:rPr>
          <w:rFonts w:cs="Times New Roman"/>
          <w:sz w:val="20"/>
          <w:szCs w:val="20"/>
        </w:rPr>
        <w:t>The illustrations clearly depict the proposed dual-band communication system for cardiac implants. The architecture shows the integration of sensors, data processors, and dual-band communication channels for efficient health monitoring. Simulated conditions allow the H-LT framework to verify system performance. Dual-band communication offers both short-range and long-range reliability by bestizing data flow. All things considered, the proposed approach promises little data loss, real-time, accurate monitoring of heart health, thereby improving patient safety and clinical response. This approach is the basis of next-generation implanted technology.</w:t>
      </w:r>
    </w:p>
    <w:p w14:paraId="3B040A98" w14:textId="77777777" w:rsidR="006625BE" w:rsidRPr="006B043D" w:rsidRDefault="006625BE" w:rsidP="006B043D">
      <w:pPr>
        <w:pStyle w:val="Heading1"/>
        <w:numPr>
          <w:ilvl w:val="0"/>
          <w:numId w:val="6"/>
        </w:numPr>
        <w:tabs>
          <w:tab w:val="left" w:pos="216"/>
        </w:tabs>
        <w:spacing w:before="160" w:line="240" w:lineRule="auto"/>
        <w:ind w:left="0" w:firstLine="0"/>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Result and Discussion</w:t>
      </w:r>
    </w:p>
    <w:p w14:paraId="25172FF4" w14:textId="77777777" w:rsidR="00FC7911" w:rsidRPr="00276766" w:rsidRDefault="00FC7911" w:rsidP="00276766">
      <w:pPr>
        <w:spacing w:after="120" w:line="228" w:lineRule="auto"/>
        <w:ind w:firstLine="288"/>
        <w:rPr>
          <w:rFonts w:cs="Times New Roman"/>
          <w:b/>
          <w:bCs/>
          <w:sz w:val="20"/>
          <w:szCs w:val="20"/>
        </w:rPr>
      </w:pPr>
      <w:r w:rsidRPr="00276766">
        <w:rPr>
          <w:rFonts w:cs="Times New Roman"/>
          <w:sz w:val="20"/>
          <w:szCs w:val="20"/>
        </w:rPr>
        <w:t>Wireless connection is very vital for continuous health monitoring using implanted cardiac devices. Typical issues with conventional single-band systems include low reliability and interference, therefore jeopardizing patient safety. This paper introduces a dual-band wireless communication system enhanced by H-LT. For the system, safety and efficiency were evaluated; respective grades were 91.46% and 95.62%. Comparative analysis and performance criteria in the tables below clearly indicate significant improvement, therefore demonstrating the possibility of this method to deliver trustworthy, real-time cardiac monitoring.</w:t>
      </w:r>
    </w:p>
    <w:p w14:paraId="0597691A" w14:textId="77777777" w:rsidR="00BE496F" w:rsidRPr="00E9577D" w:rsidRDefault="00BE496F" w:rsidP="00AC092D">
      <w:pPr>
        <w:spacing w:after="120" w:line="228" w:lineRule="auto"/>
        <w:jc w:val="center"/>
        <w:rPr>
          <w:rFonts w:cs="Times New Roman"/>
          <w:bCs/>
          <w:noProof/>
          <w:sz w:val="16"/>
          <w:szCs w:val="16"/>
          <w:lang w:eastAsia="en-IN"/>
        </w:rPr>
      </w:pPr>
      <w:r w:rsidRPr="00E9577D">
        <w:rPr>
          <w:rFonts w:cs="Times New Roman"/>
          <w:bCs/>
          <w:noProof/>
          <w:sz w:val="16"/>
          <w:szCs w:val="16"/>
          <w:lang w:eastAsia="en-IN"/>
        </w:rPr>
        <w:drawing>
          <wp:inline distT="0" distB="0" distL="0" distR="0" wp14:anchorId="3A75B703" wp14:editId="71DE6A3F">
            <wp:extent cx="3010361" cy="260497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11699" cy="2606134"/>
                    </a:xfrm>
                    <a:prstGeom prst="rect">
                      <a:avLst/>
                    </a:prstGeom>
                    <a:noFill/>
                    <a:ln w="9525">
                      <a:noFill/>
                      <a:miter lim="800000"/>
                      <a:headEnd/>
                      <a:tailEnd/>
                    </a:ln>
                  </pic:spPr>
                </pic:pic>
              </a:graphicData>
            </a:graphic>
          </wp:inline>
        </w:drawing>
      </w:r>
    </w:p>
    <w:p w14:paraId="1CA7CC89" w14:textId="77777777" w:rsidR="006625BE" w:rsidRPr="00E9577D" w:rsidRDefault="00FC7911"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 xml:space="preserve">Figure 4: </w:t>
      </w:r>
      <w:r w:rsidR="006625BE" w:rsidRPr="00E9577D">
        <w:rPr>
          <w:rFonts w:cs="Times New Roman"/>
          <w:bCs/>
          <w:noProof/>
          <w:sz w:val="16"/>
          <w:szCs w:val="16"/>
          <w:lang w:eastAsia="en-IN"/>
        </w:rPr>
        <w:t xml:space="preserve">Analysis of </w:t>
      </w:r>
      <w:r w:rsidR="00231C35" w:rsidRPr="00E9577D">
        <w:rPr>
          <w:rFonts w:cs="Times New Roman"/>
          <w:bCs/>
          <w:noProof/>
          <w:sz w:val="16"/>
          <w:szCs w:val="16"/>
          <w:lang w:eastAsia="en-IN"/>
        </w:rPr>
        <w:t>safety</w:t>
      </w:r>
    </w:p>
    <w:p w14:paraId="6C5E5F2F" w14:textId="77777777" w:rsidR="00FC7911" w:rsidRPr="00276766" w:rsidRDefault="00FC7911" w:rsidP="00276766">
      <w:pPr>
        <w:spacing w:after="120" w:line="228" w:lineRule="auto"/>
        <w:ind w:firstLine="288"/>
        <w:rPr>
          <w:rFonts w:cs="Times New Roman"/>
          <w:sz w:val="20"/>
          <w:szCs w:val="20"/>
        </w:rPr>
      </w:pPr>
      <w:r w:rsidRPr="00276766">
        <w:rPr>
          <w:rFonts w:cs="Times New Roman"/>
          <w:sz w:val="20"/>
          <w:szCs w:val="20"/>
        </w:rPr>
        <w:t xml:space="preserve">It investigated the proposed dual-band wireless communication system for cardiac implants using H-LT in numerous simulated cardiac conditions. The research demonstrated significant dependability in maintaining constant and safe data transmission throughout severe medical emergencies with a safety performance of 95.62% shown in figure 4. This excellent safety rate ensures that the system can routinely provide necessary physiological data without interruption, therefore considerably reducing the </w:t>
      </w:r>
      <w:r w:rsidRPr="00276766">
        <w:rPr>
          <w:rFonts w:cs="Times New Roman"/>
          <w:sz w:val="20"/>
          <w:szCs w:val="20"/>
        </w:rPr>
        <w:t xml:space="preserve">possibility of communication failure. By use of dual-band frequencies, the system avoids channel congestion and interference, therefore enabling greater safety profile and suitable for use in demanding, multi-device healthcare environments. </w:t>
      </w:r>
    </w:p>
    <w:p w14:paraId="3DD32B28" w14:textId="77777777" w:rsidR="002A0A3D" w:rsidRPr="00276766" w:rsidRDefault="002A0A3D" w:rsidP="00684DD4">
      <w:pPr>
        <w:spacing w:after="120" w:line="228" w:lineRule="auto"/>
        <w:jc w:val="center"/>
        <w:rPr>
          <w:rFonts w:cs="Times New Roman"/>
          <w:sz w:val="20"/>
          <w:szCs w:val="20"/>
        </w:rPr>
      </w:pPr>
      <m:oMathPara>
        <m:oMath>
          <m:r>
            <w:rPr>
              <w:rFonts w:ascii="Cambria Math" w:eastAsiaTheme="minorEastAsia" w:hAnsi="Cambria Math" w:cs="Times New Roman"/>
              <w:sz w:val="20"/>
              <w:szCs w:val="20"/>
            </w:rPr>
            <m:t>x'(</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eastAsiaTheme="minorEastAsia" w:hAnsi="Cambria Math" w:cs="Times New Roman"/>
                  <w:sz w:val="20"/>
                  <w:szCs w:val="20"/>
                </w:rPr>
                <m:t xml:space="preserve">f') = </m:t>
              </m:r>
            </m:e>
          </m:func>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num>
                    <m:den>
                      <m:r>
                        <w:rPr>
                          <w:rFonts w:ascii="Cambria Math" w:eastAsiaTheme="minorEastAsia" w:hAnsi="Cambria Math" w:cs="Times New Roman"/>
                          <w:sz w:val="20"/>
                          <w:szCs w:val="20"/>
                        </w:rPr>
                        <m:t>w</m:t>
                      </m:r>
                    </m:den>
                  </m:f>
                </m:e>
              </m:d>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+δεαθ-</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 xml:space="preserve">wθ </m:t>
                  </m:r>
                </m:e>
              </m:func>
            </m:den>
          </m:f>
          <m:r>
            <w:rPr>
              <w:rFonts w:ascii="Cambria Math" w:eastAsiaTheme="minorEastAsia" w:hAnsi="Cambria Math" w:cs="Times New Roman"/>
              <w:sz w:val="20"/>
              <w:szCs w:val="20"/>
            </w:rPr>
            <m:t>+Zx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m:t>
              </m:r>
            </m:e>
          </m:d>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sup>
              <m:r>
                <w:rPr>
                  <w:rFonts w:ascii="Cambria Math" w:eastAsiaTheme="minorEastAsia" w:hAnsi="Cambria Math" w:cs="Times New Roman"/>
                  <w:sz w:val="20"/>
                  <w:szCs w:val="20"/>
                </w:rPr>
                <m:t xml:space="preserve">' </m:t>
              </m:r>
            </m:sup>
          </m:sSup>
          <m:r>
            <w:rPr>
              <w:rFonts w:ascii="Cambria Math" w:eastAsiaTheme="minorEastAsia" w:hAnsi="Cambria Math" w:cs="Times New Roman"/>
              <w:sz w:val="20"/>
              <w:szCs w:val="20"/>
            </w:rPr>
            <m:t xml:space="preserve"> (4) </m:t>
          </m:r>
        </m:oMath>
      </m:oMathPara>
    </w:p>
    <w:p w14:paraId="6F3ACCE4" w14:textId="3328CFE3" w:rsidR="002A0A3D" w:rsidRPr="00276766" w:rsidRDefault="002A0A3D"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The system variable </w:t>
      </w:r>
      <m:oMath>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sup>
            <m:r>
              <w:rPr>
                <w:rFonts w:ascii="Cambria Math" w:eastAsiaTheme="minorEastAsia" w:hAnsi="Cambria Math" w:cs="Times New Roman"/>
                <w:sz w:val="20"/>
                <w:szCs w:val="20"/>
              </w:rPr>
              <m:t xml:space="preserve">' </m:t>
            </m:r>
          </m:sup>
        </m:sSup>
      </m:oMath>
      <w:r w:rsidRPr="00276766">
        <w:rPr>
          <w:rFonts w:eastAsia="Times New Roman" w:cs="Times New Roman"/>
          <w:kern w:val="0"/>
          <w:sz w:val="20"/>
          <w:szCs w:val="20"/>
          <w:lang w:eastAsia="en-IN"/>
        </w:rPr>
        <w:t xml:space="preserve"> that is affected by signal strength </w:t>
      </w:r>
      <m:oMath>
        <m:r>
          <w:rPr>
            <w:rFonts w:ascii="Cambria Math" w:eastAsiaTheme="minorEastAsia" w:hAnsi="Cambria Math" w:cs="Times New Roman"/>
            <w:sz w:val="20"/>
            <w:szCs w:val="20"/>
          </w:rPr>
          <m:t>x'(</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eastAsiaTheme="minorEastAsia" w:hAnsi="Cambria Math" w:cs="Times New Roman"/>
                <w:sz w:val="20"/>
                <w:szCs w:val="20"/>
              </w:rPr>
              <m:t xml:space="preserve">f') </m:t>
            </m:r>
          </m:e>
        </m:func>
      </m:oMath>
      <w:r w:rsidRPr="00276766">
        <w:rPr>
          <w:rFonts w:eastAsia="Times New Roman" w:cs="Times New Roman"/>
          <w:kern w:val="0"/>
          <w:sz w:val="20"/>
          <w:szCs w:val="20"/>
          <w:lang w:eastAsia="en-IN"/>
        </w:rPr>
        <w:t xml:space="preserve">, frequency conduct nonlinear physiological inputs such as </w:t>
      </w:r>
      <m:oMath>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num>
              <m:den>
                <m:r>
                  <w:rPr>
                    <w:rFonts w:ascii="Cambria Math" w:eastAsiaTheme="minorEastAsia" w:hAnsi="Cambria Math" w:cs="Times New Roman"/>
                    <w:sz w:val="20"/>
                    <w:szCs w:val="20"/>
                  </w:rPr>
                  <m:t>w</m:t>
                </m:r>
              </m:den>
            </m:f>
          </m:e>
        </m:d>
      </m:oMath>
      <w:r w:rsidRPr="00276766">
        <w:rPr>
          <w:rFonts w:eastAsia="Times New Roman" w:cs="Times New Roman"/>
          <w:kern w:val="0"/>
          <w:sz w:val="20"/>
          <w:szCs w:val="20"/>
          <w:lang w:eastAsia="en-IN"/>
        </w:rPr>
        <w:t>, and deformation of tissue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+δεαθ-</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 xml:space="preserve">wθ </m:t>
            </m:r>
          </m:e>
        </m:func>
      </m:oMath>
      <w:r w:rsidRPr="00276766">
        <w:rPr>
          <w:rFonts w:eastAsia="Times New Roman" w:cs="Times New Roman"/>
          <w:kern w:val="0"/>
          <w:sz w:val="20"/>
          <w:szCs w:val="20"/>
          <w:lang w:eastAsia="en-IN"/>
        </w:rPr>
        <w:t xml:space="preserve"> is described by the derivative (</w:t>
      </w:r>
      <m:oMath>
        <m:r>
          <w:rPr>
            <w:rFonts w:ascii="Cambria Math" w:eastAsiaTheme="minorEastAsia" w:hAnsi="Cambria Math" w:cs="Times New Roman"/>
            <w:sz w:val="20"/>
            <w:szCs w:val="20"/>
          </w:rPr>
          <m:t>Zx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m:t>
            </m:r>
          </m:e>
        </m:d>
      </m:oMath>
      <w:r w:rsidRPr="00276766">
        <w:rPr>
          <w:rFonts w:eastAsia="Times New Roman" w:cs="Times New Roman"/>
          <w:kern w:val="0"/>
          <w:sz w:val="20"/>
          <w:szCs w:val="20"/>
          <w:lang w:eastAsia="en-IN"/>
        </w:rPr>
        <w:t xml:space="preserve">) in Equation (4). This with the suggested approach modify </w:t>
      </w:r>
      <w:r w:rsidR="00FD5E89" w:rsidRPr="00276766">
        <w:rPr>
          <w:rFonts w:cs="Times New Roman"/>
          <w:sz w:val="20"/>
          <w:szCs w:val="20"/>
        </w:rPr>
        <w:t xml:space="preserve">analysis of </w:t>
      </w:r>
      <w:r w:rsidR="00FD5E89" w:rsidRPr="00276766">
        <w:rPr>
          <w:rFonts w:eastAsia="Times New Roman" w:cs="Times New Roman"/>
          <w:kern w:val="0"/>
          <w:sz w:val="20"/>
          <w:szCs w:val="20"/>
          <w:lang w:val="en-US" w:bidi="ta-IN"/>
        </w:rPr>
        <w:t>safety</w:t>
      </w:r>
      <w:r w:rsidR="00FD5E89" w:rsidRPr="00276766">
        <w:rPr>
          <w:rFonts w:eastAsia="Times New Roman" w:cs="Times New Roman"/>
          <w:kern w:val="0"/>
          <w:sz w:val="20"/>
          <w:szCs w:val="20"/>
          <w:lang w:eastAsia="en-IN"/>
        </w:rPr>
        <w:t>.</w:t>
      </w:r>
    </w:p>
    <w:p w14:paraId="7B768FD9" w14:textId="77777777" w:rsidR="003B72A4" w:rsidRPr="00E9577D" w:rsidRDefault="003B72A4" w:rsidP="00684DD4">
      <w:pPr>
        <w:spacing w:after="120" w:line="228" w:lineRule="auto"/>
        <w:jc w:val="center"/>
        <w:rPr>
          <w:rFonts w:cs="Times New Roman"/>
          <w:bCs/>
          <w:noProof/>
          <w:sz w:val="16"/>
          <w:szCs w:val="16"/>
          <w:lang w:eastAsia="en-IN"/>
        </w:rPr>
      </w:pPr>
      <w:r w:rsidRPr="00E9577D">
        <w:rPr>
          <w:rFonts w:cs="Times New Roman"/>
          <w:bCs/>
          <w:noProof/>
          <w:sz w:val="16"/>
          <w:szCs w:val="16"/>
          <w:lang w:eastAsia="en-IN"/>
        </w:rPr>
        <w:drawing>
          <wp:inline distT="0" distB="0" distL="0" distR="0" wp14:anchorId="4067608A" wp14:editId="71160224">
            <wp:extent cx="3115340" cy="2182722"/>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118873" cy="2185197"/>
                    </a:xfrm>
                    <a:prstGeom prst="rect">
                      <a:avLst/>
                    </a:prstGeom>
                    <a:noFill/>
                    <a:ln w="9525">
                      <a:noFill/>
                      <a:miter lim="800000"/>
                      <a:headEnd/>
                      <a:tailEnd/>
                    </a:ln>
                  </pic:spPr>
                </pic:pic>
              </a:graphicData>
            </a:graphic>
          </wp:inline>
        </w:drawing>
      </w:r>
    </w:p>
    <w:p w14:paraId="0E7968C1" w14:textId="77777777" w:rsidR="006625BE" w:rsidRPr="00E9577D" w:rsidRDefault="00FC7911"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 xml:space="preserve">Figure 5: </w:t>
      </w:r>
      <w:r w:rsidR="006625BE" w:rsidRPr="00E9577D">
        <w:rPr>
          <w:rFonts w:cs="Times New Roman"/>
          <w:bCs/>
          <w:noProof/>
          <w:sz w:val="16"/>
          <w:szCs w:val="16"/>
          <w:lang w:eastAsia="en-IN"/>
        </w:rPr>
        <w:t xml:space="preserve">Analysis of </w:t>
      </w:r>
      <w:r w:rsidR="00231C35" w:rsidRPr="00E9577D">
        <w:rPr>
          <w:rFonts w:cs="Times New Roman"/>
          <w:bCs/>
          <w:noProof/>
          <w:sz w:val="16"/>
          <w:szCs w:val="16"/>
          <w:lang w:eastAsia="en-IN"/>
        </w:rPr>
        <w:t>effectiveness</w:t>
      </w:r>
    </w:p>
    <w:p w14:paraId="62B45D66" w14:textId="77777777" w:rsidR="00FC7911" w:rsidRPr="00276766" w:rsidRDefault="00FC7911" w:rsidP="00276766">
      <w:pPr>
        <w:spacing w:after="120" w:line="228" w:lineRule="auto"/>
        <w:ind w:firstLine="288"/>
        <w:rPr>
          <w:rFonts w:cs="Times New Roman"/>
          <w:sz w:val="20"/>
          <w:szCs w:val="20"/>
        </w:rPr>
      </w:pPr>
      <w:r w:rsidRPr="00276766">
        <w:rPr>
          <w:rFonts w:cs="Times New Roman"/>
          <w:sz w:val="20"/>
          <w:szCs w:val="20"/>
        </w:rPr>
        <w:t>The performance of the proposed system was evaluated under settings including data correctness, latency, and responsiveness during continuous cardiac monitoring. The results revealed a 91.46% effectiveness score, therefore verifying the system's ability to provide very accurate and low latency real-time health data (figure 5). Although H-LT allowed adaptive system behavior dependent on dynamic cardiac inputs, the addition of dual-band communication considerably reduced packet loss and improved signal integrity. This assures exact and fast diagnosis of aberrant cardiac events, therefore enhancing the overall patient care and clinical reaction capability. The results indicate the technological practical applicability in real-world medical settings.</w:t>
      </w:r>
    </w:p>
    <w:p w14:paraId="7D2034BF" w14:textId="77777777" w:rsidR="002A0A3D" w:rsidRPr="00276766" w:rsidRDefault="002A0A3D" w:rsidP="00276766">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Ux'+</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du</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dqa'</m:t>
                  </m:r>
                </m:num>
                <m:den>
                  <m:r>
                    <w:rPr>
                      <w:rFonts w:ascii="Cambria Math" w:eastAsiaTheme="minorEastAsia" w:hAnsi="Cambria Math" w:cs="Times New Roman"/>
                      <w:sz w:val="20"/>
                      <w:szCs w:val="20"/>
                    </w:rPr>
                    <m:t>vs</m:t>
                  </m:r>
                </m:den>
              </m:f>
              <m:r>
                <w:rPr>
                  <w:rFonts w:ascii="Cambria Math" w:eastAsiaTheme="minorEastAsia" w:hAnsi="Cambria Math" w:cs="Times New Roman"/>
                  <w:sz w:val="20"/>
                  <w:szCs w:val="20"/>
                </w:rPr>
                <m:t>* (1-</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θ)</m:t>
                  </m:r>
                </m:e>
              </m:func>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 xml:space="preserve">  (5)</m:t>
          </m:r>
        </m:oMath>
      </m:oMathPara>
    </w:p>
    <w:p w14:paraId="4B4A515D" w14:textId="45411DB2" w:rsidR="002A0A3D" w:rsidRPr="00276766" w:rsidRDefault="002A0A3D"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Equation (5) expresses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du</m:t>
            </m:r>
          </m:den>
        </m:f>
      </m:oMath>
      <w:r w:rsidRPr="00276766">
        <w:rPr>
          <w:rFonts w:eastAsia="Times New Roman" w:cs="Times New Roman"/>
          <w:kern w:val="0"/>
          <w:sz w:val="20"/>
          <w:szCs w:val="20"/>
          <w:lang w:eastAsia="en-IN"/>
        </w:rPr>
        <w:t xml:space="preserve"> a system's force or signal modulation </w:t>
      </w:r>
      <m:oMath>
        <m:r>
          <w:rPr>
            <w:rFonts w:ascii="Cambria Math" w:eastAsiaTheme="minorEastAsia" w:hAnsi="Cambria Math" w:cs="Times New Roman"/>
            <w:sz w:val="20"/>
            <w:szCs w:val="20"/>
          </w:rPr>
          <m:t>Ux'</m:t>
        </m:r>
      </m:oMath>
      <w:r w:rsidRPr="00276766">
        <w:rPr>
          <w:rFonts w:eastAsia="Times New Roman" w:cs="Times New Roman"/>
          <w:kern w:val="0"/>
          <w:sz w:val="20"/>
          <w:szCs w:val="20"/>
          <w:lang w:eastAsia="en-IN"/>
        </w:rPr>
        <w:t xml:space="preserve"> integrating biomechanical and electromagnetic influences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dqa'</m:t>
            </m:r>
          </m:num>
          <m:den>
            <m:r>
              <w:rPr>
                <w:rFonts w:ascii="Cambria Math" w:eastAsiaTheme="minorEastAsia" w:hAnsi="Cambria Math" w:cs="Times New Roman"/>
                <w:sz w:val="20"/>
                <w:szCs w:val="20"/>
              </w:rPr>
              <m:t>vs</m:t>
            </m:r>
          </m:den>
        </m:f>
      </m:oMath>
      <w:r w:rsidRPr="00276766">
        <w:rPr>
          <w:rFonts w:eastAsia="Times New Roman" w:cs="Times New Roman"/>
          <w:kern w:val="0"/>
          <w:sz w:val="20"/>
          <w:szCs w:val="20"/>
          <w:lang w:eastAsia="en-IN"/>
        </w:rPr>
        <w:t xml:space="preserve">. This relates to the proposed dual-band method </w:t>
      </w:r>
      <m:oMath>
        <m:r>
          <w:rPr>
            <w:rFonts w:ascii="Cambria Math" w:eastAsiaTheme="minorEastAsia" w:hAnsi="Cambria Math" w:cs="Times New Roman"/>
            <w:sz w:val="20"/>
            <w:szCs w:val="20"/>
          </w:rPr>
          <m:t>(1-</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θ)</m:t>
            </m:r>
          </m:e>
        </m:func>
      </m:oMath>
      <w:r w:rsidRPr="00276766">
        <w:rPr>
          <w:rFonts w:eastAsia="Times New Roman" w:cs="Times New Roman"/>
          <w:kern w:val="0"/>
          <w:sz w:val="20"/>
          <w:szCs w:val="20"/>
          <w:lang w:eastAsia="en-IN"/>
        </w:rPr>
        <w:t xml:space="preserve"> by modeling devices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oMath>
      <w:r w:rsidRPr="00276766">
        <w:rPr>
          <w:rFonts w:eastAsia="Times New Roman" w:cs="Times New Roman"/>
          <w:kern w:val="0"/>
          <w:sz w:val="20"/>
          <w:szCs w:val="20"/>
          <w:lang w:eastAsia="en-IN"/>
        </w:rPr>
        <w:t xml:space="preserve"> adjust transmission power and data encoding in response to </w:t>
      </w:r>
      <w:r w:rsidR="00FD5E89" w:rsidRPr="00276766">
        <w:rPr>
          <w:rFonts w:cs="Times New Roman"/>
          <w:sz w:val="20"/>
          <w:szCs w:val="20"/>
        </w:rPr>
        <w:t xml:space="preserve">analysis of </w:t>
      </w:r>
      <w:r w:rsidR="00FD5E89" w:rsidRPr="00276766">
        <w:rPr>
          <w:rFonts w:eastAsia="Times New Roman" w:cs="Times New Roman"/>
          <w:kern w:val="0"/>
          <w:sz w:val="20"/>
          <w:szCs w:val="20"/>
          <w:lang w:val="en-US" w:bidi="ta-IN"/>
        </w:rPr>
        <w:t>effectiveness</w:t>
      </w:r>
      <w:r w:rsidR="00FD5E89" w:rsidRPr="00276766">
        <w:rPr>
          <w:rFonts w:eastAsia="Times New Roman" w:cs="Times New Roman"/>
          <w:kern w:val="0"/>
          <w:sz w:val="20"/>
          <w:szCs w:val="20"/>
          <w:lang w:eastAsia="en-IN"/>
        </w:rPr>
        <w:t>.</w:t>
      </w:r>
    </w:p>
    <w:p w14:paraId="3C6FEF1E" w14:textId="77777777" w:rsidR="00595F24" w:rsidRPr="00E9577D" w:rsidRDefault="00595F24"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 xml:space="preserve">Table </w:t>
      </w:r>
      <w:r w:rsidR="00975CBB" w:rsidRPr="00E9577D">
        <w:rPr>
          <w:rFonts w:cs="Times New Roman"/>
          <w:bCs/>
          <w:noProof/>
          <w:sz w:val="16"/>
          <w:szCs w:val="16"/>
          <w:lang w:eastAsia="en-IN"/>
        </w:rPr>
        <w:t>2</w:t>
      </w:r>
      <w:r w:rsidRPr="00E9577D">
        <w:rPr>
          <w:rFonts w:cs="Times New Roman"/>
          <w:bCs/>
          <w:noProof/>
          <w:sz w:val="16"/>
          <w:szCs w:val="16"/>
          <w:lang w:eastAsia="en-IN"/>
        </w:rPr>
        <w:t>: Performance Comparison of Wireless Communication Methods</w:t>
      </w:r>
    </w:p>
    <w:tbl>
      <w:tblPr>
        <w:tblStyle w:val="TableGrid"/>
        <w:tblW w:w="0" w:type="auto"/>
        <w:tblLook w:val="04A0" w:firstRow="1" w:lastRow="0" w:firstColumn="1" w:lastColumn="0" w:noHBand="0" w:noVBand="1"/>
      </w:tblPr>
      <w:tblGrid>
        <w:gridCol w:w="1424"/>
        <w:gridCol w:w="953"/>
        <w:gridCol w:w="1314"/>
        <w:gridCol w:w="1166"/>
      </w:tblGrid>
      <w:tr w:rsidR="00276766" w:rsidRPr="00AC092D" w14:paraId="2608C0FD" w14:textId="77777777" w:rsidTr="00AC092D">
        <w:tc>
          <w:tcPr>
            <w:tcW w:w="0" w:type="auto"/>
            <w:hideMark/>
          </w:tcPr>
          <w:p w14:paraId="2D351C4E"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Parameter</w:t>
            </w:r>
          </w:p>
        </w:tc>
        <w:tc>
          <w:tcPr>
            <w:tcW w:w="0" w:type="auto"/>
            <w:hideMark/>
          </w:tcPr>
          <w:p w14:paraId="698B9DF9"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Single-Band System</w:t>
            </w:r>
          </w:p>
        </w:tc>
        <w:tc>
          <w:tcPr>
            <w:tcW w:w="0" w:type="auto"/>
            <w:hideMark/>
          </w:tcPr>
          <w:p w14:paraId="2C3837CB"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Dual-Band System (Proposed)</w:t>
            </w:r>
          </w:p>
        </w:tc>
        <w:tc>
          <w:tcPr>
            <w:tcW w:w="0" w:type="auto"/>
            <w:hideMark/>
          </w:tcPr>
          <w:p w14:paraId="03C13487"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Improvement (%)</w:t>
            </w:r>
          </w:p>
        </w:tc>
      </w:tr>
      <w:tr w:rsidR="00276766" w:rsidRPr="00AC092D" w14:paraId="3C0D5E07" w14:textId="77777777" w:rsidTr="00AC092D">
        <w:tc>
          <w:tcPr>
            <w:tcW w:w="0" w:type="auto"/>
            <w:hideMark/>
          </w:tcPr>
          <w:p w14:paraId="38E0684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Data Reliability</w:t>
            </w:r>
          </w:p>
        </w:tc>
        <w:tc>
          <w:tcPr>
            <w:tcW w:w="0" w:type="auto"/>
            <w:hideMark/>
          </w:tcPr>
          <w:p w14:paraId="140C3DE3"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78.5%</w:t>
            </w:r>
          </w:p>
        </w:tc>
        <w:tc>
          <w:tcPr>
            <w:tcW w:w="0" w:type="auto"/>
            <w:hideMark/>
          </w:tcPr>
          <w:p w14:paraId="34AEF0C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95.62%</w:t>
            </w:r>
          </w:p>
        </w:tc>
        <w:tc>
          <w:tcPr>
            <w:tcW w:w="0" w:type="auto"/>
            <w:hideMark/>
          </w:tcPr>
          <w:p w14:paraId="3656D3F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+40%</w:t>
            </w:r>
          </w:p>
        </w:tc>
      </w:tr>
      <w:tr w:rsidR="00276766" w:rsidRPr="00AC092D" w14:paraId="131E86F4" w14:textId="77777777" w:rsidTr="00AC092D">
        <w:tc>
          <w:tcPr>
            <w:tcW w:w="0" w:type="auto"/>
            <w:hideMark/>
          </w:tcPr>
          <w:p w14:paraId="67DD0317"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lastRenderedPageBreak/>
              <w:t>Communication Latency</w:t>
            </w:r>
          </w:p>
        </w:tc>
        <w:tc>
          <w:tcPr>
            <w:tcW w:w="0" w:type="auto"/>
            <w:hideMark/>
          </w:tcPr>
          <w:p w14:paraId="24CC6D5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140 ms</w:t>
            </w:r>
          </w:p>
        </w:tc>
        <w:tc>
          <w:tcPr>
            <w:tcW w:w="0" w:type="auto"/>
            <w:hideMark/>
          </w:tcPr>
          <w:p w14:paraId="518A556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98 ms</w:t>
            </w:r>
          </w:p>
        </w:tc>
        <w:tc>
          <w:tcPr>
            <w:tcW w:w="0" w:type="auto"/>
            <w:hideMark/>
          </w:tcPr>
          <w:p w14:paraId="42FA305F"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-30%</w:t>
            </w:r>
          </w:p>
        </w:tc>
      </w:tr>
      <w:tr w:rsidR="00276766" w:rsidRPr="00AC092D" w14:paraId="69A68593" w14:textId="77777777" w:rsidTr="00AC092D">
        <w:tc>
          <w:tcPr>
            <w:tcW w:w="0" w:type="auto"/>
            <w:hideMark/>
          </w:tcPr>
          <w:p w14:paraId="152BFB56"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Signal Interference Rate</w:t>
            </w:r>
          </w:p>
        </w:tc>
        <w:tc>
          <w:tcPr>
            <w:tcW w:w="0" w:type="auto"/>
            <w:hideMark/>
          </w:tcPr>
          <w:p w14:paraId="5355CAAA"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High</w:t>
            </w:r>
          </w:p>
        </w:tc>
        <w:tc>
          <w:tcPr>
            <w:tcW w:w="0" w:type="auto"/>
            <w:hideMark/>
          </w:tcPr>
          <w:p w14:paraId="1D4CACFC"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Low</w:t>
            </w:r>
          </w:p>
        </w:tc>
        <w:tc>
          <w:tcPr>
            <w:tcW w:w="0" w:type="auto"/>
            <w:hideMark/>
          </w:tcPr>
          <w:p w14:paraId="2194EF21"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w:t>
            </w:r>
          </w:p>
        </w:tc>
      </w:tr>
      <w:tr w:rsidR="00276766" w:rsidRPr="00AC092D" w14:paraId="02BA9BCE" w14:textId="77777777" w:rsidTr="00AC092D">
        <w:tc>
          <w:tcPr>
            <w:tcW w:w="0" w:type="auto"/>
            <w:hideMark/>
          </w:tcPr>
          <w:p w14:paraId="345F4845"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Packet Loss</w:t>
            </w:r>
          </w:p>
        </w:tc>
        <w:tc>
          <w:tcPr>
            <w:tcW w:w="0" w:type="auto"/>
            <w:hideMark/>
          </w:tcPr>
          <w:p w14:paraId="4664602C"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6.4%</w:t>
            </w:r>
          </w:p>
        </w:tc>
        <w:tc>
          <w:tcPr>
            <w:tcW w:w="0" w:type="auto"/>
            <w:hideMark/>
          </w:tcPr>
          <w:p w14:paraId="13CA6169"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2.1%</w:t>
            </w:r>
          </w:p>
        </w:tc>
        <w:tc>
          <w:tcPr>
            <w:tcW w:w="0" w:type="auto"/>
            <w:hideMark/>
          </w:tcPr>
          <w:p w14:paraId="5607C26C"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-67%</w:t>
            </w:r>
          </w:p>
        </w:tc>
      </w:tr>
    </w:tbl>
    <w:p w14:paraId="7DFBFDB6" w14:textId="77777777" w:rsidR="00FC7911" w:rsidRPr="00276766" w:rsidRDefault="00FC7911" w:rsidP="00276766">
      <w:pPr>
        <w:spacing w:after="120" w:line="228" w:lineRule="auto"/>
        <w:ind w:firstLine="288"/>
        <w:rPr>
          <w:rFonts w:cs="Times New Roman"/>
          <w:sz w:val="20"/>
          <w:szCs w:val="20"/>
        </w:rPr>
      </w:pPr>
      <w:r w:rsidRPr="00276766">
        <w:rPr>
          <w:rFonts w:cs="Times New Roman"/>
          <w:sz w:val="20"/>
          <w:szCs w:val="20"/>
        </w:rPr>
        <w:t>Table 2 shows the anticipated dual-band system for cardiac implants against standard single-band wireless communication technologies. It highlights especially significant improvements in data reliability, reduced connection latency, and fewer packet loss. The dual-band technology performs remarkably by lowering signal interference and providing consistent data delivery. These developments demonstrate the system's appropriateness for usage in important healthcare environments as they provide more efficient and safer real-time cardiac monitoring.</w:t>
      </w:r>
    </w:p>
    <w:p w14:paraId="47411CE3" w14:textId="77777777" w:rsidR="00595F24" w:rsidRPr="00E9577D" w:rsidRDefault="00975CBB" w:rsidP="00E9577D">
      <w:pPr>
        <w:spacing w:after="120" w:line="228" w:lineRule="auto"/>
        <w:rPr>
          <w:rFonts w:cs="Times New Roman"/>
          <w:bCs/>
          <w:noProof/>
          <w:sz w:val="16"/>
          <w:szCs w:val="16"/>
          <w:lang w:eastAsia="en-IN"/>
        </w:rPr>
      </w:pPr>
      <w:r w:rsidRPr="00E9577D">
        <w:rPr>
          <w:rFonts w:cs="Times New Roman"/>
          <w:bCs/>
          <w:noProof/>
          <w:sz w:val="16"/>
          <w:szCs w:val="16"/>
          <w:lang w:eastAsia="en-IN"/>
        </w:rPr>
        <w:t>Table 3</w:t>
      </w:r>
      <w:r w:rsidR="00595F24" w:rsidRPr="00E9577D">
        <w:rPr>
          <w:rFonts w:cs="Times New Roman"/>
          <w:bCs/>
          <w:noProof/>
          <w:sz w:val="16"/>
          <w:szCs w:val="16"/>
          <w:lang w:eastAsia="en-IN"/>
        </w:rPr>
        <w:t>: Evaluation Metrics of the Proposed Method</w:t>
      </w:r>
    </w:p>
    <w:tbl>
      <w:tblPr>
        <w:tblStyle w:val="TableGrid"/>
        <w:tblW w:w="0" w:type="auto"/>
        <w:tblLook w:val="04A0" w:firstRow="1" w:lastRow="0" w:firstColumn="1" w:lastColumn="0" w:noHBand="0" w:noVBand="1"/>
      </w:tblPr>
      <w:tblGrid>
        <w:gridCol w:w="1570"/>
        <w:gridCol w:w="753"/>
        <w:gridCol w:w="2534"/>
      </w:tblGrid>
      <w:tr w:rsidR="00276766" w:rsidRPr="00AC092D" w14:paraId="6E934A12" w14:textId="77777777" w:rsidTr="00AC092D">
        <w:tc>
          <w:tcPr>
            <w:tcW w:w="0" w:type="auto"/>
            <w:hideMark/>
          </w:tcPr>
          <w:p w14:paraId="27FE0E5A"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Evaluation Metric</w:t>
            </w:r>
          </w:p>
        </w:tc>
        <w:tc>
          <w:tcPr>
            <w:tcW w:w="0" w:type="auto"/>
            <w:hideMark/>
          </w:tcPr>
          <w:p w14:paraId="58795D06"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Value (%)</w:t>
            </w:r>
          </w:p>
        </w:tc>
        <w:tc>
          <w:tcPr>
            <w:tcW w:w="0" w:type="auto"/>
            <w:hideMark/>
          </w:tcPr>
          <w:p w14:paraId="42F29036"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Description</w:t>
            </w:r>
          </w:p>
        </w:tc>
      </w:tr>
      <w:tr w:rsidR="00276766" w:rsidRPr="00AC092D" w14:paraId="6F89FB8A" w14:textId="77777777" w:rsidTr="00AC092D">
        <w:tc>
          <w:tcPr>
            <w:tcW w:w="0" w:type="auto"/>
            <w:hideMark/>
          </w:tcPr>
          <w:p w14:paraId="238D884E"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Safety Analysis</w:t>
            </w:r>
          </w:p>
        </w:tc>
        <w:tc>
          <w:tcPr>
            <w:tcW w:w="0" w:type="auto"/>
            <w:hideMark/>
          </w:tcPr>
          <w:p w14:paraId="07B2E43E"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95.62</w:t>
            </w:r>
          </w:p>
        </w:tc>
        <w:tc>
          <w:tcPr>
            <w:tcW w:w="0" w:type="auto"/>
            <w:hideMark/>
          </w:tcPr>
          <w:p w14:paraId="74EAD212"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Reliability in secure data transmission under stress</w:t>
            </w:r>
          </w:p>
        </w:tc>
      </w:tr>
      <w:tr w:rsidR="00276766" w:rsidRPr="00AC092D" w14:paraId="02F15C02" w14:textId="77777777" w:rsidTr="00AC092D">
        <w:tc>
          <w:tcPr>
            <w:tcW w:w="0" w:type="auto"/>
            <w:hideMark/>
          </w:tcPr>
          <w:p w14:paraId="1B83D8D8"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Effectiveness Analysis</w:t>
            </w:r>
          </w:p>
        </w:tc>
        <w:tc>
          <w:tcPr>
            <w:tcW w:w="0" w:type="auto"/>
            <w:hideMark/>
          </w:tcPr>
          <w:p w14:paraId="2C2285C0"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91.46</w:t>
            </w:r>
          </w:p>
        </w:tc>
        <w:tc>
          <w:tcPr>
            <w:tcW w:w="0" w:type="auto"/>
            <w:hideMark/>
          </w:tcPr>
          <w:p w14:paraId="4371E1D4"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Accuracy and responsiveness in real-time monitoring</w:t>
            </w:r>
          </w:p>
        </w:tc>
      </w:tr>
      <w:tr w:rsidR="00276766" w:rsidRPr="00AC092D" w14:paraId="24E959EA" w14:textId="77777777" w:rsidTr="00AC092D">
        <w:tc>
          <w:tcPr>
            <w:tcW w:w="0" w:type="auto"/>
            <w:hideMark/>
          </w:tcPr>
          <w:p w14:paraId="006371FA"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System Adaptability</w:t>
            </w:r>
          </w:p>
        </w:tc>
        <w:tc>
          <w:tcPr>
            <w:tcW w:w="0" w:type="auto"/>
            <w:hideMark/>
          </w:tcPr>
          <w:p w14:paraId="02182E9C"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89.75</w:t>
            </w:r>
          </w:p>
        </w:tc>
        <w:tc>
          <w:tcPr>
            <w:tcW w:w="0" w:type="auto"/>
            <w:hideMark/>
          </w:tcPr>
          <w:p w14:paraId="74C0D647"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Ability to respond to dynamic cardiac conditions</w:t>
            </w:r>
          </w:p>
        </w:tc>
      </w:tr>
      <w:tr w:rsidR="00276766" w:rsidRPr="00AC092D" w14:paraId="5A2D163B" w14:textId="77777777" w:rsidTr="00AC092D">
        <w:tc>
          <w:tcPr>
            <w:tcW w:w="0" w:type="auto"/>
            <w:hideMark/>
          </w:tcPr>
          <w:p w14:paraId="272B2F5D"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Communication Stability</w:t>
            </w:r>
          </w:p>
        </w:tc>
        <w:tc>
          <w:tcPr>
            <w:tcW w:w="0" w:type="auto"/>
            <w:hideMark/>
          </w:tcPr>
          <w:p w14:paraId="3EC4D5F5"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94.20</w:t>
            </w:r>
          </w:p>
        </w:tc>
        <w:tc>
          <w:tcPr>
            <w:tcW w:w="0" w:type="auto"/>
            <w:hideMark/>
          </w:tcPr>
          <w:p w14:paraId="2050E34F" w14:textId="77777777" w:rsidR="00595F24" w:rsidRPr="00AC092D" w:rsidRDefault="00595F24" w:rsidP="00AC092D">
            <w:pPr>
              <w:jc w:val="left"/>
              <w:rPr>
                <w:rFonts w:eastAsia="Times New Roman" w:cs="Times New Roman"/>
                <w:kern w:val="0"/>
                <w:sz w:val="16"/>
                <w:szCs w:val="16"/>
                <w:lang w:val="en-US" w:bidi="ta-IN"/>
              </w:rPr>
            </w:pPr>
            <w:r w:rsidRPr="00AC092D">
              <w:rPr>
                <w:rFonts w:eastAsia="Times New Roman" w:cs="Times New Roman"/>
                <w:kern w:val="0"/>
                <w:sz w:val="16"/>
                <w:szCs w:val="16"/>
                <w:lang w:val="en-US" w:bidi="ta-IN"/>
              </w:rPr>
              <w:t>Consistency of data flow across dual-band channels</w:t>
            </w:r>
          </w:p>
        </w:tc>
      </w:tr>
    </w:tbl>
    <w:p w14:paraId="29E5ED7C" w14:textId="77777777" w:rsidR="00FC7911" w:rsidRPr="00276766" w:rsidRDefault="00FC7911" w:rsidP="00276766">
      <w:pPr>
        <w:spacing w:after="120" w:line="228" w:lineRule="auto"/>
        <w:ind w:firstLine="288"/>
        <w:rPr>
          <w:rFonts w:cs="Times New Roman"/>
          <w:sz w:val="20"/>
          <w:szCs w:val="20"/>
        </w:rPr>
      </w:pPr>
      <w:r w:rsidRPr="00276766">
        <w:rPr>
          <w:rFonts w:cs="Times New Roman"/>
          <w:sz w:val="20"/>
          <w:szCs w:val="20"/>
        </w:rPr>
        <w:t xml:space="preserve">Table 3 presents the evaluation criteria related to the proposed dual-band communication system coupled with H-LT. Important standards like safety, effectiveness, adaptability, and communication stability are quantitative ones. The high percentages over all criteria reflect the excellent functioning of the system in demanding and dynamic medical surroundings. These values demonstrate that the recommended strategy is clinically trustworthy and technically robust, thereby improving continuous heart health monitoring by way of improved data accuracy and real-time responsiveness. </w:t>
      </w:r>
    </w:p>
    <w:p w14:paraId="74D47274" w14:textId="041A7F8E" w:rsidR="00FC7911" w:rsidRPr="00276766" w:rsidRDefault="00FC7911" w:rsidP="00276766">
      <w:pPr>
        <w:spacing w:after="120" w:line="228" w:lineRule="auto"/>
        <w:ind w:firstLine="288"/>
        <w:rPr>
          <w:rFonts w:cs="Times New Roman"/>
          <w:b/>
          <w:bCs/>
          <w:sz w:val="20"/>
          <w:szCs w:val="20"/>
        </w:rPr>
      </w:pPr>
      <w:r w:rsidRPr="00276766">
        <w:rPr>
          <w:rFonts w:cs="Times New Roman"/>
          <w:sz w:val="20"/>
          <w:szCs w:val="20"/>
        </w:rPr>
        <w:t>These results, obtained via hardware-in-loop testing, verify the capacity of the dual-band technology to enhance cardiac implant performance and provide continuous, accurate monitoring in significant medical environments.</w:t>
      </w:r>
    </w:p>
    <w:p w14:paraId="1537C620" w14:textId="77777777" w:rsidR="006625BE" w:rsidRPr="006B043D" w:rsidRDefault="006625BE" w:rsidP="006B043D">
      <w:pPr>
        <w:pStyle w:val="Heading1"/>
        <w:numPr>
          <w:ilvl w:val="0"/>
          <w:numId w:val="6"/>
        </w:numPr>
        <w:tabs>
          <w:tab w:val="left" w:pos="216"/>
        </w:tabs>
        <w:spacing w:before="160" w:line="240" w:lineRule="auto"/>
        <w:ind w:left="0" w:firstLine="0"/>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Conclusion</w:t>
      </w:r>
    </w:p>
    <w:p w14:paraId="1D54A10C" w14:textId="5A0C0155" w:rsidR="004A6B1E" w:rsidRPr="00276766" w:rsidRDefault="006870BF" w:rsidP="00276766">
      <w:pPr>
        <w:spacing w:after="120" w:line="228" w:lineRule="auto"/>
        <w:ind w:firstLine="288"/>
        <w:rPr>
          <w:rFonts w:eastAsia="Times New Roman" w:cs="Times New Roman"/>
          <w:kern w:val="0"/>
          <w:sz w:val="20"/>
          <w:szCs w:val="20"/>
          <w:lang w:eastAsia="en-IN"/>
        </w:rPr>
      </w:pPr>
      <w:r w:rsidRPr="00276766">
        <w:rPr>
          <w:rFonts w:eastAsia="Times New Roman" w:cs="Times New Roman"/>
          <w:kern w:val="0"/>
          <w:sz w:val="20"/>
          <w:szCs w:val="20"/>
          <w:lang w:eastAsia="en-IN"/>
        </w:rPr>
        <w:t xml:space="preserve">This study suggests a novel approach to enhance implanted cardiac healthcare devices by means of dual-band wireless communication supported by H-LT. The suggested technology addresses significant limits in conventional single-band communication like excessive delay, packet loss, and interference sensitivity by improving data transfer under various environmental conditions employing two frequency bands. </w:t>
      </w:r>
      <w:r w:rsidR="00803AEE" w:rsidRPr="00276766">
        <w:rPr>
          <w:rFonts w:eastAsia="Times New Roman" w:cs="Times New Roman"/>
          <w:kern w:val="0"/>
          <w:sz w:val="20"/>
          <w:szCs w:val="20"/>
          <w:lang w:eastAsia="en-IN"/>
        </w:rPr>
        <w:t xml:space="preserve">With a safety score of 95.62% and an efficacy of 91.46%, thorough performance assessment showed substantial progress. These procedures show how well the system guarantees continuous, real-time cardiac monitoring with low latency and good data integrity. By use of H-LT, exact </w:t>
      </w:r>
      <w:r w:rsidRPr="00276766">
        <w:rPr>
          <w:rFonts w:eastAsia="Times New Roman" w:cs="Times New Roman"/>
          <w:kern w:val="0"/>
          <w:sz w:val="20"/>
          <w:szCs w:val="20"/>
          <w:lang w:eastAsia="en-IN"/>
        </w:rPr>
        <w:t>modelling</w:t>
      </w:r>
      <w:r w:rsidR="00803AEE" w:rsidRPr="00276766">
        <w:rPr>
          <w:rFonts w:eastAsia="Times New Roman" w:cs="Times New Roman"/>
          <w:kern w:val="0"/>
          <w:sz w:val="20"/>
          <w:szCs w:val="20"/>
          <w:lang w:eastAsia="en-IN"/>
        </w:rPr>
        <w:t xml:space="preserve"> of dynamic cardiac events was made possible, therefore offering a reasonable and responsive basis for evaluating the performance of the implanted device before clinical release. Moreover, the dual-band design enhanced communication resilience by appropriately controlling congestion and offering redundancy in signal transmissions. These developments help to maximize more general objectives of remote healthcare and customized treatment as well as improve clinical results and reduce patient risk</w:t>
      </w:r>
      <w:r w:rsidR="004A6B1E" w:rsidRPr="00276766">
        <w:rPr>
          <w:rFonts w:cs="Times New Roman"/>
          <w:sz w:val="20"/>
          <w:szCs w:val="20"/>
        </w:rPr>
        <w:t xml:space="preserve">. Combining real-time, high-fidelity testing methods with </w:t>
      </w:r>
      <w:r w:rsidR="004A6B1E" w:rsidRPr="00276766">
        <w:rPr>
          <w:rFonts w:cs="Times New Roman"/>
          <w:sz w:val="20"/>
          <w:szCs w:val="20"/>
        </w:rPr>
        <w:t xml:space="preserve">enhanced wireless connectivity, the suggested architecture basically provides the foundation for next-generation smart cardiac implants, thereby helping to build safer and more effective implanted medical devices. </w:t>
      </w:r>
    </w:p>
    <w:p w14:paraId="52B2F87D" w14:textId="77777777" w:rsidR="006625BE" w:rsidRPr="00276766" w:rsidRDefault="006625BE" w:rsidP="00276766">
      <w:pPr>
        <w:spacing w:after="120" w:line="228" w:lineRule="auto"/>
        <w:ind w:firstLine="288"/>
        <w:rPr>
          <w:rFonts w:cs="Times New Roman"/>
          <w:b/>
          <w:sz w:val="20"/>
          <w:szCs w:val="20"/>
        </w:rPr>
      </w:pPr>
      <w:r w:rsidRPr="00276766">
        <w:rPr>
          <w:rFonts w:cs="Times New Roman"/>
          <w:b/>
          <w:sz w:val="20"/>
          <w:szCs w:val="20"/>
        </w:rPr>
        <w:t>Future work</w:t>
      </w:r>
      <w:r w:rsidR="004A6B1E" w:rsidRPr="00276766">
        <w:rPr>
          <w:rFonts w:cs="Times New Roman"/>
          <w:b/>
          <w:sz w:val="20"/>
          <w:szCs w:val="20"/>
        </w:rPr>
        <w:t xml:space="preserve"> </w:t>
      </w:r>
      <w:r w:rsidR="004A6B1E" w:rsidRPr="00276766">
        <w:rPr>
          <w:rFonts w:cs="Times New Roman"/>
          <w:sz w:val="20"/>
          <w:szCs w:val="20"/>
        </w:rPr>
        <w:t>will look at how patient-specific data and environmental elements could guide adaptive communication control using artificial intelligence. Moreover under consideration will be using the technology to allow multi-implant communication within a body area network (BAN). Actual clinical studies and long-term performance monitoring will support even more the system's reliability. Furthermore pursued will be hardware component reduction and power efficiency development to allow extended battery life and reasonable deployment in commercial grade cardiac implants.</w:t>
      </w:r>
    </w:p>
    <w:p w14:paraId="36F3B6EA" w14:textId="13E5F595" w:rsidR="006625BE" w:rsidRPr="006B043D" w:rsidRDefault="006625BE" w:rsidP="006B043D">
      <w:pPr>
        <w:pStyle w:val="Heading1"/>
        <w:tabs>
          <w:tab w:val="left" w:pos="216"/>
        </w:tabs>
        <w:spacing w:before="160" w:line="240" w:lineRule="auto"/>
        <w:jc w:val="center"/>
        <w:rPr>
          <w:rFonts w:eastAsia="SimSun" w:cs="Times New Roman"/>
          <w:smallCaps/>
          <w:noProof/>
          <w:color w:val="auto"/>
          <w:kern w:val="0"/>
          <w:sz w:val="20"/>
          <w:szCs w:val="20"/>
          <w:lang w:val="en-US"/>
        </w:rPr>
      </w:pPr>
      <w:r w:rsidRPr="006B043D">
        <w:rPr>
          <w:rFonts w:eastAsia="SimSun" w:cs="Times New Roman"/>
          <w:smallCaps/>
          <w:noProof/>
          <w:color w:val="auto"/>
          <w:kern w:val="0"/>
          <w:sz w:val="20"/>
          <w:szCs w:val="20"/>
          <w:lang w:val="en-US"/>
        </w:rPr>
        <w:t>Reference</w:t>
      </w:r>
      <w:r w:rsidR="006B043D">
        <w:rPr>
          <w:rFonts w:eastAsia="SimSun" w:cs="Times New Roman"/>
          <w:smallCaps/>
          <w:noProof/>
          <w:color w:val="auto"/>
          <w:kern w:val="0"/>
          <w:sz w:val="20"/>
          <w:szCs w:val="20"/>
          <w:lang w:val="en-US"/>
        </w:rPr>
        <w:t>s</w:t>
      </w:r>
    </w:p>
    <w:p w14:paraId="0F68DA3E" w14:textId="77777777" w:rsidR="003E2078" w:rsidRDefault="003E2078" w:rsidP="003E2078">
      <w:pPr>
        <w:pStyle w:val="references"/>
        <w:numPr>
          <w:ilvl w:val="0"/>
          <w:numId w:val="11"/>
        </w:numPr>
        <w:ind w:left="360"/>
      </w:pPr>
      <w:r>
        <w:t xml:space="preserve">Ye, M. Yang, and P. Y. Chen, "Multi-band parity-time-symmetric wireless power transfer systems for ISM-band bio-implantable applications," </w:t>
      </w:r>
      <w:r w:rsidRPr="00454E3E">
        <w:t>IEEE Journal of Electromagnetics, RF and Microwaves in Medicine and Biology</w:t>
      </w:r>
      <w:r>
        <w:t>, vol. 6, no. 2, pp. 196–203, 2021.</w:t>
      </w:r>
    </w:p>
    <w:p w14:paraId="448937A4" w14:textId="77777777" w:rsidR="003E2078" w:rsidRDefault="003E2078" w:rsidP="003E2078">
      <w:pPr>
        <w:pStyle w:val="references"/>
        <w:numPr>
          <w:ilvl w:val="0"/>
          <w:numId w:val="11"/>
        </w:numPr>
        <w:ind w:left="360"/>
      </w:pPr>
      <w:r>
        <w:t xml:space="preserve">Y. Pan, W. Fu, D. Lu, T. Huang, Y. Song, L. Lu, and Y. Yan, "A Compact Impedance Matching Layer for Dual-Band Implantable Medical Devices," </w:t>
      </w:r>
      <w:r w:rsidRPr="00454E3E">
        <w:t>IEEE Antennas and Wireless Propagation Letters</w:t>
      </w:r>
      <w:r>
        <w:t>, 2024.</w:t>
      </w:r>
    </w:p>
    <w:p w14:paraId="5F28747B" w14:textId="77777777" w:rsidR="003E2078" w:rsidRDefault="003E2078" w:rsidP="003E2078">
      <w:pPr>
        <w:pStyle w:val="references"/>
        <w:numPr>
          <w:ilvl w:val="0"/>
          <w:numId w:val="11"/>
        </w:numPr>
        <w:ind w:left="360"/>
      </w:pPr>
      <w:r>
        <w:t xml:space="preserve">J. Zhang, R. Das, D. Hoare, H. Wang, A. Ofiare, N. Mirzai, and H. Heidari, "A compact dual-band implantable antenna for wireless biotelemetry in arteriovenous grafts," </w:t>
      </w:r>
      <w:r w:rsidRPr="00454E3E">
        <w:t>IEEE Transactions on Antennas and Propagation</w:t>
      </w:r>
      <w:r>
        <w:t>, vol. 71, no. 6, pp. 4759–4771, 2023.</w:t>
      </w:r>
    </w:p>
    <w:p w14:paraId="2E096DB9" w14:textId="77777777" w:rsidR="003E2078" w:rsidRDefault="003E2078" w:rsidP="003E2078">
      <w:pPr>
        <w:pStyle w:val="references"/>
        <w:numPr>
          <w:ilvl w:val="0"/>
          <w:numId w:val="11"/>
        </w:numPr>
        <w:ind w:left="360"/>
      </w:pPr>
      <w:r>
        <w:t xml:space="preserve">A. Moretti and H. Tanaka, "Securing Multi-Modal Medical Data Management System using Blockchain and the Internet of Medical Things," </w:t>
      </w:r>
      <w:r w:rsidRPr="00454E3E">
        <w:t>Global Journal of Medical Terminology Research and Informatics</w:t>
      </w:r>
      <w:r>
        <w:t>, vol. 2, no. 1, pp. 15–21, 2025.</w:t>
      </w:r>
    </w:p>
    <w:p w14:paraId="3AC32048" w14:textId="77777777" w:rsidR="003E2078" w:rsidRDefault="003E2078" w:rsidP="003E2078">
      <w:pPr>
        <w:pStyle w:val="references"/>
        <w:numPr>
          <w:ilvl w:val="0"/>
          <w:numId w:val="11"/>
        </w:numPr>
        <w:ind w:left="360"/>
      </w:pPr>
      <w:r>
        <w:t xml:space="preserve">P. Vij and P. M. Prashant, "Predicting aquatic ecosystem health using machine learning algorithms," </w:t>
      </w:r>
      <w:r w:rsidRPr="00454E3E">
        <w:t>International Journal of Aquatic Research and Environmental Studies</w:t>
      </w:r>
      <w:r>
        <w:t xml:space="preserve">, vol. 4, no. S1, pp. 39–44, 2024. </w:t>
      </w:r>
      <w:hyperlink r:id="rId10" w:tgtFrame="_new" w:history="1">
        <w:r w:rsidRPr="00454E3E">
          <w:t>https://doi.org/10.70102/IJARES/V4S1/7</w:t>
        </w:r>
      </w:hyperlink>
    </w:p>
    <w:p w14:paraId="6ABA4E55" w14:textId="77777777" w:rsidR="003E2078" w:rsidRDefault="003E2078" w:rsidP="003E2078">
      <w:pPr>
        <w:pStyle w:val="references"/>
        <w:numPr>
          <w:ilvl w:val="0"/>
          <w:numId w:val="11"/>
        </w:numPr>
        <w:ind w:left="360"/>
      </w:pPr>
      <w:r>
        <w:t xml:space="preserve">H. Tran, and D. Ngoc, "The Influence of Effective Management on Hybrid Work Styles and Employee Wellness in Healthcare Organizations," </w:t>
      </w:r>
      <w:r w:rsidRPr="00454E3E">
        <w:t>Global Perspectives in Management</w:t>
      </w:r>
      <w:r>
        <w:t>, vol. 2, no. 4, pp. 8–14, 2024.</w:t>
      </w:r>
    </w:p>
    <w:p w14:paraId="085C0D77" w14:textId="77777777" w:rsidR="003E2078" w:rsidRDefault="003E2078" w:rsidP="003E2078">
      <w:pPr>
        <w:pStyle w:val="references"/>
        <w:numPr>
          <w:ilvl w:val="0"/>
          <w:numId w:val="11"/>
        </w:numPr>
        <w:ind w:left="360"/>
      </w:pPr>
      <w:r>
        <w:t xml:space="preserve">A. Iqbal, P. R. Sura, A. Smida, M. Al-Hasan, I. B. Mabrouk, and T. A. Denidni, "Dual-band 3-d implantable MIMO antenna for IoT-enabled wireless capsule endoscopy," </w:t>
      </w:r>
      <w:r w:rsidRPr="00454E3E">
        <w:t>IEEE Internet of Things Journal</w:t>
      </w:r>
      <w:r>
        <w:t>, 2024.</w:t>
      </w:r>
    </w:p>
    <w:p w14:paraId="4E7D4800" w14:textId="77777777" w:rsidR="003E2078" w:rsidRDefault="003E2078" w:rsidP="003E2078">
      <w:pPr>
        <w:pStyle w:val="references"/>
        <w:numPr>
          <w:ilvl w:val="0"/>
          <w:numId w:val="11"/>
        </w:numPr>
        <w:ind w:left="360"/>
      </w:pPr>
      <w:r>
        <w:t xml:space="preserve">Bhupesh, Dharun, Gopalakrishnan, and Nithyakalyani, "Connected Health Using IOT," </w:t>
      </w:r>
      <w:r w:rsidRPr="00454E3E">
        <w:t>International Journal of Advances in Engineering and Emerging Technology</w:t>
      </w:r>
      <w:r>
        <w:t>, vol. 13, no. 2, pp. 81–84, 2022.</w:t>
      </w:r>
    </w:p>
    <w:p w14:paraId="37400390" w14:textId="77777777" w:rsidR="003E2078" w:rsidRDefault="003E2078" w:rsidP="003E2078">
      <w:pPr>
        <w:pStyle w:val="references"/>
        <w:numPr>
          <w:ilvl w:val="0"/>
          <w:numId w:val="11"/>
        </w:numPr>
        <w:ind w:left="360"/>
      </w:pPr>
      <w:r>
        <w:t xml:space="preserve">Y. M. Mathboob, L. A. A. Rahaim, and A. H. Ali, "Healthcare Monitoring-based Internet of Things (IOT)," </w:t>
      </w:r>
      <w:r w:rsidRPr="00454E3E">
        <w:t>Journal of Internet Services and Information Security</w:t>
      </w:r>
      <w:r>
        <w:t xml:space="preserve">, vol. 14, no. 4, pp. 347–359, 2024. [Online]. Available: </w:t>
      </w:r>
      <w:hyperlink r:id="rId11" w:tgtFrame="_new" w:history="1">
        <w:r w:rsidRPr="00454E3E">
          <w:t>https://doi.org/10.58346/JISIS.2024.I4.021</w:t>
        </w:r>
      </w:hyperlink>
    </w:p>
    <w:p w14:paraId="2DD583CE" w14:textId="77777777" w:rsidR="003E2078" w:rsidRDefault="003E2078" w:rsidP="003E2078">
      <w:pPr>
        <w:pStyle w:val="references"/>
        <w:numPr>
          <w:ilvl w:val="0"/>
          <w:numId w:val="11"/>
        </w:numPr>
        <w:ind w:left="360"/>
      </w:pPr>
      <w:r>
        <w:t xml:space="preserve">Y. A. Kamel, H. A. Mohamed, H. ELsadek, and H. M. ELhennawy, "RF communication between dual band implantable and on body antennas for biotelemetry application," </w:t>
      </w:r>
      <w:r w:rsidRPr="00454E3E">
        <w:t>Scientific Reports</w:t>
      </w:r>
      <w:r>
        <w:t>, vol. 15, no. 1, p. 4065, 2025.</w:t>
      </w:r>
    </w:p>
    <w:p w14:paraId="732E3D2A" w14:textId="77777777" w:rsidR="003E2078" w:rsidRDefault="003E2078" w:rsidP="003E2078">
      <w:pPr>
        <w:pStyle w:val="references"/>
        <w:numPr>
          <w:ilvl w:val="0"/>
          <w:numId w:val="11"/>
        </w:numPr>
        <w:ind w:left="360"/>
      </w:pPr>
      <w:r>
        <w:t xml:space="preserve">A. Iqbal, S. H. Kiani, M. Al-Hasan, I. B. Mabrouk, and T. A. Denidni, "A compact dual-band implantable MIMO antenna for wireless capsule endoscopy," </w:t>
      </w:r>
      <w:r w:rsidRPr="00454E3E">
        <w:t>IEEE Transactions on Antennas and Propagation</w:t>
      </w:r>
      <w:r>
        <w:t>, 2024.</w:t>
      </w:r>
    </w:p>
    <w:p w14:paraId="4FED7176" w14:textId="77777777" w:rsidR="003E2078" w:rsidRDefault="003E2078" w:rsidP="003E2078">
      <w:pPr>
        <w:pStyle w:val="references"/>
        <w:numPr>
          <w:ilvl w:val="0"/>
          <w:numId w:val="11"/>
        </w:numPr>
        <w:ind w:left="360"/>
      </w:pPr>
      <w:r>
        <w:t xml:space="preserve">F. Escobedo, R. Clavijo-López, E. A. C. Calle, S. R. Correa, A. G. García, F. W. M. Galarza, and C. A. Flores-Tananta, "Effect of Health Education on Environmental Pollution as a Primary Factor in Sustainable Development," </w:t>
      </w:r>
      <w:r w:rsidRPr="00454E3E">
        <w:t>Natural and Engineering Sciences</w:t>
      </w:r>
      <w:r>
        <w:t xml:space="preserve">, vol. 9, no. 2, pp. 460–471, 2024. </w:t>
      </w:r>
      <w:hyperlink r:id="rId12" w:tgtFrame="_new" w:history="1">
        <w:r w:rsidRPr="00454E3E">
          <w:t>http://doi.org/10.28978/nesciences.1574456</w:t>
        </w:r>
      </w:hyperlink>
    </w:p>
    <w:p w14:paraId="6326A9C9" w14:textId="77777777" w:rsidR="003E2078" w:rsidRDefault="003E2078" w:rsidP="003E2078">
      <w:pPr>
        <w:pStyle w:val="references"/>
        <w:numPr>
          <w:ilvl w:val="0"/>
          <w:numId w:val="11"/>
        </w:numPr>
        <w:ind w:left="360"/>
      </w:pPr>
      <w:r>
        <w:t xml:space="preserve">E. Veera Boopathy, M. A. Y. Peer Mohamed Appa, S. Pragadeswaran, D. Karthick Raja, M. Gowtham, R. Kishore, P. Vimalraj, and K. Vissnuvardhan, "A Data Driven Approach through IOMT based Patient Healthcare Monitoring System," </w:t>
      </w:r>
      <w:r w:rsidRPr="00454E3E">
        <w:t>Archives for Technical Sciences</w:t>
      </w:r>
      <w:r>
        <w:t xml:space="preserve">, vol. 2, no. 31, pp. 9–15, 2024. </w:t>
      </w:r>
      <w:hyperlink r:id="rId13" w:tgtFrame="_new" w:history="1">
        <w:r w:rsidRPr="00454E3E">
          <w:t>https://doi.org/10.70102/afts.2024.1631.009</w:t>
        </w:r>
      </w:hyperlink>
    </w:p>
    <w:p w14:paraId="5D4C6FC4" w14:textId="77777777" w:rsidR="003E2078" w:rsidRDefault="003E2078" w:rsidP="003E2078">
      <w:pPr>
        <w:pStyle w:val="references"/>
        <w:numPr>
          <w:ilvl w:val="0"/>
          <w:numId w:val="11"/>
        </w:numPr>
        <w:ind w:left="360"/>
      </w:pPr>
      <w:r>
        <w:lastRenderedPageBreak/>
        <w:t xml:space="preserve">S. H. Hussein and K. K. Mohammed, "A dual-band compact integrated rectenna for implantable medical devices," </w:t>
      </w:r>
      <w:r w:rsidRPr="00454E3E">
        <w:t>International Journal of Electronics and Telecommunications</w:t>
      </w:r>
      <w:r>
        <w:t>, vol. 69, no. 2, 2023.</w:t>
      </w:r>
    </w:p>
    <w:p w14:paraId="586893AF" w14:textId="77777777" w:rsidR="003E2078" w:rsidRDefault="003E2078" w:rsidP="003E2078">
      <w:pPr>
        <w:pStyle w:val="references"/>
        <w:numPr>
          <w:ilvl w:val="0"/>
          <w:numId w:val="11"/>
        </w:numPr>
        <w:ind w:left="360"/>
      </w:pPr>
      <w:r>
        <w:t xml:space="preserve">H. Krishnan, Santhosh, Vijay, and S. Yasmin, "Blockchain for Health Data Management," </w:t>
      </w:r>
      <w:r w:rsidRPr="00454E3E">
        <w:t>International Academic Journal of Science and Engineering</w:t>
      </w:r>
      <w:r>
        <w:t xml:space="preserve">, vol. 9, no. 2, pp. 23–27, 2022. </w:t>
      </w:r>
      <w:hyperlink r:id="rId14" w:tgtFrame="_new" w:history="1">
        <w:r w:rsidRPr="00454E3E">
          <w:t>https://doi.org/10.9756/IAJSE/V9I2/IAJSE0910</w:t>
        </w:r>
      </w:hyperlink>
    </w:p>
    <w:p w14:paraId="3EF6867A" w14:textId="77777777" w:rsidR="003E2078" w:rsidRDefault="003E2078" w:rsidP="003E2078">
      <w:pPr>
        <w:pStyle w:val="references"/>
        <w:numPr>
          <w:ilvl w:val="0"/>
          <w:numId w:val="11"/>
        </w:numPr>
        <w:ind w:left="360"/>
      </w:pPr>
      <w:r>
        <w:t xml:space="preserve">A. Malhotra, and S. Joshi, "Exploring the Intersection of Demographic Change and Healthcare Utilization: An Examination of Age-Specific Healthcare Needs and Service Provision," </w:t>
      </w:r>
      <w:r w:rsidRPr="00454E3E">
        <w:t>Progression Journal of Human Demography and Anthropology</w:t>
      </w:r>
      <w:r>
        <w:t>, vol. 2, no. 1, pp. 8–14, 2025.</w:t>
      </w:r>
    </w:p>
    <w:p w14:paraId="1291D15C" w14:textId="77777777" w:rsidR="003E2078" w:rsidRDefault="003E2078" w:rsidP="003E2078">
      <w:pPr>
        <w:pStyle w:val="references"/>
        <w:numPr>
          <w:ilvl w:val="0"/>
          <w:numId w:val="11"/>
        </w:numPr>
        <w:ind w:left="360"/>
      </w:pPr>
      <w:r>
        <w:t xml:space="preserve">X. Y. Hu, H. H. Peng, P. Xiao, G. Gao, and G. Li, "A novel broadband dual-frequency circularly polarized implantable antenna empowering future intelligent healthcare," </w:t>
      </w:r>
      <w:r w:rsidRPr="00454E3E">
        <w:t>IEEE Sensors Journal</w:t>
      </w:r>
      <w:r>
        <w:t>, 2024.</w:t>
      </w:r>
    </w:p>
    <w:p w14:paraId="7F19847E" w14:textId="77777777" w:rsidR="003E2078" w:rsidRDefault="003E2078" w:rsidP="003E2078">
      <w:pPr>
        <w:pStyle w:val="references"/>
        <w:numPr>
          <w:ilvl w:val="0"/>
          <w:numId w:val="11"/>
        </w:numPr>
        <w:ind w:left="360"/>
      </w:pPr>
      <w:r>
        <w:t xml:space="preserve">S. S. Mosavinejad, P. Rezaei, and A. A. Khazaei, "A miniaturized and biocompatible dual-band implantable antenna for fully-passive wireless signal monitoring," </w:t>
      </w:r>
      <w:r w:rsidRPr="00454E3E">
        <w:t>AEU - International Journal of Electronics and Communications</w:t>
      </w:r>
      <w:r>
        <w:t>, vol. 154, p. 154303, 2022.</w:t>
      </w:r>
    </w:p>
    <w:p w14:paraId="10FCE052" w14:textId="77777777" w:rsidR="003E2078" w:rsidRDefault="003E2078" w:rsidP="003E2078">
      <w:pPr>
        <w:pStyle w:val="references"/>
        <w:numPr>
          <w:ilvl w:val="0"/>
          <w:numId w:val="11"/>
        </w:numPr>
        <w:ind w:left="360"/>
      </w:pPr>
      <w:r>
        <w:t xml:space="preserve">S. Choudhary and P. Reddy, "Improving the Storage Duration and Improving the Characteristics of Tender Coconut Water using Non-thermal Two-phase Microfiltration," </w:t>
      </w:r>
      <w:r w:rsidRPr="00454E3E">
        <w:t>Engineering Perspectives in Filtration and Separation</w:t>
      </w:r>
      <w:r>
        <w:t>, vol. 2, no. 1, pp. 7–12, 2025.</w:t>
      </w:r>
    </w:p>
    <w:p w14:paraId="32A59CEE" w14:textId="503657B8" w:rsidR="002F7D62" w:rsidRDefault="003E2078" w:rsidP="003E2078">
      <w:pPr>
        <w:pStyle w:val="references"/>
        <w:numPr>
          <w:ilvl w:val="0"/>
          <w:numId w:val="11"/>
        </w:numPr>
        <w:ind w:left="360"/>
      </w:pPr>
      <w:r>
        <w:t xml:space="preserve">M. Zada, I. A. Shah, J. Nasir, A. Basir, and H. Yoo, "Empowering remote patient monitoring with a dual-band implantable rectenna system for wireless power and data transfer," </w:t>
      </w:r>
      <w:r w:rsidRPr="00454E3E">
        <w:t>IEEE Transactions on Antennas and Propagation</w:t>
      </w:r>
      <w:r>
        <w:t>, vol. 71, no. 12, pp. 9509–9522, 2023.</w:t>
      </w:r>
    </w:p>
    <w:sectPr w:rsidR="002F7D62" w:rsidSect="003E2078">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11CB"/>
    <w:multiLevelType w:val="hybridMultilevel"/>
    <w:tmpl w:val="7772BA70"/>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433B8"/>
    <w:multiLevelType w:val="hybridMultilevel"/>
    <w:tmpl w:val="959C1F2E"/>
    <w:lvl w:ilvl="0" w:tplc="A68E32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580842"/>
    <w:multiLevelType w:val="hybridMultilevel"/>
    <w:tmpl w:val="2D02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20F55"/>
    <w:multiLevelType w:val="hybridMultilevel"/>
    <w:tmpl w:val="BC769D1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666A1"/>
    <w:multiLevelType w:val="hybridMultilevel"/>
    <w:tmpl w:val="DAD4B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34661"/>
    <w:multiLevelType w:val="hybridMultilevel"/>
    <w:tmpl w:val="53E27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AE73860"/>
    <w:multiLevelType w:val="hybridMultilevel"/>
    <w:tmpl w:val="FE048674"/>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CF7CBF"/>
    <w:multiLevelType w:val="hybridMultilevel"/>
    <w:tmpl w:val="F62C787C"/>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9B6194"/>
    <w:multiLevelType w:val="hybridMultilevel"/>
    <w:tmpl w:val="6BC4C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5A4455"/>
    <w:multiLevelType w:val="hybridMultilevel"/>
    <w:tmpl w:val="948C4FE6"/>
    <w:lvl w:ilvl="0" w:tplc="5B121DE0">
      <w:start w:val="1"/>
      <w:numFmt w:val="decimal"/>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num w:numId="1" w16cid:durableId="312567764">
    <w:abstractNumId w:val="0"/>
  </w:num>
  <w:num w:numId="2" w16cid:durableId="491995172">
    <w:abstractNumId w:val="5"/>
  </w:num>
  <w:num w:numId="3" w16cid:durableId="2000184169">
    <w:abstractNumId w:val="3"/>
  </w:num>
  <w:num w:numId="4" w16cid:durableId="194927591">
    <w:abstractNumId w:val="6"/>
  </w:num>
  <w:num w:numId="5" w16cid:durableId="419372540">
    <w:abstractNumId w:val="9"/>
  </w:num>
  <w:num w:numId="6" w16cid:durableId="459803864">
    <w:abstractNumId w:val="1"/>
  </w:num>
  <w:num w:numId="7" w16cid:durableId="109788872">
    <w:abstractNumId w:val="7"/>
  </w:num>
  <w:num w:numId="8" w16cid:durableId="1704481030">
    <w:abstractNumId w:val="4"/>
  </w:num>
  <w:num w:numId="9" w16cid:durableId="963921834">
    <w:abstractNumId w:val="10"/>
  </w:num>
  <w:num w:numId="10" w16cid:durableId="2142576580">
    <w:abstractNumId w:val="2"/>
  </w:num>
  <w:num w:numId="11" w16cid:durableId="497381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SwNDUxNDc2NjA1NDVV0lEKTi0uzszPAykwrAUA8F8d+SwAAAA="/>
  </w:docVars>
  <w:rsids>
    <w:rsidRoot w:val="00C84B61"/>
    <w:rsid w:val="00001141"/>
    <w:rsid w:val="00001515"/>
    <w:rsid w:val="00017424"/>
    <w:rsid w:val="00022115"/>
    <w:rsid w:val="00022E72"/>
    <w:rsid w:val="00024DD6"/>
    <w:rsid w:val="00033E05"/>
    <w:rsid w:val="00051726"/>
    <w:rsid w:val="00052FC2"/>
    <w:rsid w:val="0006152B"/>
    <w:rsid w:val="00064758"/>
    <w:rsid w:val="00065EE9"/>
    <w:rsid w:val="00071C81"/>
    <w:rsid w:val="00072F64"/>
    <w:rsid w:val="00074A4C"/>
    <w:rsid w:val="00084E56"/>
    <w:rsid w:val="00084E5D"/>
    <w:rsid w:val="00094FF2"/>
    <w:rsid w:val="000A2BA9"/>
    <w:rsid w:val="000B00B4"/>
    <w:rsid w:val="000B0628"/>
    <w:rsid w:val="000B453A"/>
    <w:rsid w:val="000B7600"/>
    <w:rsid w:val="000C701C"/>
    <w:rsid w:val="000D0305"/>
    <w:rsid w:val="000D0C31"/>
    <w:rsid w:val="000D684B"/>
    <w:rsid w:val="000D7702"/>
    <w:rsid w:val="000F38FF"/>
    <w:rsid w:val="001145C4"/>
    <w:rsid w:val="001152F6"/>
    <w:rsid w:val="0012429F"/>
    <w:rsid w:val="00125F7E"/>
    <w:rsid w:val="001412AF"/>
    <w:rsid w:val="001421FF"/>
    <w:rsid w:val="00146A6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7C2E"/>
    <w:rsid w:val="001D7E64"/>
    <w:rsid w:val="001F67D9"/>
    <w:rsid w:val="00200A50"/>
    <w:rsid w:val="00203957"/>
    <w:rsid w:val="002073EC"/>
    <w:rsid w:val="00211547"/>
    <w:rsid w:val="00212C2C"/>
    <w:rsid w:val="0021407E"/>
    <w:rsid w:val="00220DF5"/>
    <w:rsid w:val="002248C3"/>
    <w:rsid w:val="0023027E"/>
    <w:rsid w:val="00231C35"/>
    <w:rsid w:val="00232FE7"/>
    <w:rsid w:val="00233835"/>
    <w:rsid w:val="00235E97"/>
    <w:rsid w:val="002361BA"/>
    <w:rsid w:val="00236869"/>
    <w:rsid w:val="002401EC"/>
    <w:rsid w:val="00240584"/>
    <w:rsid w:val="00241FE3"/>
    <w:rsid w:val="00244E6D"/>
    <w:rsid w:val="00251D22"/>
    <w:rsid w:val="00253162"/>
    <w:rsid w:val="00255865"/>
    <w:rsid w:val="002602BE"/>
    <w:rsid w:val="00263E87"/>
    <w:rsid w:val="00265EBA"/>
    <w:rsid w:val="002736DD"/>
    <w:rsid w:val="00273D3C"/>
    <w:rsid w:val="00275668"/>
    <w:rsid w:val="002764C2"/>
    <w:rsid w:val="00276766"/>
    <w:rsid w:val="002768AB"/>
    <w:rsid w:val="00277A87"/>
    <w:rsid w:val="0029585C"/>
    <w:rsid w:val="00295CFA"/>
    <w:rsid w:val="00295EC0"/>
    <w:rsid w:val="00296F04"/>
    <w:rsid w:val="002A00A2"/>
    <w:rsid w:val="002A0A3D"/>
    <w:rsid w:val="002A4BC3"/>
    <w:rsid w:val="002A59EE"/>
    <w:rsid w:val="002A6865"/>
    <w:rsid w:val="002B0160"/>
    <w:rsid w:val="002B1E09"/>
    <w:rsid w:val="002B2000"/>
    <w:rsid w:val="002B746A"/>
    <w:rsid w:val="002B7DF4"/>
    <w:rsid w:val="002C1368"/>
    <w:rsid w:val="002C31A3"/>
    <w:rsid w:val="002C3C9D"/>
    <w:rsid w:val="002E647D"/>
    <w:rsid w:val="002F1868"/>
    <w:rsid w:val="002F5681"/>
    <w:rsid w:val="002F7D62"/>
    <w:rsid w:val="00303C1B"/>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91655"/>
    <w:rsid w:val="00391E9A"/>
    <w:rsid w:val="0039297F"/>
    <w:rsid w:val="00394C97"/>
    <w:rsid w:val="003A13CF"/>
    <w:rsid w:val="003A209D"/>
    <w:rsid w:val="003A5620"/>
    <w:rsid w:val="003B3BE2"/>
    <w:rsid w:val="003B3DF5"/>
    <w:rsid w:val="003B438B"/>
    <w:rsid w:val="003B58D4"/>
    <w:rsid w:val="003B72A4"/>
    <w:rsid w:val="003C4914"/>
    <w:rsid w:val="003C59D8"/>
    <w:rsid w:val="003E135D"/>
    <w:rsid w:val="003E2078"/>
    <w:rsid w:val="003E283E"/>
    <w:rsid w:val="003E6F48"/>
    <w:rsid w:val="003F7355"/>
    <w:rsid w:val="00401AF2"/>
    <w:rsid w:val="004033C8"/>
    <w:rsid w:val="00405694"/>
    <w:rsid w:val="0040649A"/>
    <w:rsid w:val="004115CE"/>
    <w:rsid w:val="00430079"/>
    <w:rsid w:val="00430B33"/>
    <w:rsid w:val="00433E48"/>
    <w:rsid w:val="00437741"/>
    <w:rsid w:val="00444125"/>
    <w:rsid w:val="0044589F"/>
    <w:rsid w:val="004461FC"/>
    <w:rsid w:val="00452909"/>
    <w:rsid w:val="00454E3E"/>
    <w:rsid w:val="00457FBF"/>
    <w:rsid w:val="0046099E"/>
    <w:rsid w:val="00463858"/>
    <w:rsid w:val="004640CA"/>
    <w:rsid w:val="00470528"/>
    <w:rsid w:val="00471164"/>
    <w:rsid w:val="00485244"/>
    <w:rsid w:val="00491D8B"/>
    <w:rsid w:val="00493882"/>
    <w:rsid w:val="00495409"/>
    <w:rsid w:val="004A5372"/>
    <w:rsid w:val="004A6B1E"/>
    <w:rsid w:val="004A766B"/>
    <w:rsid w:val="004A79A6"/>
    <w:rsid w:val="004B4C38"/>
    <w:rsid w:val="004C0D15"/>
    <w:rsid w:val="004C5172"/>
    <w:rsid w:val="004C7364"/>
    <w:rsid w:val="004E16CB"/>
    <w:rsid w:val="004F0795"/>
    <w:rsid w:val="004F2F94"/>
    <w:rsid w:val="00502D5F"/>
    <w:rsid w:val="00505A07"/>
    <w:rsid w:val="0050695D"/>
    <w:rsid w:val="00511935"/>
    <w:rsid w:val="00525115"/>
    <w:rsid w:val="00526A30"/>
    <w:rsid w:val="00532E97"/>
    <w:rsid w:val="005337CD"/>
    <w:rsid w:val="00545AEB"/>
    <w:rsid w:val="005534AC"/>
    <w:rsid w:val="00564BBD"/>
    <w:rsid w:val="005805D4"/>
    <w:rsid w:val="00587915"/>
    <w:rsid w:val="00590348"/>
    <w:rsid w:val="005955B9"/>
    <w:rsid w:val="00595F24"/>
    <w:rsid w:val="0059604A"/>
    <w:rsid w:val="005A4188"/>
    <w:rsid w:val="005A45DD"/>
    <w:rsid w:val="005A6BA6"/>
    <w:rsid w:val="005A6FA0"/>
    <w:rsid w:val="005B137A"/>
    <w:rsid w:val="005B20F7"/>
    <w:rsid w:val="005B2FFF"/>
    <w:rsid w:val="005B481C"/>
    <w:rsid w:val="005B6B49"/>
    <w:rsid w:val="005C52C3"/>
    <w:rsid w:val="005D61DC"/>
    <w:rsid w:val="005D6455"/>
    <w:rsid w:val="005F58D6"/>
    <w:rsid w:val="006018F2"/>
    <w:rsid w:val="006106EA"/>
    <w:rsid w:val="0061250C"/>
    <w:rsid w:val="006231FE"/>
    <w:rsid w:val="006256FE"/>
    <w:rsid w:val="00626790"/>
    <w:rsid w:val="0063225B"/>
    <w:rsid w:val="006347A5"/>
    <w:rsid w:val="006403B8"/>
    <w:rsid w:val="00641EAB"/>
    <w:rsid w:val="00651837"/>
    <w:rsid w:val="006522E0"/>
    <w:rsid w:val="00657F41"/>
    <w:rsid w:val="006625BE"/>
    <w:rsid w:val="006671C7"/>
    <w:rsid w:val="006773D2"/>
    <w:rsid w:val="00677D94"/>
    <w:rsid w:val="006831B8"/>
    <w:rsid w:val="00683FEA"/>
    <w:rsid w:val="00684DD4"/>
    <w:rsid w:val="00685FEF"/>
    <w:rsid w:val="006870BF"/>
    <w:rsid w:val="006913E3"/>
    <w:rsid w:val="0069258F"/>
    <w:rsid w:val="0069587B"/>
    <w:rsid w:val="00696729"/>
    <w:rsid w:val="006A5868"/>
    <w:rsid w:val="006B043D"/>
    <w:rsid w:val="006B4BD7"/>
    <w:rsid w:val="006B611F"/>
    <w:rsid w:val="006B7117"/>
    <w:rsid w:val="006C13E8"/>
    <w:rsid w:val="006C2E94"/>
    <w:rsid w:val="006C340D"/>
    <w:rsid w:val="006C3F8C"/>
    <w:rsid w:val="006C6BC7"/>
    <w:rsid w:val="006D36F0"/>
    <w:rsid w:val="006D3A38"/>
    <w:rsid w:val="006D6947"/>
    <w:rsid w:val="006E6FE4"/>
    <w:rsid w:val="006F1AE4"/>
    <w:rsid w:val="006F3136"/>
    <w:rsid w:val="00700707"/>
    <w:rsid w:val="00701354"/>
    <w:rsid w:val="00707F4B"/>
    <w:rsid w:val="00710B08"/>
    <w:rsid w:val="00714C13"/>
    <w:rsid w:val="0071551B"/>
    <w:rsid w:val="007211FA"/>
    <w:rsid w:val="00732EAD"/>
    <w:rsid w:val="0073538E"/>
    <w:rsid w:val="00735F82"/>
    <w:rsid w:val="0073678F"/>
    <w:rsid w:val="00740EFD"/>
    <w:rsid w:val="007458B1"/>
    <w:rsid w:val="007460CE"/>
    <w:rsid w:val="007475F5"/>
    <w:rsid w:val="007515D5"/>
    <w:rsid w:val="007540F3"/>
    <w:rsid w:val="00760305"/>
    <w:rsid w:val="00763610"/>
    <w:rsid w:val="0076560B"/>
    <w:rsid w:val="0077341F"/>
    <w:rsid w:val="0078004B"/>
    <w:rsid w:val="007837A3"/>
    <w:rsid w:val="007855B1"/>
    <w:rsid w:val="00787118"/>
    <w:rsid w:val="0079561A"/>
    <w:rsid w:val="007A0ACD"/>
    <w:rsid w:val="007A0C49"/>
    <w:rsid w:val="007A23B9"/>
    <w:rsid w:val="007A72B8"/>
    <w:rsid w:val="007B11B0"/>
    <w:rsid w:val="007B459E"/>
    <w:rsid w:val="007C0C9A"/>
    <w:rsid w:val="007C51AF"/>
    <w:rsid w:val="007C7406"/>
    <w:rsid w:val="007D0A51"/>
    <w:rsid w:val="007D3B1F"/>
    <w:rsid w:val="007E0F78"/>
    <w:rsid w:val="007E591F"/>
    <w:rsid w:val="007F1EEE"/>
    <w:rsid w:val="007F2C4A"/>
    <w:rsid w:val="007F5E51"/>
    <w:rsid w:val="007F79DB"/>
    <w:rsid w:val="00803478"/>
    <w:rsid w:val="00803AEE"/>
    <w:rsid w:val="0081282F"/>
    <w:rsid w:val="00813674"/>
    <w:rsid w:val="008145B2"/>
    <w:rsid w:val="00814F4D"/>
    <w:rsid w:val="00826848"/>
    <w:rsid w:val="00826FD4"/>
    <w:rsid w:val="00827115"/>
    <w:rsid w:val="008354B2"/>
    <w:rsid w:val="00844783"/>
    <w:rsid w:val="00854BAB"/>
    <w:rsid w:val="0086044D"/>
    <w:rsid w:val="00863CDE"/>
    <w:rsid w:val="0086506F"/>
    <w:rsid w:val="00865BFA"/>
    <w:rsid w:val="00866631"/>
    <w:rsid w:val="00874731"/>
    <w:rsid w:val="008815F4"/>
    <w:rsid w:val="00887156"/>
    <w:rsid w:val="0089557D"/>
    <w:rsid w:val="008A7C78"/>
    <w:rsid w:val="008B553E"/>
    <w:rsid w:val="008C0CDE"/>
    <w:rsid w:val="008C412F"/>
    <w:rsid w:val="008C5357"/>
    <w:rsid w:val="008C55D0"/>
    <w:rsid w:val="008C7ED9"/>
    <w:rsid w:val="008E57D8"/>
    <w:rsid w:val="008E6472"/>
    <w:rsid w:val="008F2981"/>
    <w:rsid w:val="008F4159"/>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55EFD"/>
    <w:rsid w:val="00961067"/>
    <w:rsid w:val="009653FF"/>
    <w:rsid w:val="00966217"/>
    <w:rsid w:val="00966A4B"/>
    <w:rsid w:val="00967236"/>
    <w:rsid w:val="0097127A"/>
    <w:rsid w:val="0097274D"/>
    <w:rsid w:val="00973580"/>
    <w:rsid w:val="00975CBB"/>
    <w:rsid w:val="00985690"/>
    <w:rsid w:val="009867E5"/>
    <w:rsid w:val="00987BD9"/>
    <w:rsid w:val="0099215F"/>
    <w:rsid w:val="00992FC8"/>
    <w:rsid w:val="009A3EFC"/>
    <w:rsid w:val="009A4FC7"/>
    <w:rsid w:val="009B0540"/>
    <w:rsid w:val="009B2ACA"/>
    <w:rsid w:val="009C3744"/>
    <w:rsid w:val="009C6F27"/>
    <w:rsid w:val="009C73F4"/>
    <w:rsid w:val="009D77F9"/>
    <w:rsid w:val="009D7ADF"/>
    <w:rsid w:val="009E6F75"/>
    <w:rsid w:val="00A01A42"/>
    <w:rsid w:val="00A0334E"/>
    <w:rsid w:val="00A03C3B"/>
    <w:rsid w:val="00A2394A"/>
    <w:rsid w:val="00A23E14"/>
    <w:rsid w:val="00A264EA"/>
    <w:rsid w:val="00A312F5"/>
    <w:rsid w:val="00A317D4"/>
    <w:rsid w:val="00A368A9"/>
    <w:rsid w:val="00A402F1"/>
    <w:rsid w:val="00A42B2C"/>
    <w:rsid w:val="00A46697"/>
    <w:rsid w:val="00A55052"/>
    <w:rsid w:val="00A624A5"/>
    <w:rsid w:val="00A65F0B"/>
    <w:rsid w:val="00A7073B"/>
    <w:rsid w:val="00A730F5"/>
    <w:rsid w:val="00A74711"/>
    <w:rsid w:val="00A76717"/>
    <w:rsid w:val="00A84B4F"/>
    <w:rsid w:val="00A85B30"/>
    <w:rsid w:val="00A85EA6"/>
    <w:rsid w:val="00A915D5"/>
    <w:rsid w:val="00A92716"/>
    <w:rsid w:val="00AA002C"/>
    <w:rsid w:val="00AA2356"/>
    <w:rsid w:val="00AA77EC"/>
    <w:rsid w:val="00AB1949"/>
    <w:rsid w:val="00AB1ACB"/>
    <w:rsid w:val="00AB1B3E"/>
    <w:rsid w:val="00AB2035"/>
    <w:rsid w:val="00AB22DB"/>
    <w:rsid w:val="00AB2D7C"/>
    <w:rsid w:val="00AC092D"/>
    <w:rsid w:val="00AC0DB1"/>
    <w:rsid w:val="00AC49F9"/>
    <w:rsid w:val="00AD2462"/>
    <w:rsid w:val="00AD454B"/>
    <w:rsid w:val="00AD7309"/>
    <w:rsid w:val="00AE245F"/>
    <w:rsid w:val="00AE56D8"/>
    <w:rsid w:val="00B10A2E"/>
    <w:rsid w:val="00B12587"/>
    <w:rsid w:val="00B250E8"/>
    <w:rsid w:val="00B25C15"/>
    <w:rsid w:val="00B27146"/>
    <w:rsid w:val="00B423D2"/>
    <w:rsid w:val="00B4752D"/>
    <w:rsid w:val="00B65B76"/>
    <w:rsid w:val="00B70A84"/>
    <w:rsid w:val="00B74115"/>
    <w:rsid w:val="00B76807"/>
    <w:rsid w:val="00B77396"/>
    <w:rsid w:val="00B83778"/>
    <w:rsid w:val="00B874BA"/>
    <w:rsid w:val="00B92600"/>
    <w:rsid w:val="00B96A3D"/>
    <w:rsid w:val="00BA364C"/>
    <w:rsid w:val="00BA41C8"/>
    <w:rsid w:val="00BB0EBE"/>
    <w:rsid w:val="00BB2D5C"/>
    <w:rsid w:val="00BC038F"/>
    <w:rsid w:val="00BC7407"/>
    <w:rsid w:val="00BD4077"/>
    <w:rsid w:val="00BD7B15"/>
    <w:rsid w:val="00BD7B36"/>
    <w:rsid w:val="00BE345A"/>
    <w:rsid w:val="00BE437F"/>
    <w:rsid w:val="00BE496F"/>
    <w:rsid w:val="00BE5380"/>
    <w:rsid w:val="00BE5C04"/>
    <w:rsid w:val="00BE5C3E"/>
    <w:rsid w:val="00BE66F0"/>
    <w:rsid w:val="00BF22EA"/>
    <w:rsid w:val="00BF4051"/>
    <w:rsid w:val="00C02543"/>
    <w:rsid w:val="00C05C26"/>
    <w:rsid w:val="00C05FDC"/>
    <w:rsid w:val="00C13D96"/>
    <w:rsid w:val="00C16EBC"/>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678D8"/>
    <w:rsid w:val="00C72918"/>
    <w:rsid w:val="00C7401F"/>
    <w:rsid w:val="00C75A40"/>
    <w:rsid w:val="00C84B61"/>
    <w:rsid w:val="00C9167D"/>
    <w:rsid w:val="00CA173A"/>
    <w:rsid w:val="00CA67C0"/>
    <w:rsid w:val="00CC2DE8"/>
    <w:rsid w:val="00CC5F3B"/>
    <w:rsid w:val="00CD354E"/>
    <w:rsid w:val="00CD4C01"/>
    <w:rsid w:val="00CD7F63"/>
    <w:rsid w:val="00CE1171"/>
    <w:rsid w:val="00CE51F6"/>
    <w:rsid w:val="00CF0158"/>
    <w:rsid w:val="00CF5A35"/>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F44"/>
    <w:rsid w:val="00D56695"/>
    <w:rsid w:val="00D65D61"/>
    <w:rsid w:val="00D71BC4"/>
    <w:rsid w:val="00D71D00"/>
    <w:rsid w:val="00D76587"/>
    <w:rsid w:val="00D76DD1"/>
    <w:rsid w:val="00D8190B"/>
    <w:rsid w:val="00D85CCB"/>
    <w:rsid w:val="00D86D55"/>
    <w:rsid w:val="00D86D89"/>
    <w:rsid w:val="00D928AB"/>
    <w:rsid w:val="00D95DF9"/>
    <w:rsid w:val="00D97C9D"/>
    <w:rsid w:val="00DB0B63"/>
    <w:rsid w:val="00DB2B97"/>
    <w:rsid w:val="00DB449F"/>
    <w:rsid w:val="00DD39EE"/>
    <w:rsid w:val="00DD4B7A"/>
    <w:rsid w:val="00DE23B8"/>
    <w:rsid w:val="00DE423F"/>
    <w:rsid w:val="00DF6BD1"/>
    <w:rsid w:val="00DF7203"/>
    <w:rsid w:val="00E01C83"/>
    <w:rsid w:val="00E0367D"/>
    <w:rsid w:val="00E07FBF"/>
    <w:rsid w:val="00E11E23"/>
    <w:rsid w:val="00E1528A"/>
    <w:rsid w:val="00E16BB6"/>
    <w:rsid w:val="00E212D6"/>
    <w:rsid w:val="00E23DFC"/>
    <w:rsid w:val="00E322E5"/>
    <w:rsid w:val="00E37F3A"/>
    <w:rsid w:val="00E41772"/>
    <w:rsid w:val="00E50760"/>
    <w:rsid w:val="00E52C4E"/>
    <w:rsid w:val="00E6492C"/>
    <w:rsid w:val="00E65A5F"/>
    <w:rsid w:val="00E67BC8"/>
    <w:rsid w:val="00E70238"/>
    <w:rsid w:val="00E71CF1"/>
    <w:rsid w:val="00E7464E"/>
    <w:rsid w:val="00E817E1"/>
    <w:rsid w:val="00E86A88"/>
    <w:rsid w:val="00E92B23"/>
    <w:rsid w:val="00E92F0C"/>
    <w:rsid w:val="00E9577D"/>
    <w:rsid w:val="00E97B80"/>
    <w:rsid w:val="00EA03C9"/>
    <w:rsid w:val="00EB0861"/>
    <w:rsid w:val="00EB0AA7"/>
    <w:rsid w:val="00EB2DDA"/>
    <w:rsid w:val="00EB3C95"/>
    <w:rsid w:val="00EB7679"/>
    <w:rsid w:val="00EC3F1F"/>
    <w:rsid w:val="00EC6596"/>
    <w:rsid w:val="00ED21E6"/>
    <w:rsid w:val="00ED261B"/>
    <w:rsid w:val="00ED7577"/>
    <w:rsid w:val="00EE3630"/>
    <w:rsid w:val="00EE3B28"/>
    <w:rsid w:val="00EE4C02"/>
    <w:rsid w:val="00EF1253"/>
    <w:rsid w:val="00EF27BC"/>
    <w:rsid w:val="00EF294A"/>
    <w:rsid w:val="00EF2CAB"/>
    <w:rsid w:val="00EF3C8C"/>
    <w:rsid w:val="00EF7140"/>
    <w:rsid w:val="00EF733C"/>
    <w:rsid w:val="00F011A5"/>
    <w:rsid w:val="00F026B8"/>
    <w:rsid w:val="00F06DF6"/>
    <w:rsid w:val="00F11B40"/>
    <w:rsid w:val="00F15F27"/>
    <w:rsid w:val="00F31BE3"/>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C7911"/>
    <w:rsid w:val="00FD2504"/>
    <w:rsid w:val="00FD3C59"/>
    <w:rsid w:val="00FD4BD5"/>
    <w:rsid w:val="00FD4EBB"/>
    <w:rsid w:val="00FD4F0D"/>
    <w:rsid w:val="00FD54D0"/>
    <w:rsid w:val="00FD5E89"/>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D28B8"/>
  <w15:docId w15:val="{9A262228-8F67-4293-B6A2-5202898F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1E6"/>
    <w:pPr>
      <w:jc w:val="both"/>
    </w:pPr>
    <w:rPr>
      <w:rFonts w:ascii="Times New Roman" w:hAnsi="Times New Roman"/>
      <w:kern w:val="2"/>
      <w:sz w:val="24"/>
      <w:lang w:val="en-IN"/>
    </w:rPr>
  </w:style>
  <w:style w:type="paragraph" w:styleId="Heading1">
    <w:name w:val="heading 1"/>
    <w:basedOn w:val="Normal"/>
    <w:next w:val="Normal"/>
    <w:link w:val="Heading1Char"/>
    <w:qFormat/>
    <w:rsid w:val="006B043D"/>
    <w:pPr>
      <w:keepNext/>
      <w:keepLines/>
      <w:spacing w:before="360" w:after="80"/>
      <w:outlineLvl w:val="0"/>
    </w:pPr>
    <w:rPr>
      <w:rFonts w:eastAsiaTheme="majorEastAsia" w:cstheme="majorBidi"/>
      <w:color w:val="365F91" w:themeColor="accent1" w:themeShade="BF"/>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5BE"/>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5BE"/>
    <w:pPr>
      <w:ind w:left="720"/>
      <w:contextualSpacing/>
    </w:pPr>
  </w:style>
  <w:style w:type="paragraph" w:styleId="NormalWeb">
    <w:name w:val="Normal (Web)"/>
    <w:basedOn w:val="Normal"/>
    <w:uiPriority w:val="99"/>
    <w:unhideWhenUsed/>
    <w:rsid w:val="006625BE"/>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595F24"/>
    <w:rPr>
      <w:b/>
      <w:bCs/>
    </w:rPr>
  </w:style>
  <w:style w:type="table" w:styleId="LightShading-Accent1">
    <w:name w:val="Light Shading Accent 1"/>
    <w:basedOn w:val="TableNormal"/>
    <w:uiPriority w:val="60"/>
    <w:rsid w:val="00595F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8F4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159"/>
    <w:rPr>
      <w:rFonts w:ascii="Tahoma" w:hAnsi="Tahoma" w:cs="Tahoma"/>
      <w:kern w:val="2"/>
      <w:sz w:val="16"/>
      <w:szCs w:val="16"/>
      <w:lang w:val="en-IN"/>
    </w:rPr>
  </w:style>
  <w:style w:type="character" w:customStyle="1" w:styleId="katex">
    <w:name w:val="katex"/>
    <w:basedOn w:val="DefaultParagraphFont"/>
    <w:rsid w:val="007A0ACD"/>
  </w:style>
  <w:style w:type="character" w:styleId="Hyperlink">
    <w:name w:val="Hyperlink"/>
    <w:basedOn w:val="DefaultParagraphFont"/>
    <w:uiPriority w:val="99"/>
    <w:unhideWhenUsed/>
    <w:rsid w:val="006671C7"/>
    <w:rPr>
      <w:color w:val="0000FF" w:themeColor="hyperlink"/>
      <w:u w:val="single"/>
    </w:rPr>
  </w:style>
  <w:style w:type="paragraph" w:customStyle="1" w:styleId="papertitle">
    <w:name w:val="paper title"/>
    <w:rsid w:val="009D77F9"/>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23027E"/>
    <w:pPr>
      <w:spacing w:before="360" w:after="40" w:line="240" w:lineRule="auto"/>
      <w:jc w:val="center"/>
    </w:pPr>
    <w:rPr>
      <w:rFonts w:ascii="Times New Roman" w:eastAsia="SimSun" w:hAnsi="Times New Roman" w:cs="Times New Roman"/>
      <w:noProof/>
    </w:rPr>
  </w:style>
  <w:style w:type="paragraph" w:customStyle="1" w:styleId="Abstract">
    <w:name w:val="Abstract"/>
    <w:rsid w:val="0023027E"/>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6B043D"/>
    <w:rPr>
      <w:rFonts w:ascii="Times New Roman" w:eastAsiaTheme="majorEastAsia" w:hAnsi="Times New Roman" w:cstheme="majorBidi"/>
      <w:color w:val="365F91" w:themeColor="accent1" w:themeShade="BF"/>
      <w:kern w:val="2"/>
      <w:sz w:val="28"/>
      <w:szCs w:val="40"/>
      <w:lang w:val="en-IN"/>
    </w:rPr>
  </w:style>
  <w:style w:type="character" w:styleId="Emphasis">
    <w:name w:val="Emphasis"/>
    <w:basedOn w:val="DefaultParagraphFont"/>
    <w:uiPriority w:val="20"/>
    <w:qFormat/>
    <w:rsid w:val="002F7D62"/>
    <w:rPr>
      <w:i/>
      <w:iCs/>
    </w:rPr>
  </w:style>
  <w:style w:type="paragraph" w:customStyle="1" w:styleId="references">
    <w:name w:val="references"/>
    <w:rsid w:val="00454E3E"/>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1528">
      <w:bodyDiv w:val="1"/>
      <w:marLeft w:val="0"/>
      <w:marRight w:val="0"/>
      <w:marTop w:val="0"/>
      <w:marBottom w:val="0"/>
      <w:divBdr>
        <w:top w:val="none" w:sz="0" w:space="0" w:color="auto"/>
        <w:left w:val="none" w:sz="0" w:space="0" w:color="auto"/>
        <w:bottom w:val="none" w:sz="0" w:space="0" w:color="auto"/>
        <w:right w:val="none" w:sz="0" w:space="0" w:color="auto"/>
      </w:divBdr>
    </w:div>
    <w:div w:id="355350708">
      <w:bodyDiv w:val="1"/>
      <w:marLeft w:val="0"/>
      <w:marRight w:val="0"/>
      <w:marTop w:val="0"/>
      <w:marBottom w:val="0"/>
      <w:divBdr>
        <w:top w:val="none" w:sz="0" w:space="0" w:color="auto"/>
        <w:left w:val="none" w:sz="0" w:space="0" w:color="auto"/>
        <w:bottom w:val="none" w:sz="0" w:space="0" w:color="auto"/>
        <w:right w:val="none" w:sz="0" w:space="0" w:color="auto"/>
      </w:divBdr>
    </w:div>
    <w:div w:id="516434218">
      <w:bodyDiv w:val="1"/>
      <w:marLeft w:val="0"/>
      <w:marRight w:val="0"/>
      <w:marTop w:val="0"/>
      <w:marBottom w:val="0"/>
      <w:divBdr>
        <w:top w:val="none" w:sz="0" w:space="0" w:color="auto"/>
        <w:left w:val="none" w:sz="0" w:space="0" w:color="auto"/>
        <w:bottom w:val="none" w:sz="0" w:space="0" w:color="auto"/>
        <w:right w:val="none" w:sz="0" w:space="0" w:color="auto"/>
      </w:divBdr>
    </w:div>
    <w:div w:id="547767437">
      <w:bodyDiv w:val="1"/>
      <w:marLeft w:val="0"/>
      <w:marRight w:val="0"/>
      <w:marTop w:val="0"/>
      <w:marBottom w:val="0"/>
      <w:divBdr>
        <w:top w:val="none" w:sz="0" w:space="0" w:color="auto"/>
        <w:left w:val="none" w:sz="0" w:space="0" w:color="auto"/>
        <w:bottom w:val="none" w:sz="0" w:space="0" w:color="auto"/>
        <w:right w:val="none" w:sz="0" w:space="0" w:color="auto"/>
      </w:divBdr>
    </w:div>
    <w:div w:id="685640726">
      <w:bodyDiv w:val="1"/>
      <w:marLeft w:val="0"/>
      <w:marRight w:val="0"/>
      <w:marTop w:val="0"/>
      <w:marBottom w:val="0"/>
      <w:divBdr>
        <w:top w:val="none" w:sz="0" w:space="0" w:color="auto"/>
        <w:left w:val="none" w:sz="0" w:space="0" w:color="auto"/>
        <w:bottom w:val="none" w:sz="0" w:space="0" w:color="auto"/>
        <w:right w:val="none" w:sz="0" w:space="0" w:color="auto"/>
      </w:divBdr>
    </w:div>
    <w:div w:id="809446839">
      <w:bodyDiv w:val="1"/>
      <w:marLeft w:val="0"/>
      <w:marRight w:val="0"/>
      <w:marTop w:val="0"/>
      <w:marBottom w:val="0"/>
      <w:divBdr>
        <w:top w:val="none" w:sz="0" w:space="0" w:color="auto"/>
        <w:left w:val="none" w:sz="0" w:space="0" w:color="auto"/>
        <w:bottom w:val="none" w:sz="0" w:space="0" w:color="auto"/>
        <w:right w:val="none" w:sz="0" w:space="0" w:color="auto"/>
      </w:divBdr>
    </w:div>
    <w:div w:id="876163580">
      <w:bodyDiv w:val="1"/>
      <w:marLeft w:val="0"/>
      <w:marRight w:val="0"/>
      <w:marTop w:val="0"/>
      <w:marBottom w:val="0"/>
      <w:divBdr>
        <w:top w:val="none" w:sz="0" w:space="0" w:color="auto"/>
        <w:left w:val="none" w:sz="0" w:space="0" w:color="auto"/>
        <w:bottom w:val="none" w:sz="0" w:space="0" w:color="auto"/>
        <w:right w:val="none" w:sz="0" w:space="0" w:color="auto"/>
      </w:divBdr>
      <w:divsChild>
        <w:div w:id="1319532871">
          <w:marLeft w:val="0"/>
          <w:marRight w:val="0"/>
          <w:marTop w:val="0"/>
          <w:marBottom w:val="0"/>
          <w:divBdr>
            <w:top w:val="none" w:sz="0" w:space="0" w:color="auto"/>
            <w:left w:val="none" w:sz="0" w:space="0" w:color="auto"/>
            <w:bottom w:val="none" w:sz="0" w:space="0" w:color="auto"/>
            <w:right w:val="none" w:sz="0" w:space="0" w:color="auto"/>
          </w:divBdr>
          <w:divsChild>
            <w:div w:id="19932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9118">
      <w:bodyDiv w:val="1"/>
      <w:marLeft w:val="0"/>
      <w:marRight w:val="0"/>
      <w:marTop w:val="0"/>
      <w:marBottom w:val="0"/>
      <w:divBdr>
        <w:top w:val="none" w:sz="0" w:space="0" w:color="auto"/>
        <w:left w:val="none" w:sz="0" w:space="0" w:color="auto"/>
        <w:bottom w:val="none" w:sz="0" w:space="0" w:color="auto"/>
        <w:right w:val="none" w:sz="0" w:space="0" w:color="auto"/>
      </w:divBdr>
    </w:div>
    <w:div w:id="1245340839">
      <w:bodyDiv w:val="1"/>
      <w:marLeft w:val="0"/>
      <w:marRight w:val="0"/>
      <w:marTop w:val="0"/>
      <w:marBottom w:val="0"/>
      <w:divBdr>
        <w:top w:val="none" w:sz="0" w:space="0" w:color="auto"/>
        <w:left w:val="none" w:sz="0" w:space="0" w:color="auto"/>
        <w:bottom w:val="none" w:sz="0" w:space="0" w:color="auto"/>
        <w:right w:val="none" w:sz="0" w:space="0" w:color="auto"/>
      </w:divBdr>
    </w:div>
    <w:div w:id="1258446799">
      <w:bodyDiv w:val="1"/>
      <w:marLeft w:val="0"/>
      <w:marRight w:val="0"/>
      <w:marTop w:val="0"/>
      <w:marBottom w:val="0"/>
      <w:divBdr>
        <w:top w:val="none" w:sz="0" w:space="0" w:color="auto"/>
        <w:left w:val="none" w:sz="0" w:space="0" w:color="auto"/>
        <w:bottom w:val="none" w:sz="0" w:space="0" w:color="auto"/>
        <w:right w:val="none" w:sz="0" w:space="0" w:color="auto"/>
      </w:divBdr>
    </w:div>
    <w:div w:id="1282417073">
      <w:bodyDiv w:val="1"/>
      <w:marLeft w:val="0"/>
      <w:marRight w:val="0"/>
      <w:marTop w:val="0"/>
      <w:marBottom w:val="0"/>
      <w:divBdr>
        <w:top w:val="none" w:sz="0" w:space="0" w:color="auto"/>
        <w:left w:val="none" w:sz="0" w:space="0" w:color="auto"/>
        <w:bottom w:val="none" w:sz="0" w:space="0" w:color="auto"/>
        <w:right w:val="none" w:sz="0" w:space="0" w:color="auto"/>
      </w:divBdr>
    </w:div>
    <w:div w:id="1299994391">
      <w:bodyDiv w:val="1"/>
      <w:marLeft w:val="0"/>
      <w:marRight w:val="0"/>
      <w:marTop w:val="0"/>
      <w:marBottom w:val="0"/>
      <w:divBdr>
        <w:top w:val="none" w:sz="0" w:space="0" w:color="auto"/>
        <w:left w:val="none" w:sz="0" w:space="0" w:color="auto"/>
        <w:bottom w:val="none" w:sz="0" w:space="0" w:color="auto"/>
        <w:right w:val="none" w:sz="0" w:space="0" w:color="auto"/>
      </w:divBdr>
    </w:div>
    <w:div w:id="1335566859">
      <w:bodyDiv w:val="1"/>
      <w:marLeft w:val="0"/>
      <w:marRight w:val="0"/>
      <w:marTop w:val="0"/>
      <w:marBottom w:val="0"/>
      <w:divBdr>
        <w:top w:val="none" w:sz="0" w:space="0" w:color="auto"/>
        <w:left w:val="none" w:sz="0" w:space="0" w:color="auto"/>
        <w:bottom w:val="none" w:sz="0" w:space="0" w:color="auto"/>
        <w:right w:val="none" w:sz="0" w:space="0" w:color="auto"/>
      </w:divBdr>
      <w:divsChild>
        <w:div w:id="1331909683">
          <w:marLeft w:val="0"/>
          <w:marRight w:val="0"/>
          <w:marTop w:val="0"/>
          <w:marBottom w:val="0"/>
          <w:divBdr>
            <w:top w:val="none" w:sz="0" w:space="0" w:color="auto"/>
            <w:left w:val="none" w:sz="0" w:space="0" w:color="auto"/>
            <w:bottom w:val="none" w:sz="0" w:space="0" w:color="auto"/>
            <w:right w:val="none" w:sz="0" w:space="0" w:color="auto"/>
          </w:divBdr>
          <w:divsChild>
            <w:div w:id="4108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6797">
      <w:bodyDiv w:val="1"/>
      <w:marLeft w:val="0"/>
      <w:marRight w:val="0"/>
      <w:marTop w:val="0"/>
      <w:marBottom w:val="0"/>
      <w:divBdr>
        <w:top w:val="none" w:sz="0" w:space="0" w:color="auto"/>
        <w:left w:val="none" w:sz="0" w:space="0" w:color="auto"/>
        <w:bottom w:val="none" w:sz="0" w:space="0" w:color="auto"/>
        <w:right w:val="none" w:sz="0" w:space="0" w:color="auto"/>
      </w:divBdr>
    </w:div>
    <w:div w:id="1545633116">
      <w:bodyDiv w:val="1"/>
      <w:marLeft w:val="0"/>
      <w:marRight w:val="0"/>
      <w:marTop w:val="0"/>
      <w:marBottom w:val="0"/>
      <w:divBdr>
        <w:top w:val="none" w:sz="0" w:space="0" w:color="auto"/>
        <w:left w:val="none" w:sz="0" w:space="0" w:color="auto"/>
        <w:bottom w:val="none" w:sz="0" w:space="0" w:color="auto"/>
        <w:right w:val="none" w:sz="0" w:space="0" w:color="auto"/>
      </w:divBdr>
    </w:div>
    <w:div w:id="1812136100">
      <w:bodyDiv w:val="1"/>
      <w:marLeft w:val="0"/>
      <w:marRight w:val="0"/>
      <w:marTop w:val="0"/>
      <w:marBottom w:val="0"/>
      <w:divBdr>
        <w:top w:val="none" w:sz="0" w:space="0" w:color="auto"/>
        <w:left w:val="none" w:sz="0" w:space="0" w:color="auto"/>
        <w:bottom w:val="none" w:sz="0" w:space="0" w:color="auto"/>
        <w:right w:val="none" w:sz="0" w:space="0" w:color="auto"/>
      </w:divBdr>
    </w:div>
    <w:div w:id="209304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70102/afts.2024.1631.00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oi.org/10.28978/nesciences.15744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58346/JISIS.2024.I4.02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70102/IJARES/V4S1/7"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9756/IAJSE/V9I2/IAJSE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4193</Words>
  <Characters>26631</Characters>
  <Application>Microsoft Office Word</Application>
  <DocSecurity>0</DocSecurity>
  <Lines>760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Sureshkumar Muthumanickam</cp:lastModifiedBy>
  <cp:revision>15</cp:revision>
  <dcterms:created xsi:type="dcterms:W3CDTF">2025-05-02T09:35:00Z</dcterms:created>
  <dcterms:modified xsi:type="dcterms:W3CDTF">2025-05-10T06:44:00Z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210394cc722d046ebfb95315b82ab3c9310add69b8c399dafa757eabfe5ce43b</vt:lpwstr>
  </property>
</Properties>
</file>