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9AA3CA" w14:textId="77777777" w:rsidR="00A05DD1" w:rsidRDefault="00000000">
      <w:pPr>
        <w:spacing w:line="240" w:lineRule="auto"/>
        <w:jc w:val="center"/>
        <w:rPr>
          <w:rFonts w:ascii="Times New Roman" w:eastAsia="Times New Roman" w:hAnsi="Times New Roman" w:cs="Times New Roman"/>
          <w:sz w:val="48"/>
          <w:szCs w:val="48"/>
        </w:rPr>
      </w:pPr>
      <w:r w:rsidRPr="001D7B15">
        <w:rPr>
          <w:rFonts w:ascii="Times New Roman" w:eastAsia="Times New Roman" w:hAnsi="Times New Roman" w:cs="Times New Roman"/>
          <w:sz w:val="48"/>
          <w:szCs w:val="48"/>
        </w:rPr>
        <w:t>Predictive Modeling of Climate Conditions Using Machine Learning Approaches</w:t>
      </w:r>
    </w:p>
    <w:tbl>
      <w:tblPr>
        <w:tblStyle w:val="TableGrid"/>
        <w:tblW w:w="10353"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9"/>
        <w:gridCol w:w="1133"/>
        <w:gridCol w:w="2046"/>
        <w:gridCol w:w="1356"/>
        <w:gridCol w:w="568"/>
        <w:gridCol w:w="2981"/>
      </w:tblGrid>
      <w:tr w:rsidR="001D7B15" w14:paraId="3DF4AE2A" w14:textId="77777777" w:rsidTr="00D93AD1">
        <w:tc>
          <w:tcPr>
            <w:tcW w:w="2269" w:type="dxa"/>
          </w:tcPr>
          <w:p w14:paraId="01C3F4C7" w14:textId="18EDE2CB" w:rsidR="001D7B15" w:rsidRPr="001D7B15" w:rsidRDefault="001D7B15" w:rsidP="001D7B15">
            <w:pPr>
              <w:jc w:val="center"/>
              <w:rPr>
                <w:rFonts w:ascii="Times New Roman" w:eastAsia="Times New Roman" w:hAnsi="Times New Roman" w:cs="Times New Roman"/>
                <w:sz w:val="18"/>
                <w:szCs w:val="18"/>
              </w:rPr>
            </w:pPr>
            <w:r w:rsidRPr="001D7B15">
              <w:rPr>
                <w:rFonts w:ascii="Times New Roman" w:eastAsia="Times New Roman" w:hAnsi="Times New Roman" w:cs="Times New Roman"/>
                <w:sz w:val="18"/>
                <w:szCs w:val="18"/>
              </w:rPr>
              <w:t>Apeksha Koul</w:t>
            </w:r>
            <w:r w:rsidRPr="001D7B15">
              <w:rPr>
                <w:rFonts w:ascii="Times New Roman" w:eastAsia="Times New Roman" w:hAnsi="Times New Roman" w:cs="Times New Roman"/>
                <w:sz w:val="18"/>
                <w:szCs w:val="18"/>
                <w:vertAlign w:val="superscript"/>
              </w:rPr>
              <w:t>1</w:t>
            </w:r>
          </w:p>
          <w:p w14:paraId="55923A54" w14:textId="385CA98F" w:rsidR="001D7B15" w:rsidRPr="001D7B15" w:rsidRDefault="001D7B15" w:rsidP="001D7B15">
            <w:pPr>
              <w:jc w:val="center"/>
              <w:rPr>
                <w:rFonts w:ascii="Times New Roman" w:eastAsia="Times New Roman" w:hAnsi="Times New Roman" w:cs="Times New Roman"/>
                <w:i/>
                <w:iCs/>
                <w:sz w:val="18"/>
                <w:szCs w:val="18"/>
              </w:rPr>
            </w:pPr>
            <w:r w:rsidRPr="001D7B15">
              <w:rPr>
                <w:rFonts w:ascii="Times New Roman" w:eastAsia="Times New Roman" w:hAnsi="Times New Roman" w:cs="Times New Roman"/>
                <w:i/>
                <w:iCs/>
                <w:sz w:val="18"/>
                <w:szCs w:val="18"/>
              </w:rPr>
              <w:t>School of CSET, Bennett University,</w:t>
            </w:r>
          </w:p>
          <w:p w14:paraId="65D47FA8" w14:textId="77777777" w:rsidR="001D7B15" w:rsidRPr="001D7B15" w:rsidRDefault="001D7B15" w:rsidP="001D7B15">
            <w:pPr>
              <w:jc w:val="center"/>
              <w:rPr>
                <w:rFonts w:ascii="Times New Roman" w:eastAsia="Times New Roman" w:hAnsi="Times New Roman" w:cs="Times New Roman"/>
                <w:i/>
                <w:iCs/>
                <w:sz w:val="18"/>
                <w:szCs w:val="18"/>
              </w:rPr>
            </w:pPr>
            <w:r w:rsidRPr="001D7B15">
              <w:rPr>
                <w:rFonts w:ascii="Times New Roman" w:eastAsia="Times New Roman" w:hAnsi="Times New Roman" w:cs="Times New Roman"/>
                <w:i/>
                <w:iCs/>
                <w:sz w:val="18"/>
                <w:szCs w:val="18"/>
              </w:rPr>
              <w:t>Greater Noida, India</w:t>
            </w:r>
          </w:p>
          <w:p w14:paraId="72280FBE" w14:textId="24324A64" w:rsidR="001D7B15" w:rsidRPr="001D7B15" w:rsidRDefault="001D7B15" w:rsidP="001D7B15">
            <w:pPr>
              <w:jc w:val="center"/>
              <w:rPr>
                <w:rFonts w:ascii="Times New Roman" w:eastAsia="Times New Roman" w:hAnsi="Times New Roman" w:cs="Times New Roman"/>
                <w:sz w:val="18"/>
                <w:szCs w:val="18"/>
              </w:rPr>
            </w:pPr>
            <w:hyperlink r:id="rId5">
              <w:r w:rsidRPr="001D7B15">
                <w:rPr>
                  <w:rFonts w:ascii="Times New Roman" w:eastAsia="Times New Roman" w:hAnsi="Times New Roman" w:cs="Times New Roman"/>
                  <w:color w:val="467886"/>
                  <w:sz w:val="18"/>
                  <w:szCs w:val="18"/>
                  <w:u w:val="single"/>
                </w:rPr>
                <w:t>apekshakoulo9@gmail.com</w:t>
              </w:r>
            </w:hyperlink>
          </w:p>
        </w:tc>
        <w:tc>
          <w:tcPr>
            <w:tcW w:w="3179" w:type="dxa"/>
            <w:gridSpan w:val="2"/>
          </w:tcPr>
          <w:p w14:paraId="48EED4E4" w14:textId="79223F5D" w:rsidR="001D7B15" w:rsidRPr="001D7B15" w:rsidRDefault="001D7B15" w:rsidP="001D7B15">
            <w:pPr>
              <w:jc w:val="center"/>
              <w:rPr>
                <w:rFonts w:ascii="Times New Roman" w:eastAsia="Times New Roman" w:hAnsi="Times New Roman" w:cs="Times New Roman"/>
                <w:sz w:val="18"/>
                <w:szCs w:val="18"/>
              </w:rPr>
            </w:pPr>
            <w:r w:rsidRPr="001D7B15">
              <w:rPr>
                <w:rFonts w:ascii="Times New Roman" w:eastAsia="Times New Roman" w:hAnsi="Times New Roman" w:cs="Times New Roman"/>
                <w:sz w:val="18"/>
                <w:szCs w:val="18"/>
              </w:rPr>
              <w:t>Yogesh Kumar</w:t>
            </w:r>
            <w:r w:rsidRPr="001D7B15">
              <w:rPr>
                <w:rFonts w:ascii="Times New Roman" w:eastAsia="Times New Roman" w:hAnsi="Times New Roman" w:cs="Times New Roman"/>
                <w:sz w:val="18"/>
                <w:szCs w:val="18"/>
                <w:vertAlign w:val="superscript"/>
              </w:rPr>
              <w:t>2</w:t>
            </w:r>
          </w:p>
          <w:p w14:paraId="0D6A08F8" w14:textId="77777777" w:rsidR="001D7B15" w:rsidRPr="001D7B15" w:rsidRDefault="001D7B15" w:rsidP="001D7B15">
            <w:pPr>
              <w:jc w:val="center"/>
              <w:rPr>
                <w:rFonts w:ascii="Times New Roman" w:eastAsia="Times New Roman" w:hAnsi="Times New Roman" w:cs="Times New Roman"/>
                <w:sz w:val="18"/>
                <w:szCs w:val="18"/>
              </w:rPr>
            </w:pPr>
            <w:r w:rsidRPr="001D7B15">
              <w:rPr>
                <w:rFonts w:ascii="Times New Roman" w:eastAsia="Times New Roman" w:hAnsi="Times New Roman" w:cs="Times New Roman"/>
                <w:sz w:val="18"/>
                <w:szCs w:val="18"/>
              </w:rPr>
              <w:t>Department of CSE, School of Technology</w:t>
            </w:r>
          </w:p>
          <w:p w14:paraId="37E6D947" w14:textId="77777777" w:rsidR="001D7B15" w:rsidRPr="001D7B15" w:rsidRDefault="001D7B15" w:rsidP="001D7B15">
            <w:pPr>
              <w:jc w:val="center"/>
              <w:rPr>
                <w:rFonts w:ascii="Times New Roman" w:eastAsia="Times New Roman" w:hAnsi="Times New Roman" w:cs="Times New Roman"/>
                <w:sz w:val="18"/>
                <w:szCs w:val="18"/>
              </w:rPr>
            </w:pPr>
            <w:r w:rsidRPr="001D7B15">
              <w:rPr>
                <w:rFonts w:ascii="Times New Roman" w:eastAsia="Times New Roman" w:hAnsi="Times New Roman" w:cs="Times New Roman"/>
                <w:sz w:val="18"/>
                <w:szCs w:val="18"/>
              </w:rPr>
              <w:t>Pandit Deendayal Energy University</w:t>
            </w:r>
          </w:p>
          <w:p w14:paraId="2E2A41B3" w14:textId="77777777" w:rsidR="001D7B15" w:rsidRPr="001D7B15" w:rsidRDefault="001D7B15" w:rsidP="001D7B15">
            <w:pPr>
              <w:jc w:val="center"/>
              <w:rPr>
                <w:rFonts w:ascii="Times New Roman" w:eastAsia="Times New Roman" w:hAnsi="Times New Roman" w:cs="Times New Roman"/>
                <w:sz w:val="18"/>
                <w:szCs w:val="18"/>
              </w:rPr>
            </w:pPr>
            <w:r w:rsidRPr="001D7B15">
              <w:rPr>
                <w:rFonts w:ascii="Times New Roman" w:eastAsia="Times New Roman" w:hAnsi="Times New Roman" w:cs="Times New Roman"/>
                <w:sz w:val="18"/>
                <w:szCs w:val="18"/>
              </w:rPr>
              <w:t>Gandhinagar, India</w:t>
            </w:r>
          </w:p>
          <w:p w14:paraId="05F0EA95" w14:textId="26273FC1" w:rsidR="001D7B15" w:rsidRPr="001D7B15" w:rsidRDefault="001D7B15" w:rsidP="001D7B15">
            <w:pPr>
              <w:jc w:val="center"/>
              <w:rPr>
                <w:rFonts w:ascii="Times New Roman" w:eastAsia="Times New Roman" w:hAnsi="Times New Roman" w:cs="Times New Roman"/>
                <w:sz w:val="18"/>
                <w:szCs w:val="18"/>
              </w:rPr>
            </w:pPr>
            <w:hyperlink r:id="rId6">
              <w:r w:rsidRPr="001D7B15">
                <w:rPr>
                  <w:rFonts w:ascii="Times New Roman" w:eastAsia="Times New Roman" w:hAnsi="Times New Roman" w:cs="Times New Roman"/>
                  <w:color w:val="467886"/>
                  <w:sz w:val="18"/>
                  <w:szCs w:val="18"/>
                  <w:u w:val="single"/>
                </w:rPr>
                <w:t>Yogesh.Kumar@sot.pdpu.ac.in</w:t>
              </w:r>
            </w:hyperlink>
          </w:p>
        </w:tc>
        <w:tc>
          <w:tcPr>
            <w:tcW w:w="1924" w:type="dxa"/>
            <w:gridSpan w:val="2"/>
          </w:tcPr>
          <w:p w14:paraId="20830102" w14:textId="57077AA9" w:rsidR="001D7B15" w:rsidRPr="001D7B15" w:rsidRDefault="001D7B15" w:rsidP="001D7B15">
            <w:pPr>
              <w:jc w:val="center"/>
              <w:rPr>
                <w:rFonts w:ascii="Times New Roman" w:eastAsia="Times New Roman" w:hAnsi="Times New Roman" w:cs="Times New Roman"/>
                <w:sz w:val="18"/>
                <w:szCs w:val="18"/>
              </w:rPr>
            </w:pPr>
            <w:r w:rsidRPr="001D7B15">
              <w:rPr>
                <w:rFonts w:ascii="Times New Roman" w:eastAsia="Times New Roman" w:hAnsi="Times New Roman" w:cs="Times New Roman"/>
                <w:sz w:val="18"/>
                <w:szCs w:val="18"/>
              </w:rPr>
              <w:t>Hani Attar</w:t>
            </w:r>
            <w:r w:rsidRPr="001D7B15">
              <w:rPr>
                <w:rFonts w:ascii="Times New Roman" w:eastAsia="Times New Roman" w:hAnsi="Times New Roman" w:cs="Times New Roman"/>
                <w:sz w:val="18"/>
                <w:szCs w:val="18"/>
                <w:vertAlign w:val="superscript"/>
              </w:rPr>
              <w:t>3</w:t>
            </w:r>
          </w:p>
          <w:p w14:paraId="5CCA619F" w14:textId="77777777" w:rsidR="001D7B15" w:rsidRPr="001D7B15" w:rsidRDefault="001D7B15" w:rsidP="001D7B15">
            <w:pPr>
              <w:jc w:val="center"/>
              <w:rPr>
                <w:rFonts w:ascii="Times New Roman" w:eastAsia="Times New Roman" w:hAnsi="Times New Roman" w:cs="Times New Roman"/>
                <w:sz w:val="18"/>
                <w:szCs w:val="18"/>
              </w:rPr>
            </w:pPr>
            <w:r w:rsidRPr="001D7B15">
              <w:rPr>
                <w:rFonts w:ascii="Times New Roman" w:eastAsia="Times New Roman" w:hAnsi="Times New Roman" w:cs="Times New Roman"/>
                <w:sz w:val="18"/>
                <w:szCs w:val="18"/>
              </w:rPr>
              <w:t>Faculty of Engineering,</w:t>
            </w:r>
          </w:p>
          <w:p w14:paraId="5B0FFDEE" w14:textId="749BF4EB" w:rsidR="001D7B15" w:rsidRPr="001D7B15" w:rsidRDefault="001D7B15" w:rsidP="001D7B15">
            <w:pPr>
              <w:jc w:val="center"/>
              <w:rPr>
                <w:rFonts w:ascii="Times New Roman" w:eastAsia="Times New Roman" w:hAnsi="Times New Roman" w:cs="Times New Roman"/>
                <w:sz w:val="18"/>
                <w:szCs w:val="18"/>
              </w:rPr>
            </w:pPr>
            <w:r w:rsidRPr="001D7B15">
              <w:rPr>
                <w:rFonts w:ascii="Times New Roman" w:eastAsia="Times New Roman" w:hAnsi="Times New Roman" w:cs="Times New Roman"/>
                <w:sz w:val="18"/>
                <w:szCs w:val="18"/>
              </w:rPr>
              <w:t>Zarqa Univeristy, Jordan.</w:t>
            </w:r>
          </w:p>
          <w:p w14:paraId="0F8D8641" w14:textId="20664835" w:rsidR="001D7B15" w:rsidRPr="001D7B15" w:rsidRDefault="001D7B15" w:rsidP="001D7B15">
            <w:pPr>
              <w:jc w:val="center"/>
              <w:rPr>
                <w:rFonts w:ascii="Times New Roman" w:eastAsia="Times New Roman" w:hAnsi="Times New Roman" w:cs="Times New Roman"/>
                <w:sz w:val="18"/>
                <w:szCs w:val="18"/>
              </w:rPr>
            </w:pPr>
            <w:hyperlink r:id="rId7" w:history="1">
              <w:r w:rsidRPr="004115FC">
                <w:rPr>
                  <w:rStyle w:val="Hyperlink"/>
                  <w:rFonts w:ascii="Times New Roman" w:eastAsia="Times New Roman" w:hAnsi="Times New Roman" w:cs="Times New Roman"/>
                  <w:sz w:val="18"/>
                  <w:szCs w:val="18"/>
                </w:rPr>
                <w:t>Hattar@zu.edu.jo</w:t>
              </w:r>
            </w:hyperlink>
            <w:r>
              <w:rPr>
                <w:rFonts w:ascii="Times New Roman" w:eastAsia="Times New Roman" w:hAnsi="Times New Roman" w:cs="Times New Roman"/>
                <w:sz w:val="18"/>
                <w:szCs w:val="18"/>
              </w:rPr>
              <w:t xml:space="preserve"> </w:t>
            </w:r>
          </w:p>
          <w:p w14:paraId="066401AB" w14:textId="77777777" w:rsidR="001D7B15" w:rsidRPr="001D7B15" w:rsidRDefault="001D7B15" w:rsidP="001D7B15">
            <w:pPr>
              <w:jc w:val="center"/>
              <w:rPr>
                <w:rFonts w:ascii="Times New Roman" w:eastAsia="Times New Roman" w:hAnsi="Times New Roman" w:cs="Times New Roman"/>
                <w:sz w:val="18"/>
                <w:szCs w:val="18"/>
              </w:rPr>
            </w:pPr>
          </w:p>
        </w:tc>
        <w:tc>
          <w:tcPr>
            <w:tcW w:w="2981" w:type="dxa"/>
          </w:tcPr>
          <w:p w14:paraId="58361DC2" w14:textId="54F99257" w:rsidR="001D7B15" w:rsidRPr="001D7B15" w:rsidRDefault="001D7B15" w:rsidP="001D7B15">
            <w:pPr>
              <w:jc w:val="center"/>
              <w:rPr>
                <w:rFonts w:ascii="Times New Roman" w:eastAsia="Times New Roman" w:hAnsi="Times New Roman" w:cs="Times New Roman"/>
                <w:sz w:val="18"/>
                <w:szCs w:val="18"/>
              </w:rPr>
            </w:pPr>
            <w:r w:rsidRPr="001D7B15">
              <w:rPr>
                <w:rFonts w:ascii="Times New Roman" w:eastAsia="Times New Roman" w:hAnsi="Times New Roman" w:cs="Times New Roman"/>
                <w:sz w:val="18"/>
                <w:szCs w:val="18"/>
              </w:rPr>
              <w:t>Zakaria Che Muda</w:t>
            </w:r>
            <w:r w:rsidRPr="001D7B15">
              <w:rPr>
                <w:rFonts w:ascii="Times New Roman" w:eastAsia="Times New Roman" w:hAnsi="Times New Roman" w:cs="Times New Roman"/>
                <w:sz w:val="18"/>
                <w:szCs w:val="18"/>
                <w:vertAlign w:val="superscript"/>
              </w:rPr>
              <w:t>4</w:t>
            </w:r>
          </w:p>
          <w:p w14:paraId="2F2092D7" w14:textId="6CB73BC2" w:rsidR="001D7B15" w:rsidRPr="001D7B15" w:rsidRDefault="001D7B15" w:rsidP="001D7B15">
            <w:pPr>
              <w:jc w:val="center"/>
              <w:rPr>
                <w:rFonts w:ascii="Times New Roman" w:eastAsia="Times New Roman" w:hAnsi="Times New Roman" w:cs="Times New Roman"/>
                <w:sz w:val="18"/>
                <w:szCs w:val="18"/>
              </w:rPr>
            </w:pPr>
            <w:r w:rsidRPr="001D7B15">
              <w:rPr>
                <w:rFonts w:ascii="Times New Roman" w:eastAsia="Times New Roman" w:hAnsi="Times New Roman" w:cs="Times New Roman"/>
                <w:sz w:val="18"/>
                <w:szCs w:val="18"/>
              </w:rPr>
              <w:t>Faculty of Engineering and Quantity Surveying INTI-IU University, Nilai, Malaysia</w:t>
            </w:r>
          </w:p>
          <w:p w14:paraId="45A09EB0" w14:textId="5AE2459B" w:rsidR="001D7B15" w:rsidRPr="001D7B15" w:rsidRDefault="001D7B15" w:rsidP="001D7B15">
            <w:pPr>
              <w:jc w:val="center"/>
              <w:rPr>
                <w:rFonts w:ascii="Times New Roman" w:eastAsia="Times New Roman" w:hAnsi="Times New Roman" w:cs="Times New Roman"/>
                <w:sz w:val="18"/>
                <w:szCs w:val="18"/>
              </w:rPr>
            </w:pPr>
            <w:hyperlink r:id="rId8" w:history="1">
              <w:r w:rsidRPr="004115FC">
                <w:rPr>
                  <w:rStyle w:val="Hyperlink"/>
                  <w:rFonts w:ascii="Times New Roman" w:eastAsia="Times New Roman" w:hAnsi="Times New Roman" w:cs="Times New Roman"/>
                  <w:sz w:val="18"/>
                  <w:szCs w:val="18"/>
                </w:rPr>
                <w:t>zakaria.chemuda@newinti.edu.my</w:t>
              </w:r>
            </w:hyperlink>
            <w:r>
              <w:rPr>
                <w:rFonts w:ascii="Times New Roman" w:eastAsia="Times New Roman" w:hAnsi="Times New Roman" w:cs="Times New Roman"/>
                <w:sz w:val="18"/>
                <w:szCs w:val="18"/>
              </w:rPr>
              <w:t xml:space="preserve"> </w:t>
            </w:r>
          </w:p>
        </w:tc>
      </w:tr>
      <w:tr w:rsidR="001D7B15" w14:paraId="2F1F9927" w14:textId="77777777" w:rsidTr="00D93AD1">
        <w:tc>
          <w:tcPr>
            <w:tcW w:w="3402" w:type="dxa"/>
            <w:gridSpan w:val="2"/>
          </w:tcPr>
          <w:p w14:paraId="583E4799" w14:textId="77777777" w:rsidR="001D7B15" w:rsidRDefault="001D7B15" w:rsidP="001D7B15">
            <w:pPr>
              <w:jc w:val="center"/>
              <w:rPr>
                <w:rFonts w:ascii="Times New Roman" w:eastAsia="Times New Roman" w:hAnsi="Times New Roman" w:cs="Times New Roman"/>
                <w:sz w:val="18"/>
                <w:szCs w:val="18"/>
              </w:rPr>
            </w:pPr>
          </w:p>
          <w:p w14:paraId="7AB0DA07" w14:textId="0B30551F" w:rsidR="001D7B15" w:rsidRPr="001D7B15" w:rsidRDefault="001D7B15" w:rsidP="001D7B15">
            <w:pPr>
              <w:jc w:val="center"/>
              <w:rPr>
                <w:rFonts w:ascii="Times New Roman" w:eastAsia="Times New Roman" w:hAnsi="Times New Roman" w:cs="Times New Roman"/>
                <w:sz w:val="18"/>
                <w:szCs w:val="18"/>
              </w:rPr>
            </w:pPr>
            <w:r w:rsidRPr="001D7B15">
              <w:rPr>
                <w:rFonts w:ascii="Times New Roman" w:eastAsia="Times New Roman" w:hAnsi="Times New Roman" w:cs="Times New Roman"/>
                <w:sz w:val="18"/>
                <w:szCs w:val="18"/>
              </w:rPr>
              <w:t>Parvathaneni Naga Srinivasu</w:t>
            </w:r>
            <w:r w:rsidRPr="001D7B15">
              <w:rPr>
                <w:rFonts w:ascii="Times New Roman" w:eastAsia="Times New Roman" w:hAnsi="Times New Roman" w:cs="Times New Roman"/>
                <w:sz w:val="18"/>
                <w:szCs w:val="18"/>
                <w:vertAlign w:val="superscript"/>
              </w:rPr>
              <w:t>5</w:t>
            </w:r>
          </w:p>
          <w:p w14:paraId="6DA928E7" w14:textId="77777777" w:rsidR="001D7B15" w:rsidRPr="001D7B15" w:rsidRDefault="001D7B15" w:rsidP="001D7B15">
            <w:pPr>
              <w:jc w:val="center"/>
              <w:rPr>
                <w:rFonts w:ascii="Times New Roman" w:eastAsia="Times New Roman" w:hAnsi="Times New Roman" w:cs="Times New Roman"/>
                <w:sz w:val="18"/>
                <w:szCs w:val="18"/>
              </w:rPr>
            </w:pPr>
            <w:r w:rsidRPr="001D7B15">
              <w:rPr>
                <w:rFonts w:ascii="Times New Roman" w:eastAsia="Times New Roman" w:hAnsi="Times New Roman" w:cs="Times New Roman"/>
                <w:sz w:val="18"/>
                <w:szCs w:val="18"/>
              </w:rPr>
              <w:t>Amrita School of Computing, Amrita Vishwa Vidyapeetham, Amaravati, India</w:t>
            </w:r>
          </w:p>
          <w:p w14:paraId="31298089" w14:textId="1B3766C4" w:rsidR="001D7B15" w:rsidRPr="001D7B15" w:rsidRDefault="001D7B15" w:rsidP="001D7B15">
            <w:pPr>
              <w:jc w:val="center"/>
              <w:rPr>
                <w:rFonts w:ascii="Times New Roman" w:eastAsia="Times New Roman" w:hAnsi="Times New Roman" w:cs="Times New Roman"/>
                <w:sz w:val="18"/>
                <w:szCs w:val="18"/>
              </w:rPr>
            </w:pPr>
            <w:hyperlink r:id="rId9" w:history="1">
              <w:r w:rsidRPr="004115FC">
                <w:rPr>
                  <w:rStyle w:val="Hyperlink"/>
                  <w:rFonts w:ascii="Times New Roman" w:eastAsia="Times New Roman" w:hAnsi="Times New Roman" w:cs="Times New Roman"/>
                  <w:sz w:val="18"/>
                  <w:szCs w:val="18"/>
                </w:rPr>
                <w:t>parvathanenins@gmail.com</w:t>
              </w:r>
            </w:hyperlink>
            <w:r>
              <w:rPr>
                <w:rFonts w:ascii="Times New Roman" w:eastAsia="Times New Roman" w:hAnsi="Times New Roman" w:cs="Times New Roman"/>
                <w:sz w:val="18"/>
                <w:szCs w:val="18"/>
              </w:rPr>
              <w:t xml:space="preserve"> </w:t>
            </w:r>
          </w:p>
        </w:tc>
        <w:tc>
          <w:tcPr>
            <w:tcW w:w="3402" w:type="dxa"/>
            <w:gridSpan w:val="2"/>
          </w:tcPr>
          <w:p w14:paraId="33F2F867" w14:textId="77777777" w:rsidR="001D7B15" w:rsidRDefault="001D7B15" w:rsidP="001D7B15">
            <w:pPr>
              <w:jc w:val="center"/>
              <w:rPr>
                <w:rFonts w:ascii="Times New Roman" w:eastAsia="Times New Roman" w:hAnsi="Times New Roman" w:cs="Times New Roman"/>
                <w:sz w:val="18"/>
                <w:szCs w:val="18"/>
              </w:rPr>
            </w:pPr>
          </w:p>
          <w:p w14:paraId="79BCC4AF" w14:textId="417EAE56" w:rsidR="001D7B15" w:rsidRPr="001D7B15" w:rsidRDefault="001D7B15" w:rsidP="001D7B15">
            <w:pPr>
              <w:jc w:val="center"/>
              <w:rPr>
                <w:rFonts w:ascii="Times New Roman" w:eastAsia="Times New Roman" w:hAnsi="Times New Roman" w:cs="Times New Roman"/>
                <w:sz w:val="18"/>
                <w:szCs w:val="18"/>
              </w:rPr>
            </w:pPr>
            <w:r w:rsidRPr="001D7B15">
              <w:rPr>
                <w:rFonts w:ascii="Times New Roman" w:eastAsia="Times New Roman" w:hAnsi="Times New Roman" w:cs="Times New Roman"/>
                <w:sz w:val="18"/>
                <w:szCs w:val="18"/>
              </w:rPr>
              <w:t>Muhammad Umair Manzoor</w:t>
            </w:r>
            <w:r w:rsidRPr="001D7B15">
              <w:rPr>
                <w:rFonts w:ascii="Times New Roman" w:eastAsia="Times New Roman" w:hAnsi="Times New Roman" w:cs="Times New Roman"/>
                <w:sz w:val="18"/>
                <w:szCs w:val="18"/>
                <w:vertAlign w:val="superscript"/>
              </w:rPr>
              <w:t>6</w:t>
            </w:r>
          </w:p>
          <w:p w14:paraId="59D26D2D" w14:textId="1FF5C0E8" w:rsidR="001D7B15" w:rsidRPr="001D7B15" w:rsidRDefault="001D7B15" w:rsidP="001D7B15">
            <w:pPr>
              <w:jc w:val="center"/>
              <w:rPr>
                <w:rFonts w:ascii="Times New Roman" w:eastAsia="Times New Roman" w:hAnsi="Times New Roman" w:cs="Times New Roman"/>
                <w:sz w:val="18"/>
                <w:szCs w:val="18"/>
              </w:rPr>
            </w:pPr>
            <w:r w:rsidRPr="001D7B15">
              <w:rPr>
                <w:rFonts w:ascii="Times New Roman" w:eastAsia="Times New Roman" w:hAnsi="Times New Roman" w:cs="Times New Roman"/>
                <w:sz w:val="18"/>
                <w:szCs w:val="18"/>
              </w:rPr>
              <w:t>School of Engineering</w:t>
            </w:r>
          </w:p>
          <w:p w14:paraId="78B33E12" w14:textId="77777777" w:rsidR="001D7B15" w:rsidRPr="001D7B15" w:rsidRDefault="001D7B15" w:rsidP="001D7B15">
            <w:pPr>
              <w:jc w:val="center"/>
              <w:rPr>
                <w:rFonts w:ascii="Times New Roman" w:eastAsia="Times New Roman" w:hAnsi="Times New Roman" w:cs="Times New Roman"/>
                <w:sz w:val="18"/>
                <w:szCs w:val="18"/>
              </w:rPr>
            </w:pPr>
            <w:r w:rsidRPr="001D7B15">
              <w:rPr>
                <w:rFonts w:ascii="Times New Roman" w:eastAsia="Times New Roman" w:hAnsi="Times New Roman" w:cs="Times New Roman"/>
                <w:sz w:val="18"/>
                <w:szCs w:val="18"/>
              </w:rPr>
              <w:t>RMIT University, Melbourne, Australia</w:t>
            </w:r>
          </w:p>
          <w:p w14:paraId="2034DED7" w14:textId="72B1F88E" w:rsidR="001D7B15" w:rsidRPr="001D7B15" w:rsidRDefault="001D7B15" w:rsidP="001D7B15">
            <w:pPr>
              <w:jc w:val="center"/>
              <w:rPr>
                <w:rFonts w:ascii="Times New Roman" w:eastAsia="Times New Roman" w:hAnsi="Times New Roman" w:cs="Times New Roman"/>
                <w:sz w:val="18"/>
                <w:szCs w:val="18"/>
              </w:rPr>
            </w:pPr>
            <w:hyperlink r:id="rId10" w:history="1">
              <w:r w:rsidRPr="004115FC">
                <w:rPr>
                  <w:rStyle w:val="Hyperlink"/>
                  <w:rFonts w:ascii="Times New Roman" w:eastAsia="Times New Roman" w:hAnsi="Times New Roman" w:cs="Times New Roman"/>
                  <w:sz w:val="18"/>
                  <w:szCs w:val="18"/>
                </w:rPr>
                <w:t>muhammad.umair.manzoor@rmit.edu.au</w:t>
              </w:r>
            </w:hyperlink>
            <w:r>
              <w:rPr>
                <w:rFonts w:ascii="Times New Roman" w:eastAsia="Times New Roman" w:hAnsi="Times New Roman" w:cs="Times New Roman"/>
                <w:sz w:val="18"/>
                <w:szCs w:val="18"/>
              </w:rPr>
              <w:t xml:space="preserve"> </w:t>
            </w:r>
          </w:p>
        </w:tc>
        <w:tc>
          <w:tcPr>
            <w:tcW w:w="3549" w:type="dxa"/>
            <w:gridSpan w:val="2"/>
          </w:tcPr>
          <w:p w14:paraId="3E8B61F4" w14:textId="61EB7B7A" w:rsidR="001D7B15" w:rsidRPr="001D7B15" w:rsidRDefault="001D7B15" w:rsidP="001D7B15">
            <w:pPr>
              <w:jc w:val="center"/>
              <w:rPr>
                <w:rFonts w:ascii="Times New Roman" w:eastAsia="Times New Roman" w:hAnsi="Times New Roman" w:cs="Times New Roman"/>
                <w:sz w:val="18"/>
                <w:szCs w:val="18"/>
              </w:rPr>
            </w:pPr>
            <w:r w:rsidRPr="001D7B15">
              <w:rPr>
                <w:rFonts w:ascii="Times New Roman" w:eastAsia="Times New Roman" w:hAnsi="Times New Roman" w:cs="Times New Roman"/>
                <w:sz w:val="18"/>
                <w:szCs w:val="18"/>
              </w:rPr>
              <w:t>Muhammad Fazal Ijaz</w:t>
            </w:r>
            <w:r w:rsidRPr="001D7B15">
              <w:rPr>
                <w:rFonts w:ascii="Times New Roman" w:eastAsia="Times New Roman" w:hAnsi="Times New Roman" w:cs="Times New Roman"/>
                <w:sz w:val="18"/>
                <w:szCs w:val="18"/>
                <w:vertAlign w:val="superscript"/>
              </w:rPr>
              <w:t>7</w:t>
            </w:r>
          </w:p>
          <w:p w14:paraId="0439A6F6" w14:textId="77777777" w:rsidR="001D7B15" w:rsidRPr="001D7B15" w:rsidRDefault="001D7B15" w:rsidP="001D7B15">
            <w:pPr>
              <w:jc w:val="center"/>
              <w:rPr>
                <w:rFonts w:ascii="Times New Roman" w:eastAsia="Times New Roman" w:hAnsi="Times New Roman" w:cs="Times New Roman"/>
                <w:sz w:val="18"/>
                <w:szCs w:val="18"/>
              </w:rPr>
            </w:pPr>
            <w:r w:rsidRPr="001D7B15">
              <w:rPr>
                <w:rFonts w:ascii="Times New Roman" w:eastAsia="Times New Roman" w:hAnsi="Times New Roman" w:cs="Times New Roman"/>
                <w:sz w:val="18"/>
                <w:szCs w:val="18"/>
              </w:rPr>
              <w:t>Centre for Artificial Intelligence Research and Optimization (AIRO),</w:t>
            </w:r>
          </w:p>
          <w:p w14:paraId="32C6CC43" w14:textId="38153F5C" w:rsidR="001D7B15" w:rsidRPr="001D7B15" w:rsidRDefault="001D7B15" w:rsidP="001D7B15">
            <w:pPr>
              <w:jc w:val="center"/>
              <w:rPr>
                <w:rFonts w:ascii="Times New Roman" w:eastAsia="Times New Roman" w:hAnsi="Times New Roman" w:cs="Times New Roman"/>
                <w:sz w:val="18"/>
                <w:szCs w:val="18"/>
              </w:rPr>
            </w:pPr>
            <w:r w:rsidRPr="001D7B15">
              <w:rPr>
                <w:rFonts w:ascii="Times New Roman" w:eastAsia="Times New Roman" w:hAnsi="Times New Roman" w:cs="Times New Roman"/>
                <w:sz w:val="18"/>
                <w:szCs w:val="18"/>
              </w:rPr>
              <w:t>Design and Creative Technology, Torrens University Australia, Melbourne, Australia</w:t>
            </w:r>
          </w:p>
          <w:p w14:paraId="1C20BDD7" w14:textId="0DAF766D" w:rsidR="001D7B15" w:rsidRPr="001D7B15" w:rsidRDefault="001D7B15" w:rsidP="001D7B15">
            <w:pPr>
              <w:jc w:val="center"/>
              <w:rPr>
                <w:rFonts w:ascii="Times New Roman" w:eastAsia="Times New Roman" w:hAnsi="Times New Roman" w:cs="Times New Roman"/>
                <w:sz w:val="18"/>
                <w:szCs w:val="18"/>
              </w:rPr>
            </w:pPr>
            <w:hyperlink r:id="rId11" w:history="1">
              <w:r w:rsidRPr="004115FC">
                <w:rPr>
                  <w:rStyle w:val="Hyperlink"/>
                  <w:rFonts w:ascii="Times New Roman" w:eastAsia="Times New Roman" w:hAnsi="Times New Roman" w:cs="Times New Roman"/>
                  <w:sz w:val="18"/>
                  <w:szCs w:val="18"/>
                </w:rPr>
                <w:t>muhammadfazal.ijaz@torrens.edu.au</w:t>
              </w:r>
            </w:hyperlink>
            <w:r>
              <w:rPr>
                <w:rFonts w:ascii="Times New Roman" w:eastAsia="Times New Roman" w:hAnsi="Times New Roman" w:cs="Times New Roman"/>
                <w:sz w:val="18"/>
                <w:szCs w:val="18"/>
              </w:rPr>
              <w:t xml:space="preserve"> </w:t>
            </w:r>
          </w:p>
        </w:tc>
      </w:tr>
    </w:tbl>
    <w:p w14:paraId="310D3ED8" w14:textId="77777777" w:rsidR="00A05DD1" w:rsidRPr="001D7B15" w:rsidRDefault="00A05DD1">
      <w:pPr>
        <w:spacing w:after="0"/>
        <w:sectPr w:rsidR="00A05DD1" w:rsidRPr="001D7B15" w:rsidSect="00F9298E">
          <w:pgSz w:w="11906" w:h="16838"/>
          <w:pgMar w:top="1276" w:right="1440" w:bottom="1440" w:left="1440" w:header="708" w:footer="708" w:gutter="0"/>
          <w:pgNumType w:start="1"/>
          <w:cols w:space="720"/>
        </w:sectPr>
      </w:pPr>
    </w:p>
    <w:p w14:paraId="4DF0149D" w14:textId="588468F2" w:rsidR="00AB7E7D" w:rsidRPr="001D7B15" w:rsidRDefault="00000000" w:rsidP="00AB7E7D">
      <w:pPr>
        <w:spacing w:after="0"/>
        <w:jc w:val="both"/>
        <w:rPr>
          <w:rFonts w:ascii="Times New Roman" w:eastAsia="Times New Roman" w:hAnsi="Times New Roman" w:cs="Times New Roman"/>
          <w:b/>
          <w:bCs/>
          <w:i/>
          <w:iCs/>
          <w:sz w:val="18"/>
          <w:szCs w:val="18"/>
        </w:rPr>
      </w:pPr>
      <w:r w:rsidRPr="001D7B15">
        <w:rPr>
          <w:rFonts w:ascii="Times New Roman" w:eastAsia="Times New Roman" w:hAnsi="Times New Roman" w:cs="Times New Roman"/>
          <w:b/>
          <w:bCs/>
          <w:i/>
          <w:iCs/>
          <w:sz w:val="18"/>
          <w:szCs w:val="18"/>
        </w:rPr>
        <w:t>Abstract:</w:t>
      </w:r>
      <w:r w:rsidRPr="001D7B15">
        <w:rPr>
          <w:rFonts w:ascii="Times New Roman" w:eastAsia="Times New Roman" w:hAnsi="Times New Roman" w:cs="Times New Roman"/>
          <w:sz w:val="18"/>
          <w:szCs w:val="18"/>
        </w:rPr>
        <w:t xml:space="preserve"> </w:t>
      </w:r>
      <w:r w:rsidRPr="001D7B15">
        <w:rPr>
          <w:rFonts w:ascii="Times New Roman" w:eastAsia="Times New Roman" w:hAnsi="Times New Roman" w:cs="Times New Roman"/>
          <w:b/>
          <w:bCs/>
          <w:sz w:val="18"/>
          <w:szCs w:val="18"/>
        </w:rPr>
        <w:t xml:space="preserve">Accurate climate condition detection plays a crucial role in understanding long-term environmental changes and predicting future climate behavior. By </w:t>
      </w:r>
      <w:r w:rsidR="00225733" w:rsidRPr="001D7B15">
        <w:rPr>
          <w:rFonts w:ascii="Times New Roman" w:eastAsia="Times New Roman" w:hAnsi="Times New Roman" w:cs="Times New Roman"/>
          <w:b/>
          <w:bCs/>
          <w:sz w:val="18"/>
          <w:szCs w:val="18"/>
        </w:rPr>
        <w:t>analysing</w:t>
      </w:r>
      <w:r w:rsidRPr="001D7B15">
        <w:rPr>
          <w:rFonts w:ascii="Times New Roman" w:eastAsia="Times New Roman" w:hAnsi="Times New Roman" w:cs="Times New Roman"/>
          <w:b/>
          <w:bCs/>
          <w:sz w:val="18"/>
          <w:szCs w:val="18"/>
        </w:rPr>
        <w:t xml:space="preserve"> variations in temperature, precipitation, and atmospheric trends, it becomes possible to identify global warming patterns and their regional impacts. This paper </w:t>
      </w:r>
      <w:r w:rsidR="00225733" w:rsidRPr="001D7B15">
        <w:rPr>
          <w:rFonts w:ascii="Times New Roman" w:eastAsia="Times New Roman" w:hAnsi="Times New Roman" w:cs="Times New Roman"/>
          <w:b/>
          <w:bCs/>
          <w:sz w:val="18"/>
          <w:szCs w:val="18"/>
        </w:rPr>
        <w:t>analyses</w:t>
      </w:r>
      <w:r w:rsidRPr="001D7B15">
        <w:rPr>
          <w:rFonts w:ascii="Times New Roman" w:eastAsia="Times New Roman" w:hAnsi="Times New Roman" w:cs="Times New Roman"/>
          <w:b/>
          <w:bCs/>
          <w:sz w:val="18"/>
          <w:szCs w:val="18"/>
        </w:rPr>
        <w:t xml:space="preserve"> global and regional climate anomaly trends using traditional time-series and machine learning models, including Linear Regression, Ridge Regression, Random Forest, ARIMA, and Holt-Winters. </w:t>
      </w:r>
      <w:r w:rsidR="007C1952" w:rsidRPr="001D7B15">
        <w:rPr>
          <w:rFonts w:ascii="Times New Roman" w:eastAsia="Times New Roman" w:hAnsi="Times New Roman" w:cs="Times New Roman"/>
          <w:b/>
          <w:bCs/>
          <w:sz w:val="18"/>
          <w:szCs w:val="18"/>
        </w:rPr>
        <w:t xml:space="preserve">The dataset is used which contains temperature anomalies relative to the 1951–1980 baseline, to forecast trends up to 2030. </w:t>
      </w:r>
      <w:r w:rsidR="00AB7E7D" w:rsidRPr="001D7B15">
        <w:rPr>
          <w:rFonts w:ascii="Times New Roman" w:eastAsia="Times New Roman" w:hAnsi="Times New Roman" w:cs="Times New Roman"/>
          <w:b/>
          <w:bCs/>
          <w:sz w:val="18"/>
          <w:szCs w:val="18"/>
        </w:rPr>
        <w:t>The results indicate a consistent rise in global temperatures across all models, confirming ongoing human-driven warming</w:t>
      </w:r>
      <w:r w:rsidRPr="001D7B15">
        <w:rPr>
          <w:rFonts w:ascii="Times New Roman" w:eastAsia="Times New Roman" w:hAnsi="Times New Roman" w:cs="Times New Roman"/>
          <w:b/>
          <w:bCs/>
          <w:sz w:val="18"/>
          <w:szCs w:val="18"/>
        </w:rPr>
        <w:t xml:space="preserve">. The Holt-Winters model achieved the highest accuracy (MAE = 0.1868, RMSE = 0.2083, MAPE = 13.13%), effectively capturing long-term trends, while ARIMA also performed competitively. Random Forest excelled in capturing non-linear regional patterns, particularly for Australia, Brazil, and Germany, where MAPE values ranged from 15–26%. </w:t>
      </w:r>
      <w:r w:rsidR="00AB7E7D" w:rsidRPr="001D7B15">
        <w:rPr>
          <w:rFonts w:ascii="Times New Roman" w:eastAsia="Times New Roman" w:hAnsi="Times New Roman" w:cs="Times New Roman"/>
          <w:b/>
          <w:bCs/>
          <w:sz w:val="18"/>
          <w:szCs w:val="18"/>
        </w:rPr>
        <w:t>Integrating statistical and machine learning models improves forecasting accuracy and supports evidence-based climate resilience planning.</w:t>
      </w:r>
      <w:r w:rsidR="00AB7E7D" w:rsidRPr="001D7B15">
        <w:rPr>
          <w:rFonts w:ascii="Times New Roman" w:eastAsia="Times New Roman" w:hAnsi="Times New Roman" w:cs="Times New Roman"/>
          <w:b/>
          <w:bCs/>
          <w:i/>
          <w:iCs/>
          <w:sz w:val="18"/>
          <w:szCs w:val="18"/>
        </w:rPr>
        <w:t xml:space="preserve"> </w:t>
      </w:r>
    </w:p>
    <w:p w14:paraId="3BCB3C57" w14:textId="7965B57A" w:rsidR="00A05DD1" w:rsidRPr="001D7B15" w:rsidRDefault="00000000" w:rsidP="00AB7E7D">
      <w:pPr>
        <w:spacing w:after="0"/>
        <w:jc w:val="both"/>
        <w:rPr>
          <w:rFonts w:ascii="Times New Roman" w:eastAsia="Times New Roman" w:hAnsi="Times New Roman" w:cs="Times New Roman"/>
          <w:b/>
          <w:bCs/>
          <w:i/>
          <w:iCs/>
          <w:sz w:val="18"/>
          <w:szCs w:val="18"/>
        </w:rPr>
      </w:pPr>
      <w:r w:rsidRPr="001D7B15">
        <w:rPr>
          <w:rFonts w:ascii="Times New Roman" w:eastAsia="Times New Roman" w:hAnsi="Times New Roman" w:cs="Times New Roman"/>
          <w:b/>
          <w:bCs/>
          <w:i/>
          <w:iCs/>
          <w:sz w:val="18"/>
          <w:szCs w:val="18"/>
        </w:rPr>
        <w:t xml:space="preserve">Keywords: </w:t>
      </w:r>
      <w:r w:rsidR="00DB4EFB" w:rsidRPr="001D7B15">
        <w:rPr>
          <w:rFonts w:ascii="Times New Roman" w:eastAsia="Times New Roman" w:hAnsi="Times New Roman" w:cs="Times New Roman"/>
          <w:b/>
          <w:bCs/>
          <w:i/>
          <w:iCs/>
          <w:sz w:val="18"/>
          <w:szCs w:val="18"/>
        </w:rPr>
        <w:t xml:space="preserve">Global warming trends, Statistical climate forecasting, </w:t>
      </w:r>
      <w:r w:rsidR="00225733" w:rsidRPr="001D7B15">
        <w:rPr>
          <w:rFonts w:ascii="Times New Roman" w:eastAsia="Times New Roman" w:hAnsi="Times New Roman" w:cs="Times New Roman"/>
          <w:b/>
          <w:bCs/>
          <w:i/>
          <w:iCs/>
          <w:sz w:val="18"/>
          <w:szCs w:val="18"/>
        </w:rPr>
        <w:t>Random Forest</w:t>
      </w:r>
      <w:r w:rsidR="00DB4EFB" w:rsidRPr="001D7B15">
        <w:rPr>
          <w:rFonts w:ascii="Times New Roman" w:eastAsia="Times New Roman" w:hAnsi="Times New Roman" w:cs="Times New Roman"/>
          <w:b/>
          <w:bCs/>
          <w:i/>
          <w:iCs/>
          <w:sz w:val="18"/>
          <w:szCs w:val="18"/>
        </w:rPr>
        <w:t xml:space="preserve"> climate modelling, Climate anomaly prediction, Holt-Winters exponential smoothing</w:t>
      </w:r>
    </w:p>
    <w:p w14:paraId="7ED69FB5" w14:textId="77777777" w:rsidR="00A05DD1" w:rsidRPr="001D7B15" w:rsidRDefault="00A05DD1">
      <w:pPr>
        <w:spacing w:after="0" w:line="240" w:lineRule="auto"/>
        <w:jc w:val="center"/>
        <w:rPr>
          <w:rFonts w:ascii="Times New Roman" w:eastAsia="Times New Roman" w:hAnsi="Times New Roman" w:cs="Times New Roman"/>
          <w:sz w:val="20"/>
          <w:szCs w:val="20"/>
        </w:rPr>
      </w:pPr>
    </w:p>
    <w:p w14:paraId="0AB9D53F" w14:textId="77777777" w:rsidR="00A05DD1" w:rsidRPr="001D7B15" w:rsidRDefault="00000000">
      <w:pPr>
        <w:numPr>
          <w:ilvl w:val="0"/>
          <w:numId w:val="1"/>
        </w:numPr>
        <w:pBdr>
          <w:top w:val="nil"/>
          <w:left w:val="nil"/>
          <w:bottom w:val="nil"/>
          <w:right w:val="nil"/>
          <w:between w:val="nil"/>
        </w:pBdr>
        <w:tabs>
          <w:tab w:val="left" w:pos="1701"/>
        </w:tabs>
        <w:spacing w:after="80" w:line="240" w:lineRule="auto"/>
        <w:ind w:left="567" w:hanging="207"/>
        <w:jc w:val="center"/>
        <w:rPr>
          <w:rFonts w:ascii="Times New Roman" w:eastAsia="Times New Roman" w:hAnsi="Times New Roman" w:cs="Times New Roman"/>
          <w:color w:val="000000"/>
          <w:sz w:val="20"/>
          <w:szCs w:val="20"/>
        </w:rPr>
      </w:pPr>
      <w:r w:rsidRPr="001D7B15">
        <w:rPr>
          <w:rFonts w:ascii="Times New Roman" w:eastAsia="Times New Roman" w:hAnsi="Times New Roman" w:cs="Times New Roman"/>
          <w:color w:val="000000"/>
          <w:sz w:val="20"/>
          <w:szCs w:val="20"/>
        </w:rPr>
        <w:t>INTRODUCTION</w:t>
      </w:r>
    </w:p>
    <w:p w14:paraId="251610B0" w14:textId="0535F10C" w:rsidR="00BF1D70" w:rsidRPr="001D7B15" w:rsidRDefault="00CA6961">
      <w:pPr>
        <w:spacing w:after="0" w:line="240" w:lineRule="auto"/>
        <w:jc w:val="both"/>
        <w:rPr>
          <w:rFonts w:ascii="Times New Roman" w:eastAsia="Times New Roman" w:hAnsi="Times New Roman" w:cs="Times New Roman"/>
          <w:sz w:val="20"/>
          <w:szCs w:val="20"/>
        </w:rPr>
      </w:pPr>
      <w:r w:rsidRPr="001D7B15">
        <w:rPr>
          <w:rFonts w:ascii="Times New Roman" w:eastAsia="Times New Roman" w:hAnsi="Times New Roman" w:cs="Times New Roman"/>
          <w:sz w:val="20"/>
          <w:szCs w:val="20"/>
        </w:rPr>
        <w:t xml:space="preserve">Climate is defined as the long-term average of the weather patterns </w:t>
      </w:r>
      <w:r w:rsidR="001D7B15" w:rsidRPr="001D7B15">
        <w:rPr>
          <w:rFonts w:ascii="Times New Roman" w:eastAsia="Times New Roman" w:hAnsi="Times New Roman" w:cs="Times New Roman"/>
          <w:sz w:val="20"/>
          <w:szCs w:val="20"/>
        </w:rPr>
        <w:t>in each</w:t>
      </w:r>
      <w:r w:rsidRPr="001D7B15">
        <w:rPr>
          <w:rFonts w:ascii="Times New Roman" w:eastAsia="Times New Roman" w:hAnsi="Times New Roman" w:cs="Times New Roman"/>
          <w:sz w:val="20"/>
          <w:szCs w:val="20"/>
        </w:rPr>
        <w:t xml:space="preserve"> area, usually analysed over a period of at least 30 years and including such factors as temperature, precipitation, humidity, and atmospheric circulation [1]. </w:t>
      </w:r>
      <w:r w:rsidR="00BF1D70" w:rsidRPr="001D7B15">
        <w:rPr>
          <w:rFonts w:ascii="Times New Roman" w:eastAsia="Times New Roman" w:hAnsi="Times New Roman" w:cs="Times New Roman"/>
          <w:sz w:val="20"/>
          <w:szCs w:val="20"/>
        </w:rPr>
        <w:t xml:space="preserve">Quite distinctive from weather, which reflects short-term atmospheric conditions, climate characterizes the expected or typical state of the atmosphere over extended timescales. The climate of a region is influenced by latitude, altitude, atmospheric and oceanic circulation, and proximity to large water bodies [2]. </w:t>
      </w:r>
      <w:r w:rsidR="007C1952" w:rsidRPr="001D7B15">
        <w:rPr>
          <w:rFonts w:ascii="Times New Roman" w:eastAsia="Times New Roman" w:hAnsi="Times New Roman" w:cs="Times New Roman"/>
          <w:sz w:val="20"/>
          <w:szCs w:val="20"/>
        </w:rPr>
        <w:t xml:space="preserve">Multiple internal processes and external forcings, including volcanic activity, solar variability, orbital cycles, and human-driven emissions, continually shape the climate system </w:t>
      </w:r>
      <w:r w:rsidR="00BF1D70" w:rsidRPr="001D7B15">
        <w:rPr>
          <w:rFonts w:ascii="Times New Roman" w:eastAsia="Times New Roman" w:hAnsi="Times New Roman" w:cs="Times New Roman"/>
          <w:sz w:val="20"/>
          <w:szCs w:val="20"/>
        </w:rPr>
        <w:t>[3].</w:t>
      </w:r>
    </w:p>
    <w:p w14:paraId="38236BA6" w14:textId="19E49014" w:rsidR="00BF1D70" w:rsidRDefault="007C1952">
      <w:pPr>
        <w:spacing w:after="0" w:line="240" w:lineRule="auto"/>
        <w:jc w:val="both"/>
        <w:rPr>
          <w:rFonts w:ascii="Times New Roman" w:eastAsia="Times New Roman" w:hAnsi="Times New Roman" w:cs="Times New Roman"/>
          <w:sz w:val="20"/>
          <w:szCs w:val="20"/>
        </w:rPr>
      </w:pPr>
      <w:r w:rsidRPr="001D7B15">
        <w:rPr>
          <w:rFonts w:ascii="Times New Roman" w:eastAsia="Times New Roman" w:hAnsi="Times New Roman" w:cs="Times New Roman"/>
          <w:sz w:val="20"/>
          <w:szCs w:val="20"/>
        </w:rPr>
        <w:t xml:space="preserve">Recent IPCC assessments show that human activities have unequivocally warmed the atmosphere, ocean, </w:t>
      </w:r>
      <w:r w:rsidRPr="009A238C">
        <w:rPr>
          <w:rFonts w:ascii="Times New Roman" w:eastAsia="Times New Roman" w:hAnsi="Times New Roman" w:cs="Times New Roman"/>
          <w:sz w:val="20"/>
          <w:szCs w:val="20"/>
        </w:rPr>
        <w:t xml:space="preserve">and land, driving rapid changes in the cryosphere and biosphere. </w:t>
      </w:r>
      <w:r w:rsidR="00072DEE" w:rsidRPr="00072DEE">
        <w:rPr>
          <w:rFonts w:ascii="Times New Roman" w:eastAsia="Times New Roman" w:hAnsi="Times New Roman" w:cs="Times New Roman"/>
          <w:sz w:val="20"/>
          <w:szCs w:val="20"/>
        </w:rPr>
        <w:t>These changes are increasingly influencing key sectors, including agriculture, health, energy, water resources, and infrastructure</w:t>
      </w:r>
      <w:r w:rsidR="00450DE4">
        <w:rPr>
          <w:rFonts w:ascii="Times New Roman" w:eastAsia="Times New Roman" w:hAnsi="Times New Roman" w:cs="Times New Roman"/>
          <w:sz w:val="20"/>
          <w:szCs w:val="20"/>
        </w:rPr>
        <w:t xml:space="preserve"> [4]</w:t>
      </w:r>
      <w:r w:rsidR="00072DEE" w:rsidRPr="00072DEE">
        <w:rPr>
          <w:rFonts w:ascii="Times New Roman" w:eastAsia="Times New Roman" w:hAnsi="Times New Roman" w:cs="Times New Roman"/>
          <w:sz w:val="20"/>
          <w:szCs w:val="20"/>
        </w:rPr>
        <w:t xml:space="preserve">. As a result, continuous climate monitoring has become essential for sustainable development and climate resilience. </w:t>
      </w:r>
      <w:r w:rsidR="00072DEE" w:rsidRPr="00072DEE">
        <w:rPr>
          <w:rFonts w:ascii="Times New Roman" w:eastAsia="Times New Roman" w:hAnsi="Times New Roman" w:cs="Times New Roman"/>
          <w:sz w:val="20"/>
          <w:szCs w:val="20"/>
          <w:highlight w:val="yellow"/>
        </w:rPr>
        <w:t>Intelligent control approaches, such as those used in advanced energy management systems for electric vehicles to optimize energy use and improve efficiency, can similarly support energy conservation and greenhouse applications, thereby contributing to climate change mitigation [</w:t>
      </w:r>
      <w:r w:rsidR="00450DE4">
        <w:rPr>
          <w:rFonts w:ascii="Times New Roman" w:eastAsia="Times New Roman" w:hAnsi="Times New Roman" w:cs="Times New Roman"/>
          <w:sz w:val="20"/>
          <w:szCs w:val="20"/>
          <w:highlight w:val="yellow"/>
        </w:rPr>
        <w:t>5</w:t>
      </w:r>
      <w:r w:rsidR="00072DEE" w:rsidRPr="00072DEE">
        <w:rPr>
          <w:rFonts w:ascii="Times New Roman" w:eastAsia="Times New Roman" w:hAnsi="Times New Roman" w:cs="Times New Roman"/>
          <w:sz w:val="20"/>
          <w:szCs w:val="20"/>
          <w:highlight w:val="yellow"/>
        </w:rPr>
        <w:t>].</w:t>
      </w:r>
      <w:r w:rsidR="00072DEE">
        <w:rPr>
          <w:rFonts w:ascii="Times New Roman" w:eastAsia="Times New Roman" w:hAnsi="Times New Roman" w:cs="Times New Roman"/>
          <w:sz w:val="20"/>
          <w:szCs w:val="20"/>
        </w:rPr>
        <w:t xml:space="preserve"> </w:t>
      </w:r>
      <w:r w:rsidR="00BF1D70" w:rsidRPr="009A238C">
        <w:rPr>
          <w:rFonts w:ascii="Times New Roman" w:eastAsia="Times New Roman" w:hAnsi="Times New Roman" w:cs="Times New Roman"/>
          <w:sz w:val="20"/>
          <w:szCs w:val="20"/>
        </w:rPr>
        <w:t>With a global average temperature that was +0.98°C above the 20th-century average, June 2025 became the third</w:t>
      </w:r>
      <w:r w:rsidR="00BF1D70" w:rsidRPr="001D7B15">
        <w:rPr>
          <w:rFonts w:ascii="Times New Roman" w:eastAsia="Times New Roman" w:hAnsi="Times New Roman" w:cs="Times New Roman"/>
          <w:sz w:val="20"/>
          <w:szCs w:val="20"/>
        </w:rPr>
        <w:t xml:space="preserve"> warmest. And while it may not have been as warm as 2023 or 2024, it did mark the 49th successive June with above-average temperatures. Europe and Asia ranked in fifth place tied with 1995, North America was eighth, and Africa was ninth, while even the other continents had above-average warmth. </w:t>
      </w:r>
      <w:r w:rsidRPr="001D7B15">
        <w:rPr>
          <w:rFonts w:ascii="Times New Roman" w:eastAsia="Times New Roman" w:hAnsi="Times New Roman" w:cs="Times New Roman"/>
          <w:sz w:val="20"/>
          <w:szCs w:val="20"/>
        </w:rPr>
        <w:t>Although the Arctic anomaly remained high (+1.20°C), it was the lowest since 2017</w:t>
      </w:r>
      <w:r w:rsidR="009A21EA">
        <w:rPr>
          <w:rFonts w:ascii="Times New Roman" w:eastAsia="Times New Roman" w:hAnsi="Times New Roman" w:cs="Times New Roman"/>
          <w:sz w:val="20"/>
          <w:szCs w:val="20"/>
        </w:rPr>
        <w:t xml:space="preserve">- </w:t>
      </w:r>
      <w:r w:rsidRPr="001D7B15">
        <w:rPr>
          <w:rFonts w:ascii="Times New Roman" w:eastAsia="Times New Roman" w:hAnsi="Times New Roman" w:cs="Times New Roman"/>
          <w:sz w:val="20"/>
          <w:szCs w:val="20"/>
        </w:rPr>
        <w:t>a detail that reflects short-term variability rather than a reversal of long-term warming trends</w:t>
      </w:r>
      <w:r w:rsidR="00BF1D70" w:rsidRPr="001D7B15">
        <w:rPr>
          <w:rFonts w:ascii="Times New Roman" w:eastAsia="Times New Roman" w:hAnsi="Times New Roman" w:cs="Times New Roman"/>
          <w:sz w:val="20"/>
          <w:szCs w:val="20"/>
        </w:rPr>
        <w:t xml:space="preserve"> [</w:t>
      </w:r>
      <w:r w:rsidR="00450DE4">
        <w:rPr>
          <w:rFonts w:ascii="Times New Roman" w:eastAsia="Times New Roman" w:hAnsi="Times New Roman" w:cs="Times New Roman"/>
          <w:sz w:val="20"/>
          <w:szCs w:val="20"/>
        </w:rPr>
        <w:t>6</w:t>
      </w:r>
      <w:r w:rsidR="00BF1D70" w:rsidRPr="001D7B15">
        <w:rPr>
          <w:rFonts w:ascii="Times New Roman" w:eastAsia="Times New Roman" w:hAnsi="Times New Roman" w:cs="Times New Roman"/>
          <w:sz w:val="20"/>
          <w:szCs w:val="20"/>
        </w:rPr>
        <w:t>]</w:t>
      </w:r>
      <w:r w:rsidR="00267A13">
        <w:rPr>
          <w:rFonts w:ascii="Times New Roman" w:eastAsia="Times New Roman" w:hAnsi="Times New Roman" w:cs="Times New Roman"/>
          <w:sz w:val="20"/>
          <w:szCs w:val="20"/>
        </w:rPr>
        <w:t xml:space="preserve"> (Fig 1)</w:t>
      </w:r>
      <w:r w:rsidR="00BF1D70" w:rsidRPr="001D7B15">
        <w:rPr>
          <w:rFonts w:ascii="Times New Roman" w:eastAsia="Times New Roman" w:hAnsi="Times New Roman" w:cs="Times New Roman"/>
          <w:sz w:val="20"/>
          <w:szCs w:val="20"/>
        </w:rPr>
        <w:t>.</w:t>
      </w:r>
    </w:p>
    <w:p w14:paraId="2FBAD83D" w14:textId="77777777" w:rsidR="009A238C" w:rsidRPr="00DD0099" w:rsidRDefault="009A238C">
      <w:pPr>
        <w:spacing w:after="0" w:line="240" w:lineRule="auto"/>
        <w:jc w:val="both"/>
        <w:rPr>
          <w:rFonts w:eastAsia="Times New Roman"/>
          <w:sz w:val="20"/>
          <w:szCs w:val="20"/>
        </w:rPr>
      </w:pPr>
    </w:p>
    <w:p w14:paraId="408D3731" w14:textId="2BBE21CC" w:rsidR="00A05DD1" w:rsidRPr="001D7B15" w:rsidRDefault="00000000">
      <w:pPr>
        <w:spacing w:after="0" w:line="240" w:lineRule="auto"/>
        <w:jc w:val="both"/>
        <w:rPr>
          <w:rFonts w:ascii="Times New Roman" w:eastAsia="Times New Roman" w:hAnsi="Times New Roman" w:cs="Times New Roman"/>
          <w:sz w:val="20"/>
          <w:szCs w:val="20"/>
        </w:rPr>
      </w:pPr>
      <w:r w:rsidRPr="001D7B15">
        <w:rPr>
          <w:rFonts w:ascii="Times New Roman" w:eastAsia="Times New Roman" w:hAnsi="Times New Roman" w:cs="Times New Roman"/>
          <w:noProof/>
          <w:sz w:val="20"/>
          <w:szCs w:val="20"/>
        </w:rPr>
        <w:drawing>
          <wp:inline distT="0" distB="0" distL="0" distR="0" wp14:anchorId="0A072CB0" wp14:editId="1F4F027D">
            <wp:extent cx="2743105" cy="1636132"/>
            <wp:effectExtent l="0" t="0" r="635" b="254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rcRect/>
                    <a:stretch>
                      <a:fillRect/>
                    </a:stretch>
                  </pic:blipFill>
                  <pic:spPr>
                    <a:xfrm>
                      <a:off x="0" y="0"/>
                      <a:ext cx="2743105" cy="1636132"/>
                    </a:xfrm>
                    <a:prstGeom prst="rect">
                      <a:avLst/>
                    </a:prstGeom>
                    <a:ln/>
                  </pic:spPr>
                </pic:pic>
              </a:graphicData>
            </a:graphic>
          </wp:inline>
        </w:drawing>
      </w:r>
    </w:p>
    <w:p w14:paraId="048B29F2" w14:textId="6BBA0B86" w:rsidR="00A05DD1" w:rsidRPr="001D7B15" w:rsidRDefault="00000000">
      <w:pPr>
        <w:spacing w:after="0" w:line="240" w:lineRule="auto"/>
        <w:rPr>
          <w:rFonts w:ascii="Times New Roman" w:eastAsia="Times New Roman" w:hAnsi="Times New Roman" w:cs="Times New Roman"/>
          <w:sz w:val="16"/>
          <w:szCs w:val="16"/>
        </w:rPr>
      </w:pPr>
      <w:r w:rsidRPr="001D7B15">
        <w:rPr>
          <w:rFonts w:ascii="Times New Roman" w:eastAsia="Times New Roman" w:hAnsi="Times New Roman" w:cs="Times New Roman"/>
          <w:b/>
          <w:bCs/>
          <w:sz w:val="16"/>
          <w:szCs w:val="16"/>
        </w:rPr>
        <w:t>Fig</w:t>
      </w:r>
      <w:r w:rsidR="00EA7784">
        <w:rPr>
          <w:rFonts w:ascii="Times New Roman" w:eastAsia="Times New Roman" w:hAnsi="Times New Roman" w:cs="Times New Roman"/>
          <w:b/>
          <w:bCs/>
          <w:sz w:val="16"/>
          <w:szCs w:val="16"/>
        </w:rPr>
        <w:t>.</w:t>
      </w:r>
      <w:r w:rsidRPr="001D7B15">
        <w:rPr>
          <w:rFonts w:ascii="Times New Roman" w:eastAsia="Times New Roman" w:hAnsi="Times New Roman" w:cs="Times New Roman"/>
          <w:b/>
          <w:bCs/>
          <w:sz w:val="16"/>
          <w:szCs w:val="16"/>
        </w:rPr>
        <w:t xml:space="preserve"> 1</w:t>
      </w:r>
      <w:r w:rsidR="00EA7784">
        <w:rPr>
          <w:rFonts w:ascii="Times New Roman" w:eastAsia="Times New Roman" w:hAnsi="Times New Roman" w:cs="Times New Roman"/>
          <w:b/>
          <w:bCs/>
          <w:sz w:val="16"/>
          <w:szCs w:val="16"/>
        </w:rPr>
        <w:t>.</w:t>
      </w:r>
      <w:r w:rsidRPr="001D7B15">
        <w:rPr>
          <w:rFonts w:ascii="Times New Roman" w:eastAsia="Times New Roman" w:hAnsi="Times New Roman" w:cs="Times New Roman"/>
          <w:sz w:val="16"/>
          <w:szCs w:val="16"/>
        </w:rPr>
        <w:t xml:space="preserve"> Regional Temperature Rankings</w:t>
      </w:r>
      <w:r w:rsidR="00225733" w:rsidRPr="001D7B15">
        <w:rPr>
          <w:rFonts w:ascii="Times New Roman" w:eastAsia="Times New Roman" w:hAnsi="Times New Roman" w:cs="Times New Roman"/>
          <w:sz w:val="16"/>
          <w:szCs w:val="16"/>
        </w:rPr>
        <w:t xml:space="preserve"> for June 2025</w:t>
      </w:r>
      <w:r w:rsidRPr="001D7B15">
        <w:rPr>
          <w:rFonts w:ascii="Times New Roman" w:eastAsia="Times New Roman" w:hAnsi="Times New Roman" w:cs="Times New Roman"/>
          <w:sz w:val="16"/>
          <w:szCs w:val="16"/>
        </w:rPr>
        <w:t xml:space="preserve"> [5]</w:t>
      </w:r>
    </w:p>
    <w:p w14:paraId="7BB4AC8C" w14:textId="4D1990FA" w:rsidR="00BF1D70" w:rsidRPr="001D7B15" w:rsidRDefault="00BF1D70">
      <w:pPr>
        <w:spacing w:after="0" w:line="240" w:lineRule="auto"/>
        <w:jc w:val="both"/>
        <w:rPr>
          <w:rFonts w:ascii="Times New Roman" w:eastAsia="Times New Roman" w:hAnsi="Times New Roman" w:cs="Times New Roman"/>
          <w:sz w:val="20"/>
          <w:szCs w:val="20"/>
        </w:rPr>
      </w:pPr>
      <w:r w:rsidRPr="001D7B15">
        <w:rPr>
          <w:rFonts w:ascii="Times New Roman" w:eastAsia="Times New Roman" w:hAnsi="Times New Roman" w:cs="Times New Roman"/>
          <w:sz w:val="20"/>
          <w:szCs w:val="20"/>
        </w:rPr>
        <w:t xml:space="preserve">According to WMO projections, global temperatures are expected to remain close to the record levels up to 2029, adding to climate-induced risks in ecosystems, economies, and the society. The chance of having at least one year exceed 2024 as the hottest ever by 80% </w:t>
      </w:r>
      <w:r w:rsidRPr="001D7B15">
        <w:rPr>
          <w:rFonts w:ascii="Times New Roman" w:eastAsia="Times New Roman" w:hAnsi="Times New Roman" w:cs="Times New Roman"/>
          <w:sz w:val="20"/>
          <w:szCs w:val="20"/>
        </w:rPr>
        <w:lastRenderedPageBreak/>
        <w:t>is 86% possible with reference to one of them surpassing 1.5 degrees since the pre-industrial; 70% for the 2025–2029 five-year average to exceed the 1.5°C target temporarily—these extended metrics highlight the rapid pace of warm-up in recent times [</w:t>
      </w:r>
      <w:r w:rsidR="00450DE4">
        <w:rPr>
          <w:rFonts w:ascii="Times New Roman" w:eastAsia="Times New Roman" w:hAnsi="Times New Roman" w:cs="Times New Roman"/>
          <w:sz w:val="20"/>
          <w:szCs w:val="20"/>
        </w:rPr>
        <w:t>7</w:t>
      </w:r>
      <w:r w:rsidRPr="001D7B15">
        <w:rPr>
          <w:rFonts w:ascii="Times New Roman" w:eastAsia="Times New Roman" w:hAnsi="Times New Roman" w:cs="Times New Roman"/>
          <w:sz w:val="20"/>
          <w:szCs w:val="20"/>
        </w:rPr>
        <w:t xml:space="preserve">]. The traditional ways of investigating climate condition predictions mostly depend on numerical and statistical modeling. </w:t>
      </w:r>
      <w:r w:rsidR="00B73A05" w:rsidRPr="001D7B15">
        <w:rPr>
          <w:rFonts w:ascii="Times New Roman" w:eastAsia="Times New Roman" w:hAnsi="Times New Roman" w:cs="Times New Roman"/>
          <w:sz w:val="20"/>
          <w:szCs w:val="20"/>
        </w:rPr>
        <w:t>Numerical Climate Models, such as General Circulation Models (GCMs) and Earth System Models (ESMs), are the most complex methods employed in the study of the climate, as they are based on a set of physical equations to represent the interactions of the atmosphere, oceans, land, and ice [</w:t>
      </w:r>
      <w:r w:rsidR="00450DE4">
        <w:rPr>
          <w:rFonts w:ascii="Times New Roman" w:eastAsia="Times New Roman" w:hAnsi="Times New Roman" w:cs="Times New Roman"/>
          <w:sz w:val="20"/>
          <w:szCs w:val="20"/>
        </w:rPr>
        <w:t>8</w:t>
      </w:r>
      <w:r w:rsidR="00B73A05" w:rsidRPr="001D7B15">
        <w:rPr>
          <w:rFonts w:ascii="Times New Roman" w:eastAsia="Times New Roman" w:hAnsi="Times New Roman" w:cs="Times New Roman"/>
          <w:sz w:val="20"/>
          <w:szCs w:val="20"/>
        </w:rPr>
        <w:t>]. These models can give us a long-term overview of the main climate variables like temperature and precipitation, but they need a lot of computing power and are subject to some limitations regarding spatial resolution, parameterization mistakes, and uncertainties in boundary conditions [</w:t>
      </w:r>
      <w:r w:rsidR="00450DE4">
        <w:rPr>
          <w:rFonts w:ascii="Times New Roman" w:eastAsia="Times New Roman" w:hAnsi="Times New Roman" w:cs="Times New Roman"/>
          <w:sz w:val="20"/>
          <w:szCs w:val="20"/>
        </w:rPr>
        <w:t>9</w:t>
      </w:r>
      <w:r w:rsidR="00B73A05" w:rsidRPr="001D7B15">
        <w:rPr>
          <w:rFonts w:ascii="Times New Roman" w:eastAsia="Times New Roman" w:hAnsi="Times New Roman" w:cs="Times New Roman"/>
          <w:sz w:val="20"/>
          <w:szCs w:val="20"/>
        </w:rPr>
        <w:t xml:space="preserve">]. However, the statistical and empirical methods have developed based on historical data which they used to draw inferences about the correlations between different climatic events; nevertheless, once the occurrence of some events becomes nonlinear or rare, their prediction power will be greatly diminished. Traditional models faced some obstacles in terms of their application at the regional scale, especially </w:t>
      </w:r>
      <w:r w:rsidR="006D13CE" w:rsidRPr="001D7B15">
        <w:rPr>
          <w:rFonts w:ascii="Times New Roman" w:eastAsia="Times New Roman" w:hAnsi="Times New Roman" w:cs="Times New Roman"/>
          <w:sz w:val="20"/>
          <w:szCs w:val="20"/>
        </w:rPr>
        <w:t>about</w:t>
      </w:r>
      <w:r w:rsidR="00B73A05" w:rsidRPr="001D7B15">
        <w:rPr>
          <w:rFonts w:ascii="Times New Roman" w:eastAsia="Times New Roman" w:hAnsi="Times New Roman" w:cs="Times New Roman"/>
          <w:sz w:val="20"/>
          <w:szCs w:val="20"/>
        </w:rPr>
        <w:t xml:space="preserve"> data unavailability or very high computation costs [</w:t>
      </w:r>
      <w:r w:rsidR="00450DE4">
        <w:rPr>
          <w:rFonts w:ascii="Times New Roman" w:eastAsia="Times New Roman" w:hAnsi="Times New Roman" w:cs="Times New Roman"/>
          <w:sz w:val="20"/>
          <w:szCs w:val="20"/>
        </w:rPr>
        <w:t>10</w:t>
      </w:r>
      <w:r w:rsidR="00B73A05" w:rsidRPr="001D7B15">
        <w:rPr>
          <w:rFonts w:ascii="Times New Roman" w:eastAsia="Times New Roman" w:hAnsi="Times New Roman" w:cs="Times New Roman"/>
          <w:sz w:val="20"/>
          <w:szCs w:val="20"/>
        </w:rPr>
        <w:t xml:space="preserve">]. </w:t>
      </w:r>
      <w:r w:rsidR="00590520" w:rsidRPr="00590520">
        <w:rPr>
          <w:rFonts w:ascii="Times New Roman" w:eastAsia="Times New Roman" w:hAnsi="Times New Roman" w:cs="Times New Roman"/>
          <w:sz w:val="20"/>
          <w:szCs w:val="20"/>
        </w:rPr>
        <w:t>The developments in Artificial Intelligence (AI), predominantly through machine learning and deep learning, are proving to be the right solution to these problems, as they can learn complex non-linear relationships from large datasets and adapt to diverse predictive tasks [1</w:t>
      </w:r>
      <w:r w:rsidR="00450DE4">
        <w:rPr>
          <w:rFonts w:ascii="Times New Roman" w:eastAsia="Times New Roman" w:hAnsi="Times New Roman" w:cs="Times New Roman"/>
          <w:sz w:val="20"/>
          <w:szCs w:val="20"/>
        </w:rPr>
        <w:t>1</w:t>
      </w:r>
      <w:r w:rsidR="00072DEE">
        <w:rPr>
          <w:rFonts w:ascii="Times New Roman" w:eastAsia="Times New Roman" w:hAnsi="Times New Roman" w:cs="Times New Roman"/>
          <w:sz w:val="20"/>
          <w:szCs w:val="20"/>
        </w:rPr>
        <w:t>]</w:t>
      </w:r>
    </w:p>
    <w:p w14:paraId="2784C994" w14:textId="77777777" w:rsidR="00A05DD1" w:rsidRPr="001D7B15" w:rsidRDefault="00000000">
      <w:pPr>
        <w:spacing w:after="0"/>
        <w:jc w:val="both"/>
        <w:rPr>
          <w:rFonts w:ascii="Times New Roman" w:eastAsia="Times New Roman" w:hAnsi="Times New Roman" w:cs="Times New Roman"/>
          <w:sz w:val="20"/>
          <w:szCs w:val="20"/>
        </w:rPr>
      </w:pPr>
      <w:r w:rsidRPr="001D7B15">
        <w:rPr>
          <w:rFonts w:ascii="Times New Roman" w:eastAsia="Times New Roman" w:hAnsi="Times New Roman" w:cs="Times New Roman"/>
          <w:sz w:val="20"/>
          <w:szCs w:val="20"/>
        </w:rPr>
        <w:t xml:space="preserve"> In this paper, we develop a machine learning–based framework for predicting climate conditions using historical and environmental data.</w:t>
      </w:r>
    </w:p>
    <w:p w14:paraId="2C35F381" w14:textId="77777777" w:rsidR="00A05DD1" w:rsidRPr="001D7B15" w:rsidRDefault="00A05DD1">
      <w:pPr>
        <w:spacing w:after="0"/>
        <w:jc w:val="both"/>
        <w:rPr>
          <w:rFonts w:ascii="Times New Roman" w:eastAsia="Times New Roman" w:hAnsi="Times New Roman" w:cs="Times New Roman"/>
          <w:sz w:val="20"/>
          <w:szCs w:val="20"/>
        </w:rPr>
      </w:pPr>
    </w:p>
    <w:p w14:paraId="2CCB734E" w14:textId="77777777" w:rsidR="00A05DD1" w:rsidRPr="001D7B15" w:rsidRDefault="00000000">
      <w:pPr>
        <w:numPr>
          <w:ilvl w:val="0"/>
          <w:numId w:val="1"/>
        </w:numPr>
        <w:pBdr>
          <w:top w:val="nil"/>
          <w:left w:val="nil"/>
          <w:bottom w:val="nil"/>
          <w:right w:val="nil"/>
          <w:between w:val="nil"/>
        </w:pBdr>
        <w:spacing w:line="240" w:lineRule="auto"/>
        <w:ind w:left="1560" w:hanging="425"/>
        <w:rPr>
          <w:rFonts w:ascii="Times New Roman" w:eastAsia="Times New Roman" w:hAnsi="Times New Roman" w:cs="Times New Roman"/>
          <w:color w:val="000000"/>
          <w:sz w:val="20"/>
          <w:szCs w:val="20"/>
        </w:rPr>
      </w:pPr>
      <w:r w:rsidRPr="001D7B15">
        <w:rPr>
          <w:rFonts w:ascii="Times New Roman" w:eastAsia="Times New Roman" w:hAnsi="Times New Roman" w:cs="Times New Roman"/>
          <w:color w:val="000000"/>
          <w:sz w:val="20"/>
          <w:szCs w:val="20"/>
        </w:rPr>
        <w:t>RELATED WORK</w:t>
      </w:r>
    </w:p>
    <w:p w14:paraId="1979ADA1" w14:textId="77777777" w:rsidR="00E303CE" w:rsidRPr="001D7B15" w:rsidRDefault="00E303CE">
      <w:pPr>
        <w:spacing w:after="0"/>
        <w:jc w:val="both"/>
        <w:rPr>
          <w:rFonts w:ascii="Times New Roman" w:eastAsia="Times New Roman" w:hAnsi="Times New Roman" w:cs="Times New Roman"/>
          <w:sz w:val="20"/>
          <w:szCs w:val="20"/>
        </w:rPr>
      </w:pPr>
      <w:r w:rsidRPr="001D7B15">
        <w:rPr>
          <w:rFonts w:ascii="Times New Roman" w:eastAsia="Times New Roman" w:hAnsi="Times New Roman" w:cs="Times New Roman"/>
          <w:sz w:val="20"/>
          <w:szCs w:val="20"/>
        </w:rPr>
        <w:t>Climate forecast in recent times has been expected with a lot of research, with like a wide usage of traditional statistical techniques, however, in comparison to extensive efforts for present-day machine learning for climate challenges.</w:t>
      </w:r>
    </w:p>
    <w:p w14:paraId="14135034" w14:textId="6FEBBC98" w:rsidR="00A05DD1" w:rsidRPr="00450DE4" w:rsidRDefault="007C1952">
      <w:pPr>
        <w:spacing w:after="0"/>
        <w:jc w:val="both"/>
        <w:rPr>
          <w:rFonts w:ascii="Times New Roman" w:eastAsia="Times New Roman" w:hAnsi="Times New Roman" w:cs="Times New Roman"/>
          <w:sz w:val="20"/>
          <w:szCs w:val="20"/>
        </w:rPr>
      </w:pPr>
      <w:r w:rsidRPr="00450DE4">
        <w:rPr>
          <w:rFonts w:ascii="Times New Roman" w:eastAsia="Times New Roman" w:hAnsi="Times New Roman" w:cs="Times New Roman"/>
          <w:sz w:val="20"/>
          <w:szCs w:val="20"/>
        </w:rPr>
        <w:t xml:space="preserve">Kadkhodazadeh et al. (2022) </w:t>
      </w:r>
      <w:r w:rsidR="004308B3" w:rsidRPr="00450DE4">
        <w:rPr>
          <w:rFonts w:ascii="Times New Roman" w:eastAsia="Times New Roman" w:hAnsi="Times New Roman" w:cs="Times New Roman"/>
          <w:sz w:val="20"/>
          <w:szCs w:val="20"/>
        </w:rPr>
        <w:t>[1</w:t>
      </w:r>
      <w:r w:rsidR="00450DE4" w:rsidRPr="00450DE4">
        <w:rPr>
          <w:rFonts w:ascii="Times New Roman" w:eastAsia="Times New Roman" w:hAnsi="Times New Roman" w:cs="Times New Roman"/>
          <w:sz w:val="20"/>
          <w:szCs w:val="20"/>
        </w:rPr>
        <w:t>2</w:t>
      </w:r>
      <w:r w:rsidR="004308B3" w:rsidRPr="00450DE4">
        <w:rPr>
          <w:rFonts w:ascii="Times New Roman" w:eastAsia="Times New Roman" w:hAnsi="Times New Roman" w:cs="Times New Roman"/>
          <w:sz w:val="20"/>
          <w:szCs w:val="20"/>
        </w:rPr>
        <w:t xml:space="preserve">] </w:t>
      </w:r>
      <w:r w:rsidRPr="00450DE4">
        <w:rPr>
          <w:rFonts w:ascii="Times New Roman" w:eastAsia="Times New Roman" w:hAnsi="Times New Roman" w:cs="Times New Roman"/>
          <w:sz w:val="20"/>
          <w:szCs w:val="20"/>
        </w:rPr>
        <w:t xml:space="preserve">used machine-learning models to predict reference evapotranspiration and demonstrated that nonlinear models outperform traditional regression under climate-change scenarios </w:t>
      </w:r>
      <w:r w:rsidR="00E303CE" w:rsidRPr="00450DE4">
        <w:rPr>
          <w:rFonts w:ascii="Times New Roman" w:eastAsia="Times New Roman" w:hAnsi="Times New Roman" w:cs="Times New Roman"/>
          <w:sz w:val="20"/>
          <w:szCs w:val="20"/>
        </w:rPr>
        <w:t xml:space="preserve">as such, their results showed that nonlinear approaches outperformed methods based on traditional regression. </w:t>
      </w:r>
      <w:r w:rsidRPr="00450DE4">
        <w:rPr>
          <w:rFonts w:ascii="Times New Roman" w:eastAsia="Times New Roman" w:hAnsi="Times New Roman" w:cs="Times New Roman"/>
          <w:sz w:val="20"/>
          <w:szCs w:val="20"/>
        </w:rPr>
        <w:t>Vaughan et al.</w:t>
      </w:r>
      <w:r w:rsidR="004308B3" w:rsidRPr="00450DE4">
        <w:rPr>
          <w:rFonts w:ascii="Times New Roman" w:eastAsia="Times New Roman" w:hAnsi="Times New Roman" w:cs="Times New Roman"/>
          <w:sz w:val="20"/>
          <w:szCs w:val="20"/>
        </w:rPr>
        <w:t xml:space="preserve"> (2021) [1</w:t>
      </w:r>
      <w:r w:rsidR="00450DE4" w:rsidRPr="00450DE4">
        <w:rPr>
          <w:rFonts w:ascii="Times New Roman" w:eastAsia="Times New Roman" w:hAnsi="Times New Roman" w:cs="Times New Roman"/>
          <w:sz w:val="20"/>
          <w:szCs w:val="20"/>
        </w:rPr>
        <w:t>3</w:t>
      </w:r>
      <w:r w:rsidR="004308B3" w:rsidRPr="00450DE4">
        <w:rPr>
          <w:rFonts w:ascii="Times New Roman" w:eastAsia="Times New Roman" w:hAnsi="Times New Roman" w:cs="Times New Roman"/>
          <w:sz w:val="20"/>
          <w:szCs w:val="20"/>
        </w:rPr>
        <w:t>]</w:t>
      </w:r>
      <w:r w:rsidRPr="00450DE4">
        <w:rPr>
          <w:rFonts w:ascii="Times New Roman" w:eastAsia="Times New Roman" w:hAnsi="Times New Roman" w:cs="Times New Roman"/>
          <w:sz w:val="20"/>
          <w:szCs w:val="20"/>
        </w:rPr>
        <w:t xml:space="preserve"> introduced convolutional conditional neural processes (convCNPs) to improve local climate downscaling, particularly for extreme events. Similarly, Khaira et al.</w:t>
      </w:r>
      <w:r w:rsidR="004308B3" w:rsidRPr="00450DE4">
        <w:rPr>
          <w:rFonts w:ascii="Times New Roman" w:eastAsia="Times New Roman" w:hAnsi="Times New Roman" w:cs="Times New Roman"/>
          <w:sz w:val="20"/>
          <w:szCs w:val="20"/>
        </w:rPr>
        <w:t xml:space="preserve"> (2024)</w:t>
      </w:r>
      <w:r w:rsidRPr="00450DE4">
        <w:rPr>
          <w:rFonts w:ascii="Times New Roman" w:eastAsia="Times New Roman" w:hAnsi="Times New Roman" w:cs="Times New Roman"/>
          <w:sz w:val="20"/>
          <w:szCs w:val="20"/>
        </w:rPr>
        <w:t xml:space="preserve"> [1</w:t>
      </w:r>
      <w:r w:rsidR="00450DE4" w:rsidRPr="00450DE4">
        <w:rPr>
          <w:rFonts w:ascii="Times New Roman" w:eastAsia="Times New Roman" w:hAnsi="Times New Roman" w:cs="Times New Roman"/>
          <w:sz w:val="20"/>
          <w:szCs w:val="20"/>
        </w:rPr>
        <w:t>4</w:t>
      </w:r>
      <w:r w:rsidRPr="00450DE4">
        <w:rPr>
          <w:rFonts w:ascii="Times New Roman" w:eastAsia="Times New Roman" w:hAnsi="Times New Roman" w:cs="Times New Roman"/>
          <w:sz w:val="20"/>
          <w:szCs w:val="20"/>
        </w:rPr>
        <w:t>] integrated machine learning with atmospheric WRF model outputs to improve snowfall forecasts in the Northeast U.S., demonstrating that hybrid physics-based and data-driven models outperform conventional methods. Extending ML applications to environmental hazards, Aryal et al.</w:t>
      </w:r>
      <w:r w:rsidR="004308B3" w:rsidRPr="00450DE4">
        <w:rPr>
          <w:rFonts w:ascii="Times New Roman" w:eastAsia="Times New Roman" w:hAnsi="Times New Roman" w:cs="Times New Roman"/>
          <w:sz w:val="20"/>
          <w:szCs w:val="20"/>
        </w:rPr>
        <w:t xml:space="preserve"> (2022)</w:t>
      </w:r>
      <w:r w:rsidRPr="00450DE4">
        <w:rPr>
          <w:rFonts w:ascii="Times New Roman" w:eastAsia="Times New Roman" w:hAnsi="Times New Roman" w:cs="Times New Roman"/>
          <w:sz w:val="20"/>
          <w:szCs w:val="20"/>
        </w:rPr>
        <w:t xml:space="preserve"> [1</w:t>
      </w:r>
      <w:r w:rsidR="00450DE4" w:rsidRPr="00450DE4">
        <w:rPr>
          <w:rFonts w:ascii="Times New Roman" w:eastAsia="Times New Roman" w:hAnsi="Times New Roman" w:cs="Times New Roman"/>
          <w:sz w:val="20"/>
          <w:szCs w:val="20"/>
        </w:rPr>
        <w:t>5</w:t>
      </w:r>
      <w:r w:rsidRPr="00450DE4">
        <w:rPr>
          <w:rFonts w:ascii="Times New Roman" w:eastAsia="Times New Roman" w:hAnsi="Times New Roman" w:cs="Times New Roman"/>
          <w:sz w:val="20"/>
          <w:szCs w:val="20"/>
        </w:rPr>
        <w:t xml:space="preserve">] evaluated various ML models </w:t>
      </w:r>
      <w:r w:rsidRPr="00450DE4">
        <w:rPr>
          <w:rFonts w:ascii="Times New Roman" w:eastAsia="Times New Roman" w:hAnsi="Times New Roman" w:cs="Times New Roman"/>
          <w:sz w:val="20"/>
          <w:szCs w:val="20"/>
        </w:rPr>
        <w:t>for predicting aeolian dust events, showing that non-linear models capture dust concentration dynamics better than linear approaches, though extreme events were slightly underestimated.</w:t>
      </w:r>
    </w:p>
    <w:p w14:paraId="2B2FE6D8" w14:textId="56556BA7" w:rsidR="00A05DD1" w:rsidRPr="00450DE4" w:rsidRDefault="00E303CE">
      <w:pPr>
        <w:spacing w:after="0"/>
        <w:jc w:val="both"/>
        <w:rPr>
          <w:rFonts w:ascii="Times New Roman" w:eastAsia="Times New Roman" w:hAnsi="Times New Roman" w:cs="Times New Roman"/>
          <w:sz w:val="20"/>
          <w:szCs w:val="20"/>
        </w:rPr>
      </w:pPr>
      <w:r w:rsidRPr="00450DE4">
        <w:rPr>
          <w:rFonts w:ascii="Times New Roman" w:eastAsia="Times New Roman" w:hAnsi="Times New Roman" w:cs="Times New Roman"/>
          <w:sz w:val="20"/>
          <w:szCs w:val="20"/>
        </w:rPr>
        <w:t xml:space="preserve">In the extreme hydrological points, </w:t>
      </w:r>
      <w:r w:rsidR="007C1952" w:rsidRPr="00450DE4">
        <w:rPr>
          <w:rFonts w:ascii="Times New Roman" w:eastAsia="Times New Roman" w:hAnsi="Times New Roman" w:cs="Times New Roman"/>
          <w:sz w:val="20"/>
          <w:szCs w:val="20"/>
        </w:rPr>
        <w:t>Shi et al.</w:t>
      </w:r>
      <w:r w:rsidR="004308B3" w:rsidRPr="00450DE4">
        <w:rPr>
          <w:rFonts w:ascii="Times New Roman" w:eastAsia="Times New Roman" w:hAnsi="Times New Roman" w:cs="Times New Roman"/>
          <w:sz w:val="20"/>
          <w:szCs w:val="20"/>
        </w:rPr>
        <w:t xml:space="preserve"> (2023)</w:t>
      </w:r>
      <w:r w:rsidR="007C1952" w:rsidRPr="00450DE4">
        <w:rPr>
          <w:rFonts w:ascii="Times New Roman" w:eastAsia="Times New Roman" w:hAnsi="Times New Roman" w:cs="Times New Roman"/>
          <w:sz w:val="20"/>
          <w:szCs w:val="20"/>
        </w:rPr>
        <w:t xml:space="preserve"> [1</w:t>
      </w:r>
      <w:r w:rsidR="00450DE4" w:rsidRPr="00450DE4">
        <w:rPr>
          <w:rFonts w:ascii="Times New Roman" w:eastAsia="Times New Roman" w:hAnsi="Times New Roman" w:cs="Times New Roman"/>
          <w:sz w:val="20"/>
          <w:szCs w:val="20"/>
        </w:rPr>
        <w:t>6</w:t>
      </w:r>
      <w:r w:rsidR="007C1952" w:rsidRPr="00450DE4">
        <w:rPr>
          <w:rFonts w:ascii="Times New Roman" w:eastAsia="Times New Roman" w:hAnsi="Times New Roman" w:cs="Times New Roman"/>
          <w:sz w:val="20"/>
          <w:szCs w:val="20"/>
        </w:rPr>
        <w:t xml:space="preserve">] proposed FloodGTN, a graph-transformer network that models spatiotemporal water-level dynamics and achieves significantly higher accuracy than traditional approaches. </w:t>
      </w:r>
      <w:r w:rsidRPr="00450DE4">
        <w:rPr>
          <w:rFonts w:ascii="Times New Roman" w:eastAsia="Times New Roman" w:hAnsi="Times New Roman" w:cs="Times New Roman"/>
          <w:sz w:val="20"/>
          <w:szCs w:val="20"/>
        </w:rPr>
        <w:t>Traditional models, Flood-GTN, presented some improvement in accuracy. On the water quality side, Rahat et al.</w:t>
      </w:r>
      <w:r w:rsidR="004308B3" w:rsidRPr="00450DE4">
        <w:rPr>
          <w:rFonts w:ascii="Times New Roman" w:eastAsia="Times New Roman" w:hAnsi="Times New Roman" w:cs="Times New Roman"/>
          <w:sz w:val="20"/>
          <w:szCs w:val="20"/>
        </w:rPr>
        <w:t xml:space="preserve"> (2023)</w:t>
      </w:r>
      <w:r w:rsidRPr="00450DE4">
        <w:rPr>
          <w:rFonts w:ascii="Times New Roman" w:eastAsia="Times New Roman" w:hAnsi="Times New Roman" w:cs="Times New Roman"/>
          <w:sz w:val="20"/>
          <w:szCs w:val="20"/>
        </w:rPr>
        <w:t xml:space="preserve"> [1</w:t>
      </w:r>
      <w:r w:rsidR="00450DE4" w:rsidRPr="00450DE4">
        <w:rPr>
          <w:rFonts w:ascii="Times New Roman" w:eastAsia="Times New Roman" w:hAnsi="Times New Roman" w:cs="Times New Roman"/>
          <w:sz w:val="20"/>
          <w:szCs w:val="20"/>
        </w:rPr>
        <w:t>7</w:t>
      </w:r>
      <w:r w:rsidRPr="00450DE4">
        <w:rPr>
          <w:rFonts w:ascii="Times New Roman" w:eastAsia="Times New Roman" w:hAnsi="Times New Roman" w:cs="Times New Roman"/>
          <w:sz w:val="20"/>
          <w:szCs w:val="20"/>
        </w:rPr>
        <w:t xml:space="preserve">] suggested monitoring river TSSs through LSTM models and remote sensing data to capture time scale from daily to seasonal and climate change. With an array of machine learning models, </w:t>
      </w:r>
      <w:r w:rsidR="007C1952" w:rsidRPr="00450DE4">
        <w:rPr>
          <w:rFonts w:ascii="Times New Roman" w:eastAsia="Times New Roman" w:hAnsi="Times New Roman" w:cs="Times New Roman"/>
          <w:sz w:val="20"/>
          <w:szCs w:val="20"/>
        </w:rPr>
        <w:t>Lu et al. (2025)</w:t>
      </w:r>
      <w:r w:rsidR="004308B3" w:rsidRPr="00450DE4">
        <w:rPr>
          <w:rFonts w:ascii="Times New Roman" w:eastAsia="Times New Roman" w:hAnsi="Times New Roman" w:cs="Times New Roman"/>
          <w:sz w:val="20"/>
          <w:szCs w:val="20"/>
        </w:rPr>
        <w:t xml:space="preserve"> [1</w:t>
      </w:r>
      <w:r w:rsidR="00450DE4" w:rsidRPr="00450DE4">
        <w:rPr>
          <w:rFonts w:ascii="Times New Roman" w:eastAsia="Times New Roman" w:hAnsi="Times New Roman" w:cs="Times New Roman"/>
          <w:sz w:val="20"/>
          <w:szCs w:val="20"/>
        </w:rPr>
        <w:t>8</w:t>
      </w:r>
      <w:r w:rsidR="004308B3" w:rsidRPr="00450DE4">
        <w:rPr>
          <w:rFonts w:ascii="Times New Roman" w:eastAsia="Times New Roman" w:hAnsi="Times New Roman" w:cs="Times New Roman"/>
          <w:sz w:val="20"/>
          <w:szCs w:val="20"/>
        </w:rPr>
        <w:t>]</w:t>
      </w:r>
      <w:r w:rsidR="007C1952" w:rsidRPr="00450DE4">
        <w:rPr>
          <w:rFonts w:ascii="Times New Roman" w:eastAsia="Times New Roman" w:hAnsi="Times New Roman" w:cs="Times New Roman"/>
          <w:sz w:val="20"/>
          <w:szCs w:val="20"/>
        </w:rPr>
        <w:t xml:space="preserve"> found that CNN models best captured groundwater-level fluctuations, with annual precipitation emerging as the strongest predictor. </w:t>
      </w:r>
      <w:r w:rsidRPr="00450DE4">
        <w:rPr>
          <w:rFonts w:ascii="Times New Roman" w:eastAsia="Times New Roman" w:hAnsi="Times New Roman" w:cs="Times New Roman"/>
          <w:sz w:val="20"/>
          <w:szCs w:val="20"/>
        </w:rPr>
        <w:t>In terms of four model types, the CNN had the best R (2) = 0.9924 with RMSE 0.1832. Automatically, Average Annual Precipitation, Soil Moisture, and Evapotranspiration had positive impacts on GWL. On hydrological forecasting, Zhang et al.</w:t>
      </w:r>
      <w:r w:rsidR="004308B3" w:rsidRPr="00450DE4">
        <w:rPr>
          <w:rFonts w:ascii="Times New Roman" w:eastAsia="Times New Roman" w:hAnsi="Times New Roman" w:cs="Times New Roman"/>
          <w:sz w:val="20"/>
          <w:szCs w:val="20"/>
        </w:rPr>
        <w:t xml:space="preserve"> (2024)</w:t>
      </w:r>
      <w:r w:rsidRPr="00450DE4">
        <w:rPr>
          <w:rFonts w:ascii="Times New Roman" w:eastAsia="Times New Roman" w:hAnsi="Times New Roman" w:cs="Times New Roman"/>
          <w:sz w:val="20"/>
          <w:szCs w:val="20"/>
        </w:rPr>
        <w:t xml:space="preserve"> [1</w:t>
      </w:r>
      <w:r w:rsidR="00450DE4" w:rsidRPr="00450DE4">
        <w:rPr>
          <w:rFonts w:ascii="Times New Roman" w:eastAsia="Times New Roman" w:hAnsi="Times New Roman" w:cs="Times New Roman"/>
          <w:sz w:val="20"/>
          <w:szCs w:val="20"/>
        </w:rPr>
        <w:t>9</w:t>
      </w:r>
      <w:r w:rsidRPr="00450DE4">
        <w:rPr>
          <w:rFonts w:ascii="Times New Roman" w:eastAsia="Times New Roman" w:hAnsi="Times New Roman" w:cs="Times New Roman"/>
          <w:sz w:val="20"/>
          <w:szCs w:val="20"/>
        </w:rPr>
        <w:t xml:space="preserve">] employed machine-learning-based post-processing techniques to Subseasonal-to-Seasonal precipitation forecasts to yield imp0roved skills in ESP. The study concluded that extended ML principles to air quality, Lei et al. </w:t>
      </w:r>
      <w:r w:rsidR="004308B3" w:rsidRPr="00450DE4">
        <w:rPr>
          <w:rFonts w:ascii="Times New Roman" w:eastAsia="Times New Roman" w:hAnsi="Times New Roman" w:cs="Times New Roman"/>
          <w:sz w:val="20"/>
          <w:szCs w:val="20"/>
        </w:rPr>
        <w:t xml:space="preserve">(2022) </w:t>
      </w:r>
      <w:r w:rsidRPr="00450DE4">
        <w:rPr>
          <w:rFonts w:ascii="Times New Roman" w:eastAsia="Times New Roman" w:hAnsi="Times New Roman" w:cs="Times New Roman"/>
          <w:sz w:val="20"/>
          <w:szCs w:val="20"/>
        </w:rPr>
        <w:t>[</w:t>
      </w:r>
      <w:r w:rsidR="00450DE4" w:rsidRPr="00450DE4">
        <w:rPr>
          <w:rFonts w:ascii="Times New Roman" w:eastAsia="Times New Roman" w:hAnsi="Times New Roman" w:cs="Times New Roman"/>
          <w:sz w:val="20"/>
          <w:szCs w:val="20"/>
        </w:rPr>
        <w:t>20</w:t>
      </w:r>
      <w:r w:rsidRPr="00450DE4">
        <w:rPr>
          <w:rFonts w:ascii="Times New Roman" w:eastAsia="Times New Roman" w:hAnsi="Times New Roman" w:cs="Times New Roman"/>
          <w:sz w:val="20"/>
          <w:szCs w:val="20"/>
        </w:rPr>
        <w:t>] found that ML approaches such as RF, GB, and SVR accurately predict concentration of pollutants in Macao even during the COVID-19 epidemic, underlining the robustness of ML in diverse environmental conditions.</w:t>
      </w:r>
    </w:p>
    <w:p w14:paraId="11AEC607" w14:textId="77777777" w:rsidR="00E303CE" w:rsidRPr="001D7B15" w:rsidRDefault="00E303CE">
      <w:pPr>
        <w:spacing w:after="0"/>
        <w:jc w:val="both"/>
        <w:rPr>
          <w:rFonts w:ascii="Times New Roman" w:eastAsia="Times New Roman" w:hAnsi="Times New Roman" w:cs="Times New Roman"/>
          <w:sz w:val="20"/>
          <w:szCs w:val="20"/>
        </w:rPr>
      </w:pPr>
    </w:p>
    <w:p w14:paraId="67B7BFA3" w14:textId="77777777" w:rsidR="00A05DD1" w:rsidRPr="001D7B15" w:rsidRDefault="00000000">
      <w:pPr>
        <w:numPr>
          <w:ilvl w:val="0"/>
          <w:numId w:val="1"/>
        </w:numPr>
        <w:pBdr>
          <w:top w:val="nil"/>
          <w:left w:val="nil"/>
          <w:bottom w:val="nil"/>
          <w:right w:val="nil"/>
          <w:between w:val="nil"/>
        </w:pBdr>
        <w:ind w:left="709" w:firstLine="338"/>
        <w:rPr>
          <w:rFonts w:ascii="Times New Roman" w:eastAsia="Times New Roman" w:hAnsi="Times New Roman" w:cs="Times New Roman"/>
          <w:color w:val="000000"/>
          <w:sz w:val="20"/>
          <w:szCs w:val="20"/>
        </w:rPr>
      </w:pPr>
      <w:r w:rsidRPr="001D7B15">
        <w:rPr>
          <w:rFonts w:ascii="Times New Roman" w:eastAsia="Times New Roman" w:hAnsi="Times New Roman" w:cs="Times New Roman"/>
          <w:color w:val="000000"/>
          <w:sz w:val="20"/>
          <w:szCs w:val="20"/>
        </w:rPr>
        <w:t>METHODOLOGY</w:t>
      </w:r>
    </w:p>
    <w:p w14:paraId="0F3FC1E2" w14:textId="5DEE6541" w:rsidR="00A05DD1" w:rsidRPr="001D7B15" w:rsidRDefault="00000000">
      <w:pPr>
        <w:jc w:val="both"/>
        <w:rPr>
          <w:rFonts w:ascii="Times New Roman" w:eastAsia="Times New Roman" w:hAnsi="Times New Roman" w:cs="Times New Roman"/>
          <w:sz w:val="20"/>
          <w:szCs w:val="20"/>
        </w:rPr>
      </w:pPr>
      <w:r w:rsidRPr="001D7B15">
        <w:rPr>
          <w:rFonts w:ascii="Times New Roman" w:eastAsia="Times New Roman" w:hAnsi="Times New Roman" w:cs="Times New Roman"/>
          <w:sz w:val="20"/>
          <w:szCs w:val="20"/>
        </w:rPr>
        <w:t xml:space="preserve">The methodology for this study focuses on predicting climate conditions using machine learning techniques. </w:t>
      </w:r>
      <w:r w:rsidR="004D4B7C" w:rsidRPr="004D4B7C">
        <w:rPr>
          <w:rFonts w:ascii="Times New Roman" w:eastAsia="Times New Roman" w:hAnsi="Times New Roman" w:cs="Times New Roman"/>
          <w:sz w:val="20"/>
          <w:szCs w:val="20"/>
        </w:rPr>
        <w:t>All experiments were conducted in Python 3.10 using scikit-learn 1.2.2 for machine-learning models and stats</w:t>
      </w:r>
      <w:r w:rsidR="004D4B7C">
        <w:rPr>
          <w:rFonts w:ascii="Times New Roman" w:eastAsia="Times New Roman" w:hAnsi="Times New Roman" w:cs="Times New Roman"/>
          <w:sz w:val="20"/>
          <w:szCs w:val="20"/>
        </w:rPr>
        <w:t xml:space="preserve"> </w:t>
      </w:r>
      <w:r w:rsidR="004D4B7C" w:rsidRPr="004D4B7C">
        <w:rPr>
          <w:rFonts w:ascii="Times New Roman" w:eastAsia="Times New Roman" w:hAnsi="Times New Roman" w:cs="Times New Roman"/>
          <w:sz w:val="20"/>
          <w:szCs w:val="20"/>
        </w:rPr>
        <w:t>models 0.14.0 for ARIMA and Holt–Winters. Data handling and plotting were performed with pandas 1.5.3 and matplotlib 3.6.2. The models were executed on a workstation with an Intel Core i7 CPU and 32 GB RAM, which provided sufficient resources without requiring GPU support.</w:t>
      </w:r>
      <w:r w:rsidR="004D4B7C">
        <w:rPr>
          <w:rFonts w:ascii="Times New Roman" w:eastAsia="Times New Roman" w:hAnsi="Times New Roman" w:cs="Times New Roman"/>
          <w:sz w:val="20"/>
          <w:szCs w:val="20"/>
        </w:rPr>
        <w:t xml:space="preserve"> </w:t>
      </w:r>
      <w:r w:rsidRPr="001D7B15">
        <w:rPr>
          <w:rFonts w:ascii="Times New Roman" w:eastAsia="Times New Roman" w:hAnsi="Times New Roman" w:cs="Times New Roman"/>
          <w:sz w:val="20"/>
          <w:szCs w:val="20"/>
        </w:rPr>
        <w:t>It involves a structured workflow as shown in Fi</w:t>
      </w:r>
      <w:r w:rsidR="00EA7784">
        <w:rPr>
          <w:rFonts w:ascii="Times New Roman" w:eastAsia="Times New Roman" w:hAnsi="Times New Roman" w:cs="Times New Roman"/>
          <w:sz w:val="20"/>
          <w:szCs w:val="20"/>
        </w:rPr>
        <w:t xml:space="preserve">g </w:t>
      </w:r>
      <w:r w:rsidRPr="001D7B15">
        <w:rPr>
          <w:rFonts w:ascii="Times New Roman" w:eastAsia="Times New Roman" w:hAnsi="Times New Roman" w:cs="Times New Roman"/>
          <w:sz w:val="20"/>
          <w:szCs w:val="20"/>
        </w:rPr>
        <w:t>2.</w:t>
      </w:r>
      <w:r w:rsidR="004D4B7C">
        <w:rPr>
          <w:rFonts w:ascii="Times New Roman" w:eastAsia="Times New Roman" w:hAnsi="Times New Roman" w:cs="Times New Roman"/>
          <w:sz w:val="20"/>
          <w:szCs w:val="20"/>
        </w:rPr>
        <w:t xml:space="preserve"> </w:t>
      </w:r>
    </w:p>
    <w:p w14:paraId="1BFDC3A2" w14:textId="77777777" w:rsidR="00A05DD1" w:rsidRPr="001D7B15" w:rsidRDefault="00000000" w:rsidP="00B47EC9">
      <w:pPr>
        <w:spacing w:after="0"/>
        <w:jc w:val="center"/>
        <w:rPr>
          <w:rFonts w:ascii="Times New Roman" w:eastAsia="Times New Roman" w:hAnsi="Times New Roman" w:cs="Times New Roman"/>
          <w:sz w:val="20"/>
          <w:szCs w:val="20"/>
        </w:rPr>
      </w:pPr>
      <w:r w:rsidRPr="001D7B15">
        <w:rPr>
          <w:rFonts w:ascii="Times New Roman" w:eastAsia="Times New Roman" w:hAnsi="Times New Roman" w:cs="Times New Roman"/>
          <w:noProof/>
          <w:sz w:val="20"/>
          <w:szCs w:val="20"/>
        </w:rPr>
        <w:drawing>
          <wp:inline distT="0" distB="0" distL="0" distR="0" wp14:anchorId="46F2E803" wp14:editId="585DA797">
            <wp:extent cx="2965193" cy="1416528"/>
            <wp:effectExtent l="0" t="0" r="6985" b="0"/>
            <wp:docPr id="8" name="image8.png" descr="A diagram of a data fl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diagram of a data flow&#10;&#10;Description automatically generated"/>
                    <pic:cNvPicPr preferRelativeResize="0"/>
                  </pic:nvPicPr>
                  <pic:blipFill>
                    <a:blip r:embed="rId14"/>
                    <a:srcRect/>
                    <a:stretch>
                      <a:fillRect/>
                    </a:stretch>
                  </pic:blipFill>
                  <pic:spPr>
                    <a:xfrm>
                      <a:off x="0" y="0"/>
                      <a:ext cx="3018554" cy="1442020"/>
                    </a:xfrm>
                    <a:prstGeom prst="rect">
                      <a:avLst/>
                    </a:prstGeom>
                    <a:ln/>
                  </pic:spPr>
                </pic:pic>
              </a:graphicData>
            </a:graphic>
          </wp:inline>
        </w:drawing>
      </w:r>
    </w:p>
    <w:p w14:paraId="7146F118" w14:textId="69D72C29" w:rsidR="00A05DD1" w:rsidRPr="001D7B15" w:rsidRDefault="00000000" w:rsidP="00B47EC9">
      <w:pPr>
        <w:spacing w:after="0"/>
        <w:jc w:val="both"/>
        <w:rPr>
          <w:rFonts w:ascii="Times New Roman" w:eastAsia="Times New Roman" w:hAnsi="Times New Roman" w:cs="Times New Roman"/>
          <w:sz w:val="16"/>
          <w:szCs w:val="16"/>
        </w:rPr>
      </w:pPr>
      <w:r w:rsidRPr="001D7B15">
        <w:rPr>
          <w:rFonts w:ascii="Times New Roman" w:eastAsia="Times New Roman" w:hAnsi="Times New Roman" w:cs="Times New Roman"/>
          <w:b/>
          <w:bCs/>
          <w:sz w:val="16"/>
          <w:szCs w:val="16"/>
        </w:rPr>
        <w:t>Fig</w:t>
      </w:r>
      <w:r w:rsidR="00EA7784">
        <w:rPr>
          <w:rFonts w:ascii="Times New Roman" w:eastAsia="Times New Roman" w:hAnsi="Times New Roman" w:cs="Times New Roman"/>
          <w:b/>
          <w:bCs/>
          <w:sz w:val="16"/>
          <w:szCs w:val="16"/>
        </w:rPr>
        <w:t>.</w:t>
      </w:r>
      <w:r w:rsidRPr="001D7B15">
        <w:rPr>
          <w:rFonts w:ascii="Times New Roman" w:eastAsia="Times New Roman" w:hAnsi="Times New Roman" w:cs="Times New Roman"/>
          <w:b/>
          <w:bCs/>
          <w:sz w:val="16"/>
          <w:szCs w:val="16"/>
        </w:rPr>
        <w:t xml:space="preserve"> 2</w:t>
      </w:r>
      <w:r w:rsidR="00EA7784">
        <w:rPr>
          <w:rFonts w:ascii="Times New Roman" w:eastAsia="Times New Roman" w:hAnsi="Times New Roman" w:cs="Times New Roman"/>
          <w:b/>
          <w:bCs/>
          <w:sz w:val="16"/>
          <w:szCs w:val="16"/>
        </w:rPr>
        <w:t>.</w:t>
      </w:r>
      <w:r w:rsidRPr="001D7B15">
        <w:rPr>
          <w:rFonts w:ascii="Times New Roman" w:eastAsia="Times New Roman" w:hAnsi="Times New Roman" w:cs="Times New Roman"/>
          <w:sz w:val="16"/>
          <w:szCs w:val="16"/>
        </w:rPr>
        <w:t xml:space="preserve"> Proposed </w:t>
      </w:r>
      <w:r w:rsidR="00225733" w:rsidRPr="001D7B15">
        <w:rPr>
          <w:rFonts w:ascii="Times New Roman" w:eastAsia="Times New Roman" w:hAnsi="Times New Roman" w:cs="Times New Roman"/>
          <w:sz w:val="16"/>
          <w:szCs w:val="16"/>
        </w:rPr>
        <w:t>Machine Learning Framework for Climate Condition Prediction</w:t>
      </w:r>
    </w:p>
    <w:p w14:paraId="7EA417FC" w14:textId="448637A8" w:rsidR="00F9298E" w:rsidRDefault="00000000" w:rsidP="00F9298E">
      <w:pPr>
        <w:pStyle w:val="ListParagraph"/>
        <w:numPr>
          <w:ilvl w:val="0"/>
          <w:numId w:val="3"/>
        </w:numPr>
        <w:tabs>
          <w:tab w:val="left" w:pos="284"/>
        </w:tabs>
        <w:spacing w:after="0"/>
        <w:ind w:left="0" w:firstLine="0"/>
        <w:jc w:val="both"/>
        <w:rPr>
          <w:rFonts w:ascii="Times New Roman" w:eastAsia="Times New Roman" w:hAnsi="Times New Roman" w:cs="Times New Roman"/>
          <w:sz w:val="20"/>
          <w:szCs w:val="20"/>
        </w:rPr>
      </w:pPr>
      <w:r w:rsidRPr="00F9298E">
        <w:rPr>
          <w:rFonts w:ascii="Times New Roman" w:eastAsia="Times New Roman" w:hAnsi="Times New Roman" w:cs="Times New Roman"/>
          <w:b/>
          <w:bCs/>
          <w:i/>
          <w:iCs/>
          <w:sz w:val="20"/>
          <w:szCs w:val="20"/>
        </w:rPr>
        <w:t>Dataset:</w:t>
      </w:r>
      <w:r w:rsidRPr="00F9298E">
        <w:rPr>
          <w:rFonts w:ascii="Times New Roman" w:eastAsia="Times New Roman" w:hAnsi="Times New Roman" w:cs="Times New Roman"/>
          <w:sz w:val="20"/>
          <w:szCs w:val="20"/>
        </w:rPr>
        <w:t xml:space="preserve"> </w:t>
      </w:r>
      <w:r w:rsidR="00E303CE" w:rsidRPr="00F9298E">
        <w:rPr>
          <w:rFonts w:ascii="Times New Roman" w:eastAsia="Times New Roman" w:hAnsi="Times New Roman" w:cs="Times New Roman"/>
          <w:sz w:val="20"/>
          <w:szCs w:val="20"/>
        </w:rPr>
        <w:t xml:space="preserve">The dataset of Climate change indicators contains annual temperature anomalies observed at a </w:t>
      </w:r>
      <w:r w:rsidR="00E303CE" w:rsidRPr="00F9298E">
        <w:rPr>
          <w:rFonts w:ascii="Times New Roman" w:eastAsia="Times New Roman" w:hAnsi="Times New Roman" w:cs="Times New Roman"/>
          <w:sz w:val="20"/>
          <w:szCs w:val="20"/>
        </w:rPr>
        <w:lastRenderedPageBreak/>
        <w:t>global level in countries all over the world with a base period of 1951-1980. It consists of country identification (name, ISO2, ISO3) and yearly temperature deviations, based on historical deviations from the surface temperature, thus indicating the surface temperature changes over time. Following the dataset of itself, most of the information concerns the global or regional climate trend analysis, temperature patterns prediction, and climate change impacts study [2</w:t>
      </w:r>
      <w:r w:rsidR="00450DE4">
        <w:rPr>
          <w:rFonts w:ascii="Times New Roman" w:eastAsia="Times New Roman" w:hAnsi="Times New Roman" w:cs="Times New Roman"/>
          <w:sz w:val="20"/>
          <w:szCs w:val="20"/>
        </w:rPr>
        <w:t>1</w:t>
      </w:r>
      <w:r w:rsidR="00E303CE" w:rsidRPr="00F9298E">
        <w:rPr>
          <w:rFonts w:ascii="Times New Roman" w:eastAsia="Times New Roman" w:hAnsi="Times New Roman" w:cs="Times New Roman"/>
          <w:sz w:val="20"/>
          <w:szCs w:val="20"/>
        </w:rPr>
        <w:t>].</w:t>
      </w:r>
    </w:p>
    <w:p w14:paraId="3A46EF5D" w14:textId="77777777" w:rsidR="00F9298E" w:rsidRDefault="00000000" w:rsidP="00E303CE">
      <w:pPr>
        <w:pStyle w:val="ListParagraph"/>
        <w:numPr>
          <w:ilvl w:val="0"/>
          <w:numId w:val="3"/>
        </w:numPr>
        <w:tabs>
          <w:tab w:val="left" w:pos="284"/>
        </w:tabs>
        <w:spacing w:after="0"/>
        <w:ind w:left="0" w:firstLine="0"/>
        <w:jc w:val="both"/>
        <w:rPr>
          <w:rFonts w:ascii="Times New Roman" w:eastAsia="Times New Roman" w:hAnsi="Times New Roman" w:cs="Times New Roman"/>
          <w:sz w:val="20"/>
          <w:szCs w:val="20"/>
        </w:rPr>
      </w:pPr>
      <w:r w:rsidRPr="00F9298E">
        <w:rPr>
          <w:rFonts w:ascii="Times New Roman" w:eastAsia="Times New Roman" w:hAnsi="Times New Roman" w:cs="Times New Roman"/>
          <w:b/>
          <w:bCs/>
          <w:i/>
          <w:iCs/>
          <w:sz w:val="20"/>
          <w:szCs w:val="20"/>
        </w:rPr>
        <w:t>Data Preprocessing:</w:t>
      </w:r>
      <w:r w:rsidRPr="00F9298E">
        <w:rPr>
          <w:rFonts w:ascii="Times New Roman" w:eastAsia="Times New Roman" w:hAnsi="Times New Roman" w:cs="Times New Roman"/>
          <w:sz w:val="20"/>
          <w:szCs w:val="20"/>
        </w:rPr>
        <w:t xml:space="preserve"> </w:t>
      </w:r>
      <w:r w:rsidR="00E303CE" w:rsidRPr="00F9298E">
        <w:rPr>
          <w:rFonts w:ascii="Times New Roman" w:eastAsia="Times New Roman" w:hAnsi="Times New Roman" w:cs="Times New Roman"/>
          <w:sz w:val="20"/>
          <w:szCs w:val="20"/>
        </w:rPr>
        <w:t>The climate dataset was carefully prepared before use for time-series forecasting. The original CSV file contained climate indicators with separate columns for years (like F1950, F1951, etc.) along with country information. So, the data was taken out of this wide format onto a long format by melting, essentially creating three standard-columns - Country, Year, and Value (temperature anomaly). All missing values were dropped to keep the dataset reliable, and the year labels were cleaned up and converted to integers for an accurate timeline. The data was then sorted by country and year for the preservation of chronological data. Some new helper functions were prepared for extracting sequences of anomalies, but those in global and country; the values were then scaled with the Standard Scaler method. The above steps have culminated in creating a very neat dataset that could be utilized straight away for an exact time-series model and visualization.</w:t>
      </w:r>
    </w:p>
    <w:p w14:paraId="002D32B3" w14:textId="790119C7" w:rsidR="001D7B15" w:rsidRPr="00F9298E" w:rsidRDefault="00000000" w:rsidP="00E303CE">
      <w:pPr>
        <w:pStyle w:val="ListParagraph"/>
        <w:numPr>
          <w:ilvl w:val="0"/>
          <w:numId w:val="3"/>
        </w:numPr>
        <w:tabs>
          <w:tab w:val="left" w:pos="284"/>
        </w:tabs>
        <w:spacing w:after="0"/>
        <w:ind w:left="0" w:firstLine="0"/>
        <w:jc w:val="both"/>
        <w:rPr>
          <w:rFonts w:ascii="Times New Roman" w:eastAsia="Times New Roman" w:hAnsi="Times New Roman" w:cs="Times New Roman"/>
          <w:sz w:val="20"/>
          <w:szCs w:val="20"/>
        </w:rPr>
      </w:pPr>
      <w:r w:rsidRPr="00F9298E">
        <w:rPr>
          <w:rFonts w:ascii="Times New Roman" w:eastAsia="Times New Roman" w:hAnsi="Times New Roman" w:cs="Times New Roman"/>
          <w:b/>
          <w:bCs/>
          <w:i/>
          <w:iCs/>
          <w:sz w:val="20"/>
          <w:szCs w:val="20"/>
        </w:rPr>
        <w:t>Data Visualization:</w:t>
      </w:r>
      <w:r w:rsidRPr="00F9298E">
        <w:rPr>
          <w:rFonts w:ascii="Times New Roman" w:eastAsia="Times New Roman" w:hAnsi="Times New Roman" w:cs="Times New Roman"/>
          <w:sz w:val="20"/>
          <w:szCs w:val="20"/>
        </w:rPr>
        <w:t xml:space="preserve"> </w:t>
      </w:r>
      <w:r w:rsidR="00E303CE" w:rsidRPr="00F9298E">
        <w:rPr>
          <w:rFonts w:ascii="Times New Roman" w:eastAsia="Times New Roman" w:hAnsi="Times New Roman" w:cs="Times New Roman"/>
          <w:sz w:val="20"/>
          <w:szCs w:val="20"/>
        </w:rPr>
        <w:t>We employed diverse data visualizations to explore the historical temperature anomaly globally and regionally, which were essential in obtaining some preliminary understanding of climate trends where they traced the patterns of warming, regional variations, and rates of change over time.</w:t>
      </w:r>
      <w:r w:rsidR="001D7B15" w:rsidRPr="00F9298E">
        <w:rPr>
          <w:rFonts w:ascii="Times New Roman" w:eastAsia="Times New Roman" w:hAnsi="Times New Roman" w:cs="Times New Roman"/>
          <w:sz w:val="20"/>
          <w:szCs w:val="20"/>
        </w:rPr>
        <w:t xml:space="preserve"> </w:t>
      </w:r>
    </w:p>
    <w:p w14:paraId="4C364FAE" w14:textId="6C7F9D01" w:rsidR="001D7B15" w:rsidRPr="001D7B15" w:rsidRDefault="001D7B15" w:rsidP="00E303CE">
      <w:pPr>
        <w:spacing w:after="0"/>
        <w:jc w:val="both"/>
        <w:rPr>
          <w:rFonts w:ascii="Times New Roman" w:eastAsia="Times New Roman" w:hAnsi="Times New Roman" w:cs="Times New Roman"/>
          <w:sz w:val="20"/>
          <w:szCs w:val="20"/>
        </w:rPr>
      </w:pPr>
      <w:r w:rsidRPr="001D7B15">
        <w:rPr>
          <w:rFonts w:ascii="Times New Roman" w:eastAsia="Times New Roman" w:hAnsi="Times New Roman" w:cs="Times New Roman"/>
          <w:sz w:val="20"/>
          <w:szCs w:val="20"/>
        </w:rPr>
        <w:t>The global temperature anomaly 1960-2023 as illustrated by Fig</w:t>
      </w:r>
      <w:r w:rsidR="00EA7784">
        <w:rPr>
          <w:rFonts w:ascii="Times New Roman" w:eastAsia="Times New Roman" w:hAnsi="Times New Roman" w:cs="Times New Roman"/>
          <w:sz w:val="20"/>
          <w:szCs w:val="20"/>
        </w:rPr>
        <w:t xml:space="preserve">. </w:t>
      </w:r>
      <w:r w:rsidRPr="001D7B15">
        <w:rPr>
          <w:rFonts w:ascii="Times New Roman" w:eastAsia="Times New Roman" w:hAnsi="Times New Roman" w:cs="Times New Roman"/>
          <w:sz w:val="20"/>
          <w:szCs w:val="20"/>
        </w:rPr>
        <w:t>3 in the context of comparing the year-over-year departure of the global average temperature from a historical normal. The plot clearly shows rapidly ascending global mean temperatures, mostly occurring after the 1980s, culminating to nearly +1.5°C in 2023. This strongly signals that long-term global warming, very largely a result of human-induced activities, including the lethal emissions of greenhouse gases and massive deforestation, is occurring. Science will agree in stating this as a rather self-evident fact, given the reports that reached the international arena, notably the IPPC's. This is in line with the urgent action that the world needs to pursue to mitigate global warming beneath 1.5°C or 2°C in alignment with the Paris Agreement.</w:t>
      </w:r>
    </w:p>
    <w:p w14:paraId="069BFB5B" w14:textId="7D07B7F1" w:rsidR="00F9298E" w:rsidRDefault="00F9298E">
      <w:pPr>
        <w:spacing w:after="0"/>
        <w:jc w:val="both"/>
        <w:rPr>
          <w:rFonts w:ascii="Times New Roman" w:eastAsia="Times New Roman" w:hAnsi="Times New Roman" w:cs="Times New Roman"/>
          <w:sz w:val="20"/>
          <w:szCs w:val="20"/>
        </w:rPr>
      </w:pPr>
      <w:r w:rsidRPr="001D7B15">
        <w:rPr>
          <w:rFonts w:ascii="Times New Roman" w:eastAsia="Times New Roman" w:hAnsi="Times New Roman" w:cs="Times New Roman"/>
          <w:sz w:val="20"/>
          <w:szCs w:val="20"/>
        </w:rPr>
        <w:t>The temperature anomalies in India, Australia, and Germany from the year 1960 to 2023 have been thoroughly discussed in Fig</w:t>
      </w:r>
      <w:r w:rsidR="00EA7784">
        <w:rPr>
          <w:rFonts w:ascii="Times New Roman" w:eastAsia="Times New Roman" w:hAnsi="Times New Roman" w:cs="Times New Roman"/>
          <w:sz w:val="20"/>
          <w:szCs w:val="20"/>
        </w:rPr>
        <w:t>.</w:t>
      </w:r>
      <w:r w:rsidRPr="001D7B15">
        <w:rPr>
          <w:rFonts w:ascii="Times New Roman" w:eastAsia="Times New Roman" w:hAnsi="Times New Roman" w:cs="Times New Roman"/>
          <w:sz w:val="20"/>
          <w:szCs w:val="20"/>
        </w:rPr>
        <w:t xml:space="preserve"> 4. The three countries' temperature curves exhibit a similar rising pattern starting from 1960. The steepness of the rise can be seen most in Germany, whereby anomalies usually </w:t>
      </w:r>
      <w:r w:rsidRPr="001D7B15">
        <w:rPr>
          <w:rFonts w:ascii="Times New Roman" w:eastAsia="Times New Roman" w:hAnsi="Times New Roman" w:cs="Times New Roman"/>
          <w:sz w:val="20"/>
          <w:szCs w:val="20"/>
        </w:rPr>
        <w:t>surpass +2.5 °C in the last few years. The temperature in Australia is also largely rising but the rise in India is not that quick. Thus, it indicates that this global phenomenon i.e. climate change is, in fact, regionally different in terms of intensity and pattern depending on the geographical factors, urbanization, and local climate systems. Hence, the graph clearly stresses the need for climate strategies that each country will have to adopt individually, which are going to be comprising both mitigation (reducing emissions) and adaptation (upgrading infrastructure and agricultural practices) approaches to the specific climate challenges that each country is facing, particularly those in regions that are rapidly being heated, like Germany.</w:t>
      </w:r>
    </w:p>
    <w:p w14:paraId="1FBF2A9D" w14:textId="77777777" w:rsidR="00F729A8" w:rsidRPr="001D7B15" w:rsidRDefault="00F729A8" w:rsidP="00F729A8">
      <w:pPr>
        <w:spacing w:after="0"/>
        <w:jc w:val="both"/>
      </w:pPr>
      <w:r w:rsidRPr="001D7B15">
        <w:rPr>
          <w:noProof/>
        </w:rPr>
        <w:drawing>
          <wp:inline distT="0" distB="0" distL="0" distR="0" wp14:anchorId="4001DC9A" wp14:editId="126CF881">
            <wp:extent cx="2776220" cy="1260208"/>
            <wp:effectExtent l="0" t="0" r="5080" b="0"/>
            <wp:docPr id="7" name="image7.png" descr="A graph showing the global temperature&#10;&#10;AI-generated content may be incorrect."/>
            <wp:cNvGraphicFramePr/>
            <a:graphic xmlns:a="http://schemas.openxmlformats.org/drawingml/2006/main">
              <a:graphicData uri="http://schemas.openxmlformats.org/drawingml/2006/picture">
                <pic:pic xmlns:pic="http://schemas.openxmlformats.org/drawingml/2006/picture">
                  <pic:nvPicPr>
                    <pic:cNvPr id="7" name="image7.png" descr="A graph showing the global temperature&#10;&#10;AI-generated content may be incorrect."/>
                    <pic:cNvPicPr preferRelativeResize="0"/>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rcRect/>
                    <a:stretch>
                      <a:fillRect/>
                    </a:stretch>
                  </pic:blipFill>
                  <pic:spPr>
                    <a:xfrm>
                      <a:off x="0" y="0"/>
                      <a:ext cx="2776220" cy="1260208"/>
                    </a:xfrm>
                    <a:prstGeom prst="rect">
                      <a:avLst/>
                    </a:prstGeom>
                    <a:ln/>
                  </pic:spPr>
                </pic:pic>
              </a:graphicData>
            </a:graphic>
          </wp:inline>
        </w:drawing>
      </w:r>
    </w:p>
    <w:p w14:paraId="03D29098" w14:textId="39D4F75C" w:rsidR="00F729A8" w:rsidRDefault="00F729A8" w:rsidP="00F729A8">
      <w:pPr>
        <w:spacing w:after="0"/>
        <w:jc w:val="both"/>
        <w:rPr>
          <w:rFonts w:ascii="Times New Roman" w:eastAsia="Times New Roman" w:hAnsi="Times New Roman" w:cs="Times New Roman"/>
          <w:sz w:val="16"/>
          <w:szCs w:val="16"/>
        </w:rPr>
      </w:pPr>
      <w:r w:rsidRPr="001D7B15">
        <w:rPr>
          <w:rFonts w:ascii="Times New Roman" w:eastAsia="Times New Roman" w:hAnsi="Times New Roman" w:cs="Times New Roman"/>
          <w:b/>
          <w:bCs/>
          <w:sz w:val="16"/>
          <w:szCs w:val="16"/>
        </w:rPr>
        <w:t>Fig</w:t>
      </w:r>
      <w:r w:rsidR="00EA7784">
        <w:rPr>
          <w:rFonts w:ascii="Times New Roman" w:eastAsia="Times New Roman" w:hAnsi="Times New Roman" w:cs="Times New Roman"/>
          <w:b/>
          <w:bCs/>
          <w:sz w:val="16"/>
          <w:szCs w:val="16"/>
        </w:rPr>
        <w:t>.</w:t>
      </w:r>
      <w:r w:rsidRPr="001D7B15">
        <w:rPr>
          <w:rFonts w:ascii="Times New Roman" w:eastAsia="Times New Roman" w:hAnsi="Times New Roman" w:cs="Times New Roman"/>
          <w:b/>
          <w:bCs/>
          <w:sz w:val="16"/>
          <w:szCs w:val="16"/>
        </w:rPr>
        <w:t xml:space="preserve"> 3</w:t>
      </w:r>
      <w:r w:rsidR="00EA7784">
        <w:rPr>
          <w:rFonts w:ascii="Times New Roman" w:eastAsia="Times New Roman" w:hAnsi="Times New Roman" w:cs="Times New Roman"/>
          <w:b/>
          <w:bCs/>
          <w:sz w:val="16"/>
          <w:szCs w:val="16"/>
        </w:rPr>
        <w:t>.</w:t>
      </w:r>
      <w:r w:rsidRPr="001D7B15">
        <w:rPr>
          <w:rFonts w:ascii="Times New Roman" w:eastAsia="Times New Roman" w:hAnsi="Times New Roman" w:cs="Times New Roman"/>
          <w:sz w:val="16"/>
          <w:szCs w:val="16"/>
        </w:rPr>
        <w:t xml:space="preserve"> Global Temperature Anomaly Trend (1960–2023)</w:t>
      </w:r>
    </w:p>
    <w:p w14:paraId="134A2D79" w14:textId="77777777" w:rsidR="00F729A8" w:rsidRPr="00F9298E" w:rsidRDefault="00F729A8">
      <w:pPr>
        <w:spacing w:after="0"/>
        <w:jc w:val="both"/>
        <w:rPr>
          <w:rFonts w:ascii="Times New Roman" w:eastAsia="Times New Roman" w:hAnsi="Times New Roman" w:cs="Times New Roman"/>
          <w:sz w:val="20"/>
          <w:szCs w:val="20"/>
        </w:rPr>
      </w:pPr>
    </w:p>
    <w:p w14:paraId="001B3282" w14:textId="40AD2615" w:rsidR="00A05DD1" w:rsidRPr="001D7B15" w:rsidRDefault="00000000" w:rsidP="00813BCE">
      <w:pPr>
        <w:spacing w:after="0"/>
        <w:jc w:val="both"/>
      </w:pPr>
      <w:r w:rsidRPr="001D7B15">
        <w:rPr>
          <w:noProof/>
        </w:rPr>
        <w:drawing>
          <wp:inline distT="0" distB="0" distL="0" distR="0" wp14:anchorId="2191EE76" wp14:editId="5BBB4243">
            <wp:extent cx="2766349" cy="1400175"/>
            <wp:effectExtent l="0" t="0" r="0" b="0"/>
            <wp:docPr id="10" name="image10.png" descr="A graph showing different colored lin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graph showing different colored lines&#10;&#10;Description automatically generated"/>
                    <pic:cNvPicPr preferRelativeResize="0"/>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rcRect/>
                    <a:stretch>
                      <a:fillRect/>
                    </a:stretch>
                  </pic:blipFill>
                  <pic:spPr>
                    <a:xfrm>
                      <a:off x="0" y="0"/>
                      <a:ext cx="2772175" cy="1403124"/>
                    </a:xfrm>
                    <a:prstGeom prst="rect">
                      <a:avLst/>
                    </a:prstGeom>
                    <a:ln/>
                  </pic:spPr>
                </pic:pic>
              </a:graphicData>
            </a:graphic>
          </wp:inline>
        </w:drawing>
      </w:r>
    </w:p>
    <w:p w14:paraId="2E6D64D8" w14:textId="16222980" w:rsidR="00A05DD1" w:rsidRPr="001D7B15" w:rsidRDefault="00000000">
      <w:pPr>
        <w:spacing w:after="0"/>
        <w:jc w:val="both"/>
        <w:rPr>
          <w:rFonts w:ascii="Times New Roman" w:eastAsia="Times New Roman" w:hAnsi="Times New Roman" w:cs="Times New Roman"/>
          <w:sz w:val="16"/>
          <w:szCs w:val="16"/>
        </w:rPr>
      </w:pPr>
      <w:r w:rsidRPr="001D7B15">
        <w:rPr>
          <w:rFonts w:ascii="Times New Roman" w:eastAsia="Times New Roman" w:hAnsi="Times New Roman" w:cs="Times New Roman"/>
          <w:b/>
          <w:bCs/>
          <w:sz w:val="16"/>
          <w:szCs w:val="16"/>
        </w:rPr>
        <w:t>Fig</w:t>
      </w:r>
      <w:r w:rsidR="00EA7784">
        <w:rPr>
          <w:rFonts w:ascii="Times New Roman" w:eastAsia="Times New Roman" w:hAnsi="Times New Roman" w:cs="Times New Roman"/>
          <w:b/>
          <w:bCs/>
          <w:sz w:val="16"/>
          <w:szCs w:val="16"/>
        </w:rPr>
        <w:t>.</w:t>
      </w:r>
      <w:r w:rsidRPr="001D7B15">
        <w:rPr>
          <w:rFonts w:ascii="Times New Roman" w:eastAsia="Times New Roman" w:hAnsi="Times New Roman" w:cs="Times New Roman"/>
          <w:b/>
          <w:bCs/>
          <w:sz w:val="16"/>
          <w:szCs w:val="16"/>
        </w:rPr>
        <w:t xml:space="preserve"> 4</w:t>
      </w:r>
      <w:r w:rsidR="00EA7784">
        <w:rPr>
          <w:rFonts w:ascii="Times New Roman" w:eastAsia="Times New Roman" w:hAnsi="Times New Roman" w:cs="Times New Roman"/>
          <w:b/>
          <w:bCs/>
          <w:sz w:val="16"/>
          <w:szCs w:val="16"/>
        </w:rPr>
        <w:t>.</w:t>
      </w:r>
      <w:r w:rsidR="00DB4EFB" w:rsidRPr="001D7B15">
        <w:rPr>
          <w:rFonts w:ascii="Times New Roman" w:eastAsia="Times New Roman" w:hAnsi="Times New Roman" w:cs="Times New Roman"/>
          <w:sz w:val="16"/>
          <w:szCs w:val="16"/>
        </w:rPr>
        <w:t xml:space="preserve"> Temperature Anomaly Trends for </w:t>
      </w:r>
      <w:r w:rsidRPr="001D7B15">
        <w:rPr>
          <w:rFonts w:ascii="Times New Roman" w:eastAsia="Times New Roman" w:hAnsi="Times New Roman" w:cs="Times New Roman"/>
          <w:sz w:val="16"/>
          <w:szCs w:val="16"/>
        </w:rPr>
        <w:t>India, Australia, Germany (1960–2023)</w:t>
      </w:r>
    </w:p>
    <w:p w14:paraId="7F0726DF" w14:textId="02ADB972" w:rsidR="00A05DD1" w:rsidRPr="001D7B15" w:rsidRDefault="00683257" w:rsidP="001D7B15">
      <w:pPr>
        <w:spacing w:after="0"/>
        <w:ind w:left="-142"/>
        <w:jc w:val="both"/>
      </w:pPr>
      <w:r>
        <w:rPr>
          <w:noProof/>
        </w:rPr>
        <w:drawing>
          <wp:inline distT="0" distB="0" distL="0" distR="0" wp14:anchorId="41DEEE38" wp14:editId="06D6C263">
            <wp:extent cx="2813050" cy="1206500"/>
            <wp:effectExtent l="0" t="0" r="6350" b="0"/>
            <wp:docPr id="15664241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t="12270" r="3140"/>
                    <a:stretch>
                      <a:fillRect/>
                    </a:stretch>
                  </pic:blipFill>
                  <pic:spPr bwMode="auto">
                    <a:xfrm>
                      <a:off x="0" y="0"/>
                      <a:ext cx="2818881" cy="1209001"/>
                    </a:xfrm>
                    <a:prstGeom prst="rect">
                      <a:avLst/>
                    </a:prstGeom>
                    <a:noFill/>
                    <a:ln>
                      <a:noFill/>
                    </a:ln>
                    <a:extLst>
                      <a:ext uri="{53640926-AAD7-44D8-BBD7-CCE9431645EC}">
                        <a14:shadowObscured xmlns:a14="http://schemas.microsoft.com/office/drawing/2010/main"/>
                      </a:ext>
                    </a:extLst>
                  </pic:spPr>
                </pic:pic>
              </a:graphicData>
            </a:graphic>
          </wp:inline>
        </w:drawing>
      </w:r>
    </w:p>
    <w:p w14:paraId="506B3F22" w14:textId="72D1D7BE" w:rsidR="00A05DD1" w:rsidRDefault="00000000">
      <w:pPr>
        <w:spacing w:after="0"/>
        <w:jc w:val="both"/>
        <w:rPr>
          <w:rFonts w:ascii="Times New Roman" w:eastAsia="Times New Roman" w:hAnsi="Times New Roman" w:cs="Times New Roman"/>
          <w:sz w:val="16"/>
          <w:szCs w:val="16"/>
        </w:rPr>
      </w:pPr>
      <w:r w:rsidRPr="001D7B15">
        <w:rPr>
          <w:rFonts w:ascii="Times New Roman" w:eastAsia="Times New Roman" w:hAnsi="Times New Roman" w:cs="Times New Roman"/>
          <w:b/>
          <w:bCs/>
          <w:sz w:val="16"/>
          <w:szCs w:val="16"/>
        </w:rPr>
        <w:t>Fig</w:t>
      </w:r>
      <w:r w:rsidR="00EA7784">
        <w:rPr>
          <w:rFonts w:ascii="Times New Roman" w:eastAsia="Times New Roman" w:hAnsi="Times New Roman" w:cs="Times New Roman"/>
          <w:b/>
          <w:bCs/>
          <w:sz w:val="16"/>
          <w:szCs w:val="16"/>
        </w:rPr>
        <w:t>.</w:t>
      </w:r>
      <w:r w:rsidRPr="001D7B15">
        <w:rPr>
          <w:rFonts w:ascii="Times New Roman" w:eastAsia="Times New Roman" w:hAnsi="Times New Roman" w:cs="Times New Roman"/>
          <w:b/>
          <w:bCs/>
          <w:sz w:val="16"/>
          <w:szCs w:val="16"/>
        </w:rPr>
        <w:t xml:space="preserve"> 5</w:t>
      </w:r>
      <w:r w:rsidR="00EA7784">
        <w:rPr>
          <w:rFonts w:ascii="Times New Roman" w:eastAsia="Times New Roman" w:hAnsi="Times New Roman" w:cs="Times New Roman"/>
          <w:b/>
          <w:bCs/>
          <w:sz w:val="16"/>
          <w:szCs w:val="16"/>
        </w:rPr>
        <w:t>.</w:t>
      </w:r>
      <w:r w:rsidRPr="001D7B15">
        <w:rPr>
          <w:rFonts w:ascii="Times New Roman" w:eastAsia="Times New Roman" w:hAnsi="Times New Roman" w:cs="Times New Roman"/>
          <w:sz w:val="16"/>
          <w:szCs w:val="16"/>
        </w:rPr>
        <w:t xml:space="preserve"> Top 10 Countries with Fastest Warming Rates</w:t>
      </w:r>
    </w:p>
    <w:p w14:paraId="5D89FCE2" w14:textId="2A0225D3" w:rsidR="00267A13" w:rsidRDefault="00267A13">
      <w:pPr>
        <w:spacing w:after="0"/>
        <w:jc w:val="both"/>
        <w:rPr>
          <w:rFonts w:ascii="Times New Roman" w:eastAsia="Times New Roman" w:hAnsi="Times New Roman" w:cs="Times New Roman"/>
          <w:sz w:val="20"/>
          <w:szCs w:val="20"/>
        </w:rPr>
      </w:pPr>
      <w:r w:rsidRPr="001D7B15">
        <w:rPr>
          <w:rFonts w:ascii="Times New Roman" w:eastAsia="Times New Roman" w:hAnsi="Times New Roman" w:cs="Times New Roman"/>
          <w:sz w:val="20"/>
          <w:szCs w:val="20"/>
        </w:rPr>
        <w:t>Fig</w:t>
      </w:r>
      <w:r w:rsidR="00EA7784">
        <w:rPr>
          <w:rFonts w:ascii="Times New Roman" w:eastAsia="Times New Roman" w:hAnsi="Times New Roman" w:cs="Times New Roman"/>
          <w:sz w:val="20"/>
          <w:szCs w:val="20"/>
        </w:rPr>
        <w:t>.</w:t>
      </w:r>
      <w:r w:rsidRPr="001D7B15">
        <w:rPr>
          <w:rFonts w:ascii="Times New Roman" w:eastAsia="Times New Roman" w:hAnsi="Times New Roman" w:cs="Times New Roman"/>
          <w:sz w:val="20"/>
          <w:szCs w:val="20"/>
        </w:rPr>
        <w:t xml:space="preserve"> 5 shows the 10 countries experiencing the quickest pace of warming according to the slope of the temperature anomaly per year. These countries-in which one finds Ukraine, Moldova, Azerbaijan, and Armenia, are claimed undergoing the fastest warming annually. In contrast to previous charts where the absolute value of anomalies was described, this graph depicts rate of change, which impacts where increases in temperature are the fastest. This explains why this graph is very important: to give a view into climate acceleration rather than just its current states. Any nation that has a more-than-average slope of warming might likely face more severe droughts, biodiversity loss, ecosystem collapse, or other climate induced stress. As such, this visualization is of considerable </w:t>
      </w:r>
      <w:r w:rsidRPr="001D7B15">
        <w:rPr>
          <w:rFonts w:ascii="Times New Roman" w:eastAsia="Times New Roman" w:hAnsi="Times New Roman" w:cs="Times New Roman"/>
          <w:sz w:val="20"/>
          <w:szCs w:val="20"/>
        </w:rPr>
        <w:lastRenderedPageBreak/>
        <w:t>importance to climate vulnerability assessment and thereby informs the distribution of international funds, adaptation planning, and risk mitigation. This is particularly true now that some regions might not have the resilience or resources to cope with such rapid environmental changes.</w:t>
      </w:r>
    </w:p>
    <w:p w14:paraId="4C1A2873" w14:textId="0BEED6D6" w:rsidR="00267A13" w:rsidRPr="00267A13" w:rsidRDefault="00267A13">
      <w:pPr>
        <w:spacing w:after="0"/>
        <w:jc w:val="both"/>
        <w:rPr>
          <w:rFonts w:ascii="Times New Roman" w:eastAsia="Times New Roman" w:hAnsi="Times New Roman" w:cs="Times New Roman"/>
          <w:sz w:val="20"/>
          <w:szCs w:val="20"/>
        </w:rPr>
      </w:pPr>
      <w:r w:rsidRPr="001D7B15">
        <w:rPr>
          <w:rFonts w:ascii="Times New Roman" w:eastAsia="Times New Roman" w:hAnsi="Times New Roman" w:cs="Times New Roman"/>
          <w:sz w:val="20"/>
          <w:szCs w:val="20"/>
        </w:rPr>
        <w:t>Fig</w:t>
      </w:r>
      <w:r w:rsidR="00EA7784">
        <w:rPr>
          <w:rFonts w:ascii="Times New Roman" w:eastAsia="Times New Roman" w:hAnsi="Times New Roman" w:cs="Times New Roman"/>
          <w:sz w:val="20"/>
          <w:szCs w:val="20"/>
        </w:rPr>
        <w:t>.</w:t>
      </w:r>
      <w:r w:rsidRPr="001D7B15">
        <w:rPr>
          <w:rFonts w:ascii="Times New Roman" w:eastAsia="Times New Roman" w:hAnsi="Times New Roman" w:cs="Times New Roman"/>
          <w:sz w:val="20"/>
          <w:szCs w:val="20"/>
        </w:rPr>
        <w:t xml:space="preserve"> 6 shows another set of temperature anomaly predictions over a broader geographical set that might be called upon by a different statistical or machine learning algorithm. The graph, like the first, depicts the historical data in blue, test predictions in orange, and projections in green; shaded below is an 80% confidence interval. In contrast to the Holt-Winters forecast, the prediction's trend appears more stabilized or more oscillating as opposed to an upward futuristic climb. This could signal a model that emphasizes shorter-term variations or trend smoothing. With a greater confidence interval, it suggests a higher degree of uncertainty in the future temperature predictions made, pointing out the variability that may exist with climate projections, based on any given forecasting method.</w:t>
      </w:r>
    </w:p>
    <w:p w14:paraId="6E0B8129" w14:textId="21FF51F3" w:rsidR="00A05DD1" w:rsidRPr="001D7B15" w:rsidRDefault="00000000" w:rsidP="00813BCE">
      <w:pPr>
        <w:spacing w:after="0"/>
        <w:jc w:val="both"/>
      </w:pPr>
      <w:r w:rsidRPr="001D7B15">
        <w:rPr>
          <w:noProof/>
        </w:rPr>
        <w:drawing>
          <wp:inline distT="0" distB="0" distL="0" distR="0" wp14:anchorId="38D44CA8" wp14:editId="771545B2">
            <wp:extent cx="2489200" cy="1371600"/>
            <wp:effectExtent l="0" t="0" r="6350" b="0"/>
            <wp:docPr id="2" name="image2.png" descr="A graph with blue lines and numb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aph with blue lines and numbers&#10;&#10;Description automatically generated"/>
                    <pic:cNvPicPr preferRelativeResize="0"/>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rcRect/>
                    <a:stretch>
                      <a:fillRect/>
                    </a:stretch>
                  </pic:blipFill>
                  <pic:spPr>
                    <a:xfrm>
                      <a:off x="0" y="0"/>
                      <a:ext cx="2489832" cy="1371948"/>
                    </a:xfrm>
                    <a:prstGeom prst="rect">
                      <a:avLst/>
                    </a:prstGeom>
                    <a:ln/>
                  </pic:spPr>
                </pic:pic>
              </a:graphicData>
            </a:graphic>
          </wp:inline>
        </w:drawing>
      </w:r>
    </w:p>
    <w:p w14:paraId="4A66E579" w14:textId="6BAB705E" w:rsidR="00A05DD1" w:rsidRPr="001D7B15" w:rsidRDefault="00000000">
      <w:pPr>
        <w:spacing w:after="0"/>
        <w:jc w:val="both"/>
        <w:rPr>
          <w:rFonts w:ascii="Times New Roman" w:eastAsia="Times New Roman" w:hAnsi="Times New Roman" w:cs="Times New Roman"/>
          <w:sz w:val="16"/>
          <w:szCs w:val="16"/>
        </w:rPr>
      </w:pPr>
      <w:r w:rsidRPr="001D7B15">
        <w:rPr>
          <w:rFonts w:ascii="Times New Roman" w:eastAsia="Times New Roman" w:hAnsi="Times New Roman" w:cs="Times New Roman"/>
          <w:b/>
          <w:bCs/>
          <w:sz w:val="16"/>
          <w:szCs w:val="16"/>
        </w:rPr>
        <w:t>Fig</w:t>
      </w:r>
      <w:r w:rsidR="00EA7784">
        <w:rPr>
          <w:rFonts w:ascii="Times New Roman" w:eastAsia="Times New Roman" w:hAnsi="Times New Roman" w:cs="Times New Roman"/>
          <w:b/>
          <w:bCs/>
          <w:sz w:val="16"/>
          <w:szCs w:val="16"/>
        </w:rPr>
        <w:t>.</w:t>
      </w:r>
      <w:r w:rsidRPr="001D7B15">
        <w:rPr>
          <w:rFonts w:ascii="Times New Roman" w:eastAsia="Times New Roman" w:hAnsi="Times New Roman" w:cs="Times New Roman"/>
          <w:b/>
          <w:bCs/>
          <w:sz w:val="16"/>
          <w:szCs w:val="16"/>
        </w:rPr>
        <w:t xml:space="preserve"> 6</w:t>
      </w:r>
      <w:r w:rsidR="00EA7784">
        <w:rPr>
          <w:rFonts w:ascii="Times New Roman" w:eastAsia="Times New Roman" w:hAnsi="Times New Roman" w:cs="Times New Roman"/>
          <w:b/>
          <w:bCs/>
          <w:sz w:val="16"/>
          <w:szCs w:val="16"/>
        </w:rPr>
        <w:t>.</w:t>
      </w:r>
      <w:r w:rsidRPr="001D7B15">
        <w:rPr>
          <w:rFonts w:ascii="Times New Roman" w:eastAsia="Times New Roman" w:hAnsi="Times New Roman" w:cs="Times New Roman"/>
          <w:sz w:val="16"/>
          <w:szCs w:val="16"/>
        </w:rPr>
        <w:t xml:space="preserve"> Global </w:t>
      </w:r>
      <w:r w:rsidR="00DB4EFB" w:rsidRPr="001D7B15">
        <w:rPr>
          <w:rFonts w:ascii="Times New Roman" w:eastAsia="Times New Roman" w:hAnsi="Times New Roman" w:cs="Times New Roman"/>
          <w:sz w:val="16"/>
          <w:szCs w:val="16"/>
        </w:rPr>
        <w:t>Temperature Forecast using Machine Learning Model Variant</w:t>
      </w:r>
    </w:p>
    <w:p w14:paraId="4DD98524" w14:textId="626F978B" w:rsidR="00A05DD1" w:rsidRPr="00F9298E" w:rsidRDefault="00000000" w:rsidP="00F9298E">
      <w:pPr>
        <w:pStyle w:val="ListParagraph"/>
        <w:numPr>
          <w:ilvl w:val="0"/>
          <w:numId w:val="3"/>
        </w:numPr>
        <w:tabs>
          <w:tab w:val="left" w:pos="284"/>
        </w:tabs>
        <w:spacing w:after="80"/>
        <w:ind w:left="0" w:firstLine="0"/>
        <w:jc w:val="both"/>
        <w:rPr>
          <w:rFonts w:ascii="Times New Roman" w:eastAsia="Times New Roman" w:hAnsi="Times New Roman" w:cs="Times New Roman"/>
          <w:sz w:val="20"/>
          <w:szCs w:val="20"/>
        </w:rPr>
      </w:pPr>
      <w:r w:rsidRPr="00F9298E">
        <w:rPr>
          <w:rFonts w:ascii="Times New Roman" w:eastAsia="Times New Roman" w:hAnsi="Times New Roman" w:cs="Times New Roman"/>
          <w:b/>
          <w:bCs/>
          <w:i/>
          <w:iCs/>
          <w:sz w:val="20"/>
          <w:szCs w:val="20"/>
        </w:rPr>
        <w:t xml:space="preserve">Applied Classifiers: </w:t>
      </w:r>
      <w:r w:rsidR="00813BCE" w:rsidRPr="00F9298E">
        <w:rPr>
          <w:rFonts w:ascii="Times New Roman" w:eastAsia="Times New Roman" w:hAnsi="Times New Roman" w:cs="Times New Roman"/>
          <w:sz w:val="20"/>
          <w:szCs w:val="20"/>
        </w:rPr>
        <w:t>Various statistical and machine learning models are used to predict climate anomalies. The specific hyperparameters used in each model were tuned to increase performances while Table 1 lists models as well as their corresponding configuration.</w:t>
      </w:r>
    </w:p>
    <w:p w14:paraId="2CD58A86" w14:textId="77777777" w:rsidR="00A05DD1" w:rsidRPr="001D7B15" w:rsidRDefault="00000000" w:rsidP="00F9298E">
      <w:pPr>
        <w:spacing w:after="80"/>
        <w:jc w:val="both"/>
        <w:rPr>
          <w:rFonts w:ascii="Times New Roman" w:eastAsia="Times New Roman" w:hAnsi="Times New Roman" w:cs="Times New Roman"/>
          <w:sz w:val="16"/>
          <w:szCs w:val="16"/>
        </w:rPr>
      </w:pPr>
      <w:r w:rsidRPr="001D7B15">
        <w:rPr>
          <w:rFonts w:ascii="Times New Roman" w:eastAsia="Times New Roman" w:hAnsi="Times New Roman" w:cs="Times New Roman"/>
          <w:b/>
          <w:bCs/>
          <w:sz w:val="16"/>
          <w:szCs w:val="16"/>
        </w:rPr>
        <w:t>Table 1:</w:t>
      </w:r>
      <w:r w:rsidRPr="001D7B15">
        <w:rPr>
          <w:rFonts w:ascii="Times New Roman" w:eastAsia="Times New Roman" w:hAnsi="Times New Roman" w:cs="Times New Roman"/>
          <w:sz w:val="16"/>
          <w:szCs w:val="16"/>
        </w:rPr>
        <w:t xml:space="preserve"> Hyperparameters of different models</w:t>
      </w:r>
    </w:p>
    <w:tbl>
      <w:tblPr>
        <w:tblStyle w:val="a0"/>
        <w:tblW w:w="43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3374"/>
      </w:tblGrid>
      <w:tr w:rsidR="00A05DD1" w:rsidRPr="001D7B15" w14:paraId="44031497" w14:textId="77777777" w:rsidTr="00D93AD1">
        <w:tc>
          <w:tcPr>
            <w:tcW w:w="988" w:type="dxa"/>
          </w:tcPr>
          <w:p w14:paraId="1730055B" w14:textId="77777777" w:rsidR="00A05DD1" w:rsidRPr="001D7B15" w:rsidRDefault="00000000">
            <w:pPr>
              <w:spacing w:line="259" w:lineRule="auto"/>
              <w:rPr>
                <w:rFonts w:ascii="Times New Roman" w:eastAsia="Times New Roman" w:hAnsi="Times New Roman" w:cs="Times New Roman"/>
                <w:b/>
                <w:bCs/>
                <w:sz w:val="16"/>
                <w:szCs w:val="16"/>
              </w:rPr>
            </w:pPr>
            <w:r w:rsidRPr="001D7B15">
              <w:rPr>
                <w:rFonts w:ascii="Times New Roman" w:eastAsia="Times New Roman" w:hAnsi="Times New Roman" w:cs="Times New Roman"/>
                <w:b/>
                <w:bCs/>
                <w:sz w:val="16"/>
                <w:szCs w:val="16"/>
              </w:rPr>
              <w:t>Model</w:t>
            </w:r>
          </w:p>
        </w:tc>
        <w:tc>
          <w:tcPr>
            <w:tcW w:w="3374" w:type="dxa"/>
          </w:tcPr>
          <w:p w14:paraId="284A4342" w14:textId="5C9F847C" w:rsidR="00A05DD1" w:rsidRPr="001D7B15" w:rsidRDefault="00000000">
            <w:pPr>
              <w:spacing w:line="259" w:lineRule="auto"/>
              <w:rPr>
                <w:rFonts w:ascii="Times New Roman" w:eastAsia="Times New Roman" w:hAnsi="Times New Roman" w:cs="Times New Roman"/>
                <w:b/>
                <w:bCs/>
                <w:sz w:val="16"/>
                <w:szCs w:val="16"/>
              </w:rPr>
            </w:pPr>
            <w:r w:rsidRPr="001D7B15">
              <w:rPr>
                <w:rFonts w:ascii="Times New Roman" w:eastAsia="Times New Roman" w:hAnsi="Times New Roman" w:cs="Times New Roman"/>
                <w:b/>
                <w:bCs/>
                <w:sz w:val="16"/>
                <w:szCs w:val="16"/>
              </w:rPr>
              <w:t xml:space="preserve">Hyperparameters </w:t>
            </w:r>
          </w:p>
        </w:tc>
      </w:tr>
      <w:tr w:rsidR="00A05DD1" w:rsidRPr="001D7B15" w14:paraId="7CDDFB12" w14:textId="77777777" w:rsidTr="00D93AD1">
        <w:tc>
          <w:tcPr>
            <w:tcW w:w="988" w:type="dxa"/>
          </w:tcPr>
          <w:p w14:paraId="4539C7FC"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b/>
                <w:bCs/>
                <w:sz w:val="16"/>
                <w:szCs w:val="16"/>
              </w:rPr>
              <w:t>ARIMA</w:t>
            </w:r>
          </w:p>
        </w:tc>
        <w:tc>
          <w:tcPr>
            <w:tcW w:w="3374" w:type="dxa"/>
          </w:tcPr>
          <w:p w14:paraId="54B9F44C" w14:textId="77777777" w:rsidR="00A05DD1" w:rsidRPr="001D7B15" w:rsidRDefault="00000000">
            <w:pPr>
              <w:spacing w:line="259" w:lineRule="auto"/>
              <w:rPr>
                <w:rFonts w:ascii="Times New Roman" w:eastAsia="Times New Roman" w:hAnsi="Times New Roman" w:cs="Times New Roman"/>
                <w:sz w:val="16"/>
                <w:szCs w:val="16"/>
              </w:rPr>
            </w:pPr>
            <m:oMath>
              <m:r>
                <w:rPr>
                  <w:rFonts w:ascii="Cambria Math" w:eastAsia="Cambria Math" w:hAnsi="Cambria Math" w:cs="Cambria Math"/>
                  <w:sz w:val="16"/>
                  <w:szCs w:val="16"/>
                </w:rPr>
                <m:t>( p, d, q )</m:t>
              </m:r>
            </m:oMath>
            <w:r w:rsidRPr="001D7B15">
              <w:rPr>
                <w:rFonts w:ascii="Times New Roman" w:eastAsia="Times New Roman" w:hAnsi="Times New Roman" w:cs="Times New Roman"/>
                <w:sz w:val="16"/>
                <w:szCs w:val="16"/>
              </w:rPr>
              <w:t xml:space="preserve"> (auto-searched within ranges</w:t>
            </w:r>
            <m:oMath>
              <m:r>
                <w:rPr>
                  <w:rFonts w:ascii="Cambria Math" w:eastAsia="Cambria Math" w:hAnsi="Cambria Math" w:cs="Cambria Math"/>
                  <w:sz w:val="16"/>
                  <w:szCs w:val="16"/>
                </w:rPr>
                <m:t>: ( p ∈[0,3], d ∈[0,2], q ∈[0,3] ))</m:t>
              </m:r>
            </m:oMath>
          </w:p>
        </w:tc>
      </w:tr>
      <w:tr w:rsidR="00A05DD1" w:rsidRPr="001D7B15" w14:paraId="3C60A045" w14:textId="77777777" w:rsidTr="00D93AD1">
        <w:tc>
          <w:tcPr>
            <w:tcW w:w="988" w:type="dxa"/>
          </w:tcPr>
          <w:p w14:paraId="6AF5DE38"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b/>
                <w:bCs/>
                <w:sz w:val="16"/>
                <w:szCs w:val="16"/>
              </w:rPr>
              <w:t>Holt-Winters</w:t>
            </w:r>
          </w:p>
        </w:tc>
        <w:tc>
          <w:tcPr>
            <w:tcW w:w="3374" w:type="dxa"/>
          </w:tcPr>
          <w:p w14:paraId="755AEDC5"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Trend = "add", Damped Trend = True, Seasonal = None (since annual data, no seasonality)</w:t>
            </w:r>
          </w:p>
        </w:tc>
      </w:tr>
      <w:tr w:rsidR="00A05DD1" w:rsidRPr="001D7B15" w14:paraId="48B5EB65" w14:textId="77777777" w:rsidTr="00D93AD1">
        <w:tc>
          <w:tcPr>
            <w:tcW w:w="988" w:type="dxa"/>
          </w:tcPr>
          <w:p w14:paraId="61F13ABA"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b/>
                <w:bCs/>
                <w:sz w:val="16"/>
                <w:szCs w:val="16"/>
              </w:rPr>
              <w:t>Linear Regression</w:t>
            </w:r>
          </w:p>
        </w:tc>
        <w:tc>
          <w:tcPr>
            <w:tcW w:w="3374" w:type="dxa"/>
          </w:tcPr>
          <w:p w14:paraId="7E66CC3B"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No explicit hyperparameters (basic regression model)</w:t>
            </w:r>
          </w:p>
        </w:tc>
      </w:tr>
      <w:tr w:rsidR="00A05DD1" w:rsidRPr="001D7B15" w14:paraId="5EE7495E" w14:textId="77777777" w:rsidTr="00D93AD1">
        <w:tc>
          <w:tcPr>
            <w:tcW w:w="988" w:type="dxa"/>
          </w:tcPr>
          <w:p w14:paraId="06145431"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b/>
                <w:bCs/>
                <w:sz w:val="16"/>
                <w:szCs w:val="16"/>
              </w:rPr>
              <w:t>Ridge Regression</w:t>
            </w:r>
          </w:p>
        </w:tc>
        <w:tc>
          <w:tcPr>
            <w:tcW w:w="3374" w:type="dxa"/>
          </w:tcPr>
          <w:p w14:paraId="54EE8EC0"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Alpha = 1.0 (regularization strength), Solver = default (scikit-learn)</w:t>
            </w:r>
          </w:p>
        </w:tc>
      </w:tr>
      <w:tr w:rsidR="00A05DD1" w:rsidRPr="001D7B15" w14:paraId="78B6F514" w14:textId="77777777" w:rsidTr="00D93AD1">
        <w:tc>
          <w:tcPr>
            <w:tcW w:w="988" w:type="dxa"/>
          </w:tcPr>
          <w:p w14:paraId="69F69162"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b/>
                <w:bCs/>
                <w:sz w:val="16"/>
                <w:szCs w:val="16"/>
              </w:rPr>
              <w:t>Random Forest</w:t>
            </w:r>
          </w:p>
        </w:tc>
        <w:tc>
          <w:tcPr>
            <w:tcW w:w="3374" w:type="dxa"/>
          </w:tcPr>
          <w:p w14:paraId="33344E92"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n_estimators = 400, max_depth = None, random_state = 42 (default for reproducibility)</w:t>
            </w:r>
          </w:p>
        </w:tc>
      </w:tr>
    </w:tbl>
    <w:p w14:paraId="1DE4E964" w14:textId="50A779AF" w:rsidR="00A05DD1" w:rsidRPr="001D7B15" w:rsidRDefault="00000000">
      <w:pPr>
        <w:spacing w:after="0"/>
        <w:jc w:val="both"/>
        <w:rPr>
          <w:rFonts w:ascii="Times New Roman" w:eastAsia="Times New Roman" w:hAnsi="Times New Roman" w:cs="Times New Roman"/>
          <w:sz w:val="20"/>
          <w:szCs w:val="20"/>
        </w:rPr>
      </w:pPr>
      <w:r w:rsidRPr="001D7B15">
        <w:rPr>
          <w:rFonts w:ascii="Times New Roman" w:eastAsia="Times New Roman" w:hAnsi="Times New Roman" w:cs="Times New Roman"/>
          <w:sz w:val="20"/>
          <w:szCs w:val="20"/>
        </w:rPr>
        <w:t>In climate condition prediction, several statistical and machine learning models are widely used due to their ability to handle temporal trends, seasonal patterns, and complex interactions among climate variables. ARIMA (AutoRegressive Integrated Moving Average) is a classical time-series model that captures temporal dependencies by combining autoregressive (AR), moving average (MA), and integration (I) components. The AR component uses past observations</w:t>
      </w:r>
      <m:oMath>
        <m:d>
          <m:dPr>
            <m:ctrlPr>
              <w:rPr>
                <w:rFonts w:ascii="Cambria Math" w:eastAsia="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X</m:t>
                </m:r>
              </m:e>
              <m:sub>
                <m:r>
                  <w:rPr>
                    <w:rFonts w:ascii="Cambria Math" w:eastAsia="Cambria Math" w:hAnsi="Cambria Math" w:cs="Times New Roman"/>
                    <w:sz w:val="20"/>
                    <w:szCs w:val="20"/>
                  </w:rPr>
                  <m:t>t</m:t>
                </m:r>
              </m:sub>
            </m:sSub>
            <m: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ϕ</m:t>
                </m:r>
              </m:e>
              <m:sub>
                <m:r>
                  <w:rPr>
                    <w:rFonts w:ascii="Cambria Math" w:eastAsia="Cambria Math" w:hAnsi="Cambria Math" w:cs="Times New Roman"/>
                    <w:sz w:val="20"/>
                    <w:szCs w:val="20"/>
                  </w:rPr>
                  <m:t>1</m:t>
                </m:r>
              </m:sub>
            </m:sSub>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X</m:t>
                </m:r>
              </m:e>
              <m:sub>
                <m:r>
                  <w:rPr>
                    <w:rFonts w:ascii="Cambria Math" w:eastAsia="Cambria Math" w:hAnsi="Cambria Math" w:cs="Times New Roman"/>
                    <w:sz w:val="20"/>
                    <w:szCs w:val="20"/>
                  </w:rPr>
                  <m:t>t-1</m:t>
                </m:r>
              </m:sub>
            </m:sSub>
            <m: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ϕ</m:t>
                </m:r>
              </m:e>
              <m:sub>
                <m:r>
                  <w:rPr>
                    <w:rFonts w:ascii="Cambria Math" w:eastAsia="Cambria Math" w:hAnsi="Cambria Math" w:cs="Times New Roman"/>
                    <w:sz w:val="20"/>
                    <w:szCs w:val="20"/>
                  </w:rPr>
                  <m:t>p</m:t>
                </m:r>
              </m:sub>
            </m:sSub>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X</m:t>
                </m:r>
              </m:e>
              <m:sub>
                <m:r>
                  <w:rPr>
                    <w:rFonts w:ascii="Cambria Math" w:eastAsia="Cambria Math" w:hAnsi="Cambria Math" w:cs="Times New Roman"/>
                    <w:sz w:val="20"/>
                    <w:szCs w:val="20"/>
                  </w:rPr>
                  <m:t>t-p</m:t>
                </m:r>
              </m:sub>
            </m:sSub>
            <m: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ϵ</m:t>
                </m:r>
              </m:e>
              <m:sub>
                <m:r>
                  <w:rPr>
                    <w:rFonts w:ascii="Cambria Math" w:eastAsia="Cambria Math" w:hAnsi="Cambria Math" w:cs="Times New Roman"/>
                    <w:sz w:val="20"/>
                    <w:szCs w:val="20"/>
                  </w:rPr>
                  <m:t>t</m:t>
                </m:r>
              </m:sub>
            </m:sSub>
          </m:e>
        </m:d>
        <m:r>
          <w:rPr>
            <w:rFonts w:ascii="Cambria Math" w:eastAsia="Cambria Math" w:hAnsi="Cambria Math" w:cs="Times New Roman"/>
            <w:sz w:val="20"/>
            <w:szCs w:val="20"/>
          </w:rPr>
          <m:t>,</m:t>
        </m:r>
      </m:oMath>
      <w:r w:rsidRPr="001D7B15">
        <w:rPr>
          <w:rFonts w:ascii="Times New Roman" w:eastAsia="Times New Roman" w:hAnsi="Times New Roman" w:cs="Times New Roman"/>
          <w:sz w:val="20"/>
          <w:szCs w:val="20"/>
        </w:rPr>
        <w:t xml:space="preserve"> while the MA component accounts for past forecast errors </w:t>
      </w:r>
      <m:oMath>
        <m:d>
          <m:dPr>
            <m:ctrlPr>
              <w:rPr>
                <w:rFonts w:ascii="Cambria Math" w:eastAsia="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X</m:t>
                </m:r>
              </m:e>
              <m:sub>
                <m:r>
                  <w:rPr>
                    <w:rFonts w:ascii="Cambria Math" w:eastAsia="Cambria Math" w:hAnsi="Cambria Math" w:cs="Times New Roman"/>
                    <w:sz w:val="20"/>
                    <w:szCs w:val="20"/>
                  </w:rPr>
                  <m:t>t</m:t>
                </m:r>
              </m:sub>
            </m:sSub>
            <m: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θ</m:t>
                </m:r>
              </m:e>
              <m:sub>
                <m:r>
                  <w:rPr>
                    <w:rFonts w:ascii="Cambria Math" w:eastAsia="Cambria Math" w:hAnsi="Cambria Math" w:cs="Times New Roman"/>
                    <w:sz w:val="20"/>
                    <w:szCs w:val="20"/>
                  </w:rPr>
                  <m:t>1</m:t>
                </m:r>
              </m:sub>
            </m:sSub>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ϵ</m:t>
                </m:r>
              </m:e>
              <m:sub>
                <m:r>
                  <w:rPr>
                    <w:rFonts w:ascii="Cambria Math" w:eastAsia="Cambria Math" w:hAnsi="Cambria Math" w:cs="Times New Roman"/>
                    <w:sz w:val="20"/>
                    <w:szCs w:val="20"/>
                  </w:rPr>
                  <m:t>t-1</m:t>
                </m:r>
              </m:sub>
            </m:sSub>
            <m: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θ</m:t>
                </m:r>
              </m:e>
              <m:sub>
                <m:r>
                  <w:rPr>
                    <w:rFonts w:ascii="Cambria Math" w:eastAsia="Cambria Math" w:hAnsi="Cambria Math" w:cs="Times New Roman"/>
                    <w:sz w:val="20"/>
                    <w:szCs w:val="20"/>
                  </w:rPr>
                  <m:t>q</m:t>
                </m:r>
              </m:sub>
            </m:sSub>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ϵ</m:t>
                </m:r>
              </m:e>
              <m:sub>
                <m:r>
                  <w:rPr>
                    <w:rFonts w:ascii="Cambria Math" w:eastAsia="Cambria Math" w:hAnsi="Cambria Math" w:cs="Times New Roman"/>
                    <w:sz w:val="20"/>
                    <w:szCs w:val="20"/>
                  </w:rPr>
                  <m:t>t-q</m:t>
                </m:r>
              </m:sub>
            </m:sSub>
            <m: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ϵ</m:t>
                </m:r>
              </m:e>
              <m:sub>
                <m:r>
                  <w:rPr>
                    <w:rFonts w:ascii="Cambria Math" w:eastAsia="Cambria Math" w:hAnsi="Cambria Math" w:cs="Times New Roman"/>
                    <w:sz w:val="20"/>
                    <w:szCs w:val="20"/>
                  </w:rPr>
                  <m:t>t</m:t>
                </m:r>
              </m:sub>
            </m:sSub>
          </m:e>
        </m:d>
      </m:oMath>
      <w:r w:rsidRPr="001D7B15">
        <w:rPr>
          <w:rFonts w:ascii="Times New Roman" w:eastAsia="Times New Roman" w:hAnsi="Times New Roman" w:cs="Times New Roman"/>
          <w:sz w:val="20"/>
          <w:szCs w:val="20"/>
        </w:rPr>
        <w:t>, and differencing ensures stationarity of the series [2</w:t>
      </w:r>
      <w:r w:rsidR="00450DE4">
        <w:rPr>
          <w:rFonts w:ascii="Times New Roman" w:eastAsia="Times New Roman" w:hAnsi="Times New Roman" w:cs="Times New Roman"/>
          <w:sz w:val="20"/>
          <w:szCs w:val="20"/>
        </w:rPr>
        <w:t>2</w:t>
      </w:r>
      <w:r w:rsidRPr="001D7B15">
        <w:rPr>
          <w:rFonts w:ascii="Times New Roman" w:eastAsia="Times New Roman" w:hAnsi="Times New Roman" w:cs="Times New Roman"/>
          <w:sz w:val="20"/>
          <w:szCs w:val="20"/>
        </w:rPr>
        <w:t xml:space="preserve">]. ARIMA is particularly effective for climate variables with trends and non-stationary behavior, such as long-term temperature or rainfall patterns. Holt-Winters exponential smoothing extends simple exponential smoothing to include trend and seasonality, using </w:t>
      </w:r>
      <m:oMath>
        <m:d>
          <m:dPr>
            <m:ctrlPr>
              <w:rPr>
                <w:rFonts w:ascii="Cambria Math" w:eastAsia="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L</m:t>
                </m:r>
              </m:e>
              <m:sub>
                <m:r>
                  <w:rPr>
                    <w:rFonts w:ascii="Cambria Math" w:eastAsia="Cambria Math" w:hAnsi="Cambria Math" w:cs="Times New Roman"/>
                    <w:sz w:val="20"/>
                    <w:szCs w:val="20"/>
                  </w:rPr>
                  <m:t>t</m:t>
                </m:r>
              </m:sub>
            </m:sSub>
            <m:r>
              <w:rPr>
                <w:rFonts w:ascii="Cambria Math" w:eastAsia="Cambria Math" w:hAnsi="Cambria Math" w:cs="Times New Roman"/>
                <w:sz w:val="20"/>
                <w:szCs w:val="20"/>
              </w:rPr>
              <m:t>=α</m:t>
            </m:r>
            <m:f>
              <m:fPr>
                <m:ctrlPr>
                  <w:rPr>
                    <w:rFonts w:ascii="Cambria Math" w:eastAsia="Cambria Math" w:hAnsi="Cambria Math" w:cs="Times New Roman"/>
                    <w:sz w:val="20"/>
                    <w:szCs w:val="20"/>
                  </w:rPr>
                </m:ctrlPr>
              </m:fPr>
              <m:num>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X</m:t>
                    </m:r>
                  </m:e>
                  <m:sub>
                    <m:r>
                      <w:rPr>
                        <w:rFonts w:ascii="Cambria Math" w:eastAsia="Cambria Math" w:hAnsi="Cambria Math" w:cs="Times New Roman"/>
                        <w:sz w:val="20"/>
                        <w:szCs w:val="20"/>
                      </w:rPr>
                      <m:t>t</m:t>
                    </m:r>
                  </m:sub>
                </m:sSub>
              </m:num>
              <m:den>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S</m:t>
                    </m:r>
                  </m:e>
                  <m:sub>
                    <m:r>
                      <w:rPr>
                        <w:rFonts w:ascii="Cambria Math" w:eastAsia="Cambria Math" w:hAnsi="Cambria Math" w:cs="Times New Roman"/>
                        <w:sz w:val="20"/>
                        <w:szCs w:val="20"/>
                      </w:rPr>
                      <m:t>t-m</m:t>
                    </m:r>
                  </m:sub>
                </m:sSub>
              </m:den>
            </m:f>
            <m:r>
              <w:rPr>
                <w:rFonts w:ascii="Cambria Math" w:eastAsia="Cambria Math" w:hAnsi="Cambria Math" w:cs="Times New Roman"/>
                <w:sz w:val="20"/>
                <w:szCs w:val="20"/>
              </w:rPr>
              <m:t>+</m:t>
            </m:r>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1-α</m:t>
                </m:r>
              </m:e>
            </m:d>
            <m:d>
              <m:dPr>
                <m:ctrlPr>
                  <w:rPr>
                    <w:rFonts w:ascii="Cambria Math" w:eastAsia="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L</m:t>
                    </m:r>
                  </m:e>
                  <m:sub>
                    <m:r>
                      <w:rPr>
                        <w:rFonts w:ascii="Cambria Math" w:eastAsia="Cambria Math" w:hAnsi="Cambria Math" w:cs="Times New Roman"/>
                        <w:sz w:val="20"/>
                        <w:szCs w:val="20"/>
                      </w:rPr>
                      <m:t>t-1</m:t>
                    </m:r>
                  </m:sub>
                </m:sSub>
                <m: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w:rPr>
                        <w:rFonts w:ascii="Cambria Math" w:eastAsia="Cambria Math" w:hAnsi="Cambria Math" w:cs="Times New Roman"/>
                        <w:sz w:val="20"/>
                        <w:szCs w:val="20"/>
                      </w:rPr>
                      <m:t>t-1</m:t>
                    </m:r>
                  </m:sub>
                </m:sSub>
              </m:e>
            </m:d>
          </m:e>
        </m:d>
      </m:oMath>
      <w:r w:rsidRPr="001D7B15">
        <w:rPr>
          <w:rFonts w:ascii="Times New Roman" w:eastAsia="Times New Roman" w:hAnsi="Times New Roman" w:cs="Times New Roman"/>
          <w:sz w:val="20"/>
          <w:szCs w:val="20"/>
        </w:rPr>
        <w:t xml:space="preserve"> for the level, </w:t>
      </w:r>
      <m:oMath>
        <m:d>
          <m:dPr>
            <m:ctrlPr>
              <w:rPr>
                <w:rFonts w:ascii="Cambria Math" w:eastAsia="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w:rPr>
                    <w:rFonts w:ascii="Cambria Math" w:eastAsia="Cambria Math" w:hAnsi="Cambria Math" w:cs="Times New Roman"/>
                    <w:sz w:val="20"/>
                    <w:szCs w:val="20"/>
                  </w:rPr>
                  <m:t>t</m:t>
                </m:r>
              </m:sub>
            </m:sSub>
            <m:r>
              <w:rPr>
                <w:rFonts w:ascii="Cambria Math" w:eastAsia="Cambria Math" w:hAnsi="Cambria Math" w:cs="Times New Roman"/>
                <w:sz w:val="20"/>
                <w:szCs w:val="20"/>
              </w:rPr>
              <m:t>=β</m:t>
            </m:r>
            <m:d>
              <m:dPr>
                <m:ctrlPr>
                  <w:rPr>
                    <w:rFonts w:ascii="Cambria Math" w:eastAsia="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L</m:t>
                    </m:r>
                  </m:e>
                  <m:sub>
                    <m:r>
                      <w:rPr>
                        <w:rFonts w:ascii="Cambria Math" w:eastAsia="Cambria Math" w:hAnsi="Cambria Math" w:cs="Times New Roman"/>
                        <w:sz w:val="20"/>
                        <w:szCs w:val="20"/>
                      </w:rPr>
                      <m:t>t</m:t>
                    </m:r>
                  </m:sub>
                </m:sSub>
                <m:r>
                  <w:rPr>
                    <w:rFonts w:ascii="Cambria Math" w:eastAsia="Cambria Math"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L</m:t>
                    </m:r>
                  </m:e>
                  <m:sub>
                    <m:r>
                      <w:rPr>
                        <w:rFonts w:ascii="Cambria Math" w:eastAsia="Cambria Math" w:hAnsi="Cambria Math" w:cs="Times New Roman"/>
                        <w:sz w:val="20"/>
                        <w:szCs w:val="20"/>
                      </w:rPr>
                      <m:t>t-1</m:t>
                    </m:r>
                  </m:sub>
                </m:sSub>
              </m:e>
            </m:d>
            <m:r>
              <w:rPr>
                <w:rFonts w:ascii="Cambria Math" w:eastAsia="Cambria Math" w:hAnsi="Cambria Math" w:cs="Times New Roman"/>
                <w:sz w:val="20"/>
                <w:szCs w:val="20"/>
              </w:rPr>
              <m:t>+</m:t>
            </m:r>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1-β</m:t>
                </m:r>
              </m:e>
            </m:d>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w:rPr>
                    <w:rFonts w:ascii="Cambria Math" w:eastAsia="Cambria Math" w:hAnsi="Cambria Math" w:cs="Times New Roman"/>
                    <w:sz w:val="20"/>
                    <w:szCs w:val="20"/>
                  </w:rPr>
                  <m:t>t-1</m:t>
                </m:r>
              </m:sub>
            </m:sSub>
          </m:e>
        </m:d>
      </m:oMath>
      <w:r w:rsidRPr="001D7B15">
        <w:rPr>
          <w:rFonts w:ascii="Times New Roman" w:eastAsia="Times New Roman" w:hAnsi="Times New Roman" w:cs="Times New Roman"/>
          <w:sz w:val="20"/>
          <w:szCs w:val="20"/>
        </w:rPr>
        <w:t xml:space="preserve"> for the trend, and </w:t>
      </w:r>
      <m:oMath>
        <m:d>
          <m:dPr>
            <m:ctrlPr>
              <w:rPr>
                <w:rFonts w:ascii="Cambria Math" w:eastAsia="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S</m:t>
                </m:r>
              </m:e>
              <m:sub>
                <m:r>
                  <w:rPr>
                    <w:rFonts w:ascii="Cambria Math" w:eastAsia="Cambria Math" w:hAnsi="Cambria Math" w:cs="Times New Roman"/>
                    <w:sz w:val="20"/>
                    <w:szCs w:val="20"/>
                  </w:rPr>
                  <m:t>t</m:t>
                </m:r>
              </m:sub>
            </m:sSub>
            <m:r>
              <w:rPr>
                <w:rFonts w:ascii="Cambria Math" w:eastAsia="Cambria Math" w:hAnsi="Cambria Math" w:cs="Times New Roman"/>
                <w:sz w:val="20"/>
                <w:szCs w:val="20"/>
              </w:rPr>
              <m:t>=γ</m:t>
            </m:r>
            <m:f>
              <m:fPr>
                <m:ctrlPr>
                  <w:rPr>
                    <w:rFonts w:ascii="Cambria Math" w:eastAsia="Cambria Math" w:hAnsi="Cambria Math" w:cs="Times New Roman"/>
                    <w:sz w:val="20"/>
                    <w:szCs w:val="20"/>
                  </w:rPr>
                </m:ctrlPr>
              </m:fPr>
              <m:num>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X</m:t>
                    </m:r>
                  </m:e>
                  <m:sub>
                    <m:r>
                      <w:rPr>
                        <w:rFonts w:ascii="Cambria Math" w:eastAsia="Cambria Math" w:hAnsi="Cambria Math" w:cs="Times New Roman"/>
                        <w:sz w:val="20"/>
                        <w:szCs w:val="20"/>
                      </w:rPr>
                      <m:t>t</m:t>
                    </m:r>
                  </m:sub>
                </m:sSub>
              </m:num>
              <m:den>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L</m:t>
                    </m:r>
                  </m:e>
                  <m:sub>
                    <m:r>
                      <w:rPr>
                        <w:rFonts w:ascii="Cambria Math" w:eastAsia="Cambria Math" w:hAnsi="Cambria Math" w:cs="Times New Roman"/>
                        <w:sz w:val="20"/>
                        <w:szCs w:val="20"/>
                      </w:rPr>
                      <m:t>t</m:t>
                    </m:r>
                  </m:sub>
                </m:sSub>
              </m:den>
            </m:f>
            <m:r>
              <w:rPr>
                <w:rFonts w:ascii="Cambria Math" w:eastAsia="Cambria Math" w:hAnsi="Cambria Math" w:cs="Times New Roman"/>
                <w:sz w:val="20"/>
                <w:szCs w:val="20"/>
              </w:rPr>
              <m:t>+</m:t>
            </m:r>
            <m:d>
              <m:dPr>
                <m:ctrlPr>
                  <w:rPr>
                    <w:rFonts w:ascii="Cambria Math" w:eastAsia="Cambria Math" w:hAnsi="Cambria Math" w:cs="Times New Roman"/>
                    <w:sz w:val="20"/>
                    <w:szCs w:val="20"/>
                  </w:rPr>
                </m:ctrlPr>
              </m:dPr>
              <m:e>
                <m:r>
                  <w:rPr>
                    <w:rFonts w:ascii="Cambria Math" w:eastAsia="Cambria Math" w:hAnsi="Cambria Math" w:cs="Times New Roman"/>
                    <w:sz w:val="20"/>
                    <w:szCs w:val="20"/>
                  </w:rPr>
                  <m:t>1-γ</m:t>
                </m:r>
              </m:e>
            </m:d>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S</m:t>
                </m:r>
              </m:e>
              <m:sub>
                <m:r>
                  <w:rPr>
                    <w:rFonts w:ascii="Cambria Math" w:eastAsia="Cambria Math" w:hAnsi="Cambria Math" w:cs="Times New Roman"/>
                    <w:sz w:val="20"/>
                    <w:szCs w:val="20"/>
                  </w:rPr>
                  <m:t>t-m</m:t>
                </m:r>
              </m:sub>
            </m:sSub>
          </m:e>
        </m:d>
      </m:oMath>
      <w:r w:rsidRPr="001D7B15">
        <w:rPr>
          <w:rFonts w:ascii="Times New Roman" w:eastAsia="Times New Roman" w:hAnsi="Times New Roman" w:cs="Times New Roman"/>
          <w:sz w:val="20"/>
          <w:szCs w:val="20"/>
        </w:rPr>
        <w:t xml:space="preserve"> for seasonality, with forecasts computed as </w:t>
      </w:r>
      <m:oMath>
        <m:d>
          <m:dPr>
            <m:ctrlPr>
              <w:rPr>
                <w:rFonts w:ascii="Cambria Math" w:eastAsia="Cambria Math" w:hAnsi="Cambria Math" w:cs="Times New Roman"/>
                <w:sz w:val="20"/>
                <w:szCs w:val="20"/>
              </w:rPr>
            </m:ctrlPr>
          </m:dPr>
          <m:e>
            <m:acc>
              <m:accPr>
                <m:ctrlPr>
                  <w:rPr>
                    <w:rFonts w:ascii="Cambria Math" w:eastAsia="Cambria Math" w:hAnsi="Cambria Math" w:cs="Times New Roman"/>
                    <w:sz w:val="20"/>
                    <w:szCs w:val="20"/>
                  </w:rPr>
                </m:ctrlPr>
              </m:accPr>
              <m:e>
                <m:r>
                  <w:rPr>
                    <w:rFonts w:ascii="Cambria Math" w:eastAsia="Cambria Math" w:hAnsi="Cambria Math" w:cs="Times New Roman"/>
                    <w:sz w:val="20"/>
                    <w:szCs w:val="20"/>
                  </w:rPr>
                  <m:t>X</m:t>
                </m:r>
              </m:e>
            </m:acc>
            <m:r>
              <w:rPr>
                <w:rFonts w:ascii="Cambria Math" w:eastAsia="Cambria Math" w:hAnsi="Cambria Math" w:cs="Times New Roman"/>
                <w:sz w:val="20"/>
                <w:szCs w:val="20"/>
              </w:rPr>
              <m:t>t+h=</m:t>
            </m:r>
            <m:d>
              <m:dPr>
                <m:ctrlPr>
                  <w:rPr>
                    <w:rFonts w:ascii="Cambria Math" w:eastAsia="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L</m:t>
                    </m:r>
                  </m:e>
                  <m:sub>
                    <m:r>
                      <w:rPr>
                        <w:rFonts w:ascii="Cambria Math" w:eastAsia="Cambria Math" w:hAnsi="Cambria Math" w:cs="Times New Roman"/>
                        <w:sz w:val="20"/>
                        <w:szCs w:val="20"/>
                      </w:rPr>
                      <m:t>t</m:t>
                    </m:r>
                  </m:sub>
                </m:sSub>
                <m:r>
                  <w:rPr>
                    <w:rFonts w:ascii="Cambria Math" w:eastAsia="Cambria Math" w:hAnsi="Cambria Math" w:cs="Times New Roman"/>
                    <w:sz w:val="20"/>
                    <w:szCs w:val="20"/>
                  </w:rPr>
                  <m:t>+h</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T</m:t>
                    </m:r>
                  </m:e>
                  <m:sub>
                    <m:r>
                      <w:rPr>
                        <w:rFonts w:ascii="Cambria Math" w:eastAsia="Cambria Math" w:hAnsi="Cambria Math" w:cs="Times New Roman"/>
                        <w:sz w:val="20"/>
                        <w:szCs w:val="20"/>
                      </w:rPr>
                      <m:t>t</m:t>
                    </m:r>
                  </m:sub>
                </m:sSub>
              </m:e>
            </m:d>
            <m:r>
              <w:rPr>
                <w:rFonts w:ascii="Cambria Math" w:eastAsia="Cambria Math" w:hAnsi="Cambria Math" w:cs="Times New Roman"/>
                <w:sz w:val="20"/>
                <w:szCs w:val="20"/>
              </w:rPr>
              <m:t>St-m+h\bmodm</m:t>
            </m:r>
          </m:e>
        </m:d>
      </m:oMath>
      <w:r w:rsidR="00520FCD">
        <w:rPr>
          <w:rFonts w:ascii="Times New Roman" w:eastAsia="Times New Roman" w:hAnsi="Times New Roman" w:cs="Times New Roman"/>
          <w:sz w:val="20"/>
          <w:szCs w:val="20"/>
        </w:rPr>
        <w:t xml:space="preserve"> [22]</w:t>
      </w:r>
      <w:r w:rsidRPr="001D7B15">
        <w:rPr>
          <w:rFonts w:ascii="Times New Roman" w:eastAsia="Times New Roman" w:hAnsi="Times New Roman" w:cs="Times New Roman"/>
          <w:sz w:val="20"/>
          <w:szCs w:val="20"/>
        </w:rPr>
        <w:t xml:space="preserve">. This model is ideal for capturing recurring climate cycles, such as monsoon rainfall or seasonal temperature variations. </w:t>
      </w:r>
      <w:r w:rsidR="00520FCD" w:rsidRPr="001D7B15">
        <w:rPr>
          <w:rFonts w:ascii="Times New Roman" w:eastAsia="Times New Roman" w:hAnsi="Times New Roman" w:cs="Times New Roman"/>
          <w:sz w:val="20"/>
          <w:szCs w:val="20"/>
        </w:rPr>
        <w:t xml:space="preserve">Ridge regression, a regularized version of linear regression, adds a penalty term </w:t>
      </w:r>
      <m:oMath>
        <m:d>
          <m:dPr>
            <m:ctrlPr>
              <w:rPr>
                <w:rFonts w:ascii="Cambria Math" w:eastAsia="Cambria Math" w:hAnsi="Cambria Math" w:cs="Times New Roman"/>
                <w:sz w:val="20"/>
                <w:szCs w:val="20"/>
              </w:rPr>
            </m:ctrlPr>
          </m:dPr>
          <m:e>
            <m:nary>
              <m:naryPr>
                <m:chr m:val="∑"/>
                <m:ctrlPr>
                  <w:rPr>
                    <w:rFonts w:ascii="Cambria Math" w:eastAsia="Cambria Math" w:hAnsi="Cambria Math" w:cs="Times New Roman"/>
                    <w:sz w:val="20"/>
                    <w:szCs w:val="20"/>
                  </w:rPr>
                </m:ctrlPr>
              </m:naryPr>
              <m:sub>
                <m:r>
                  <w:rPr>
                    <w:rFonts w:ascii="Cambria Math" w:eastAsia="Cambria Math" w:hAnsi="Cambria Math" w:cs="Times New Roman"/>
                    <w:sz w:val="20"/>
                    <w:szCs w:val="20"/>
                  </w:rPr>
                  <m:t>i=1</m:t>
                </m:r>
              </m:sub>
              <m:sup>
                <m:r>
                  <w:rPr>
                    <w:rFonts w:ascii="Cambria Math" w:eastAsia="Cambria Math" w:hAnsi="Cambria Math" w:cs="Times New Roman"/>
                    <w:sz w:val="20"/>
                    <w:szCs w:val="20"/>
                  </w:rPr>
                  <m:t>n</m:t>
                </m:r>
              </m:sup>
              <m:e>
                <m:sSup>
                  <m:sSupPr>
                    <m:ctrlPr>
                      <w:rPr>
                        <w:rFonts w:ascii="Cambria Math" w:eastAsia="Cambria Math" w:hAnsi="Cambria Math" w:cs="Times New Roman"/>
                        <w:sz w:val="20"/>
                        <w:szCs w:val="20"/>
                      </w:rPr>
                    </m:ctrlPr>
                  </m:sSupPr>
                  <m:e>
                    <m:d>
                      <m:dPr>
                        <m:ctrlPr>
                          <w:rPr>
                            <w:rFonts w:ascii="Cambria Math" w:eastAsia="Cambria Math" w:hAnsi="Cambria Math" w:cs="Times New Roman"/>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y</m:t>
                            </m:r>
                          </m:e>
                          <m:sub>
                            <m:r>
                              <w:rPr>
                                <w:rFonts w:ascii="Cambria Math" w:eastAsia="Cambria Math" w:hAnsi="Cambria Math" w:cs="Times New Roman"/>
                                <w:sz w:val="20"/>
                                <w:szCs w:val="20"/>
                              </w:rPr>
                              <m:t>i</m:t>
                            </m:r>
                          </m:sub>
                        </m:sSub>
                        <m:r>
                          <w:rPr>
                            <w:rFonts w:ascii="Cambria Math" w:eastAsia="Cambria Math" w:hAnsi="Cambria Math" w:cs="Times New Roman"/>
                            <w:sz w:val="20"/>
                            <w:szCs w:val="20"/>
                          </w:rPr>
                          <m:t>-</m:t>
                        </m:r>
                        <m:acc>
                          <m:accPr>
                            <m:ctrlPr>
                              <w:rPr>
                                <w:rFonts w:ascii="Cambria Math" w:eastAsia="Cambria Math" w:hAnsi="Cambria Math" w:cs="Times New Roman"/>
                                <w:sz w:val="20"/>
                                <w:szCs w:val="20"/>
                              </w:rPr>
                            </m:ctrlPr>
                          </m:acc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y</m:t>
                                </m:r>
                              </m:e>
                              <m:sub>
                                <m:r>
                                  <w:rPr>
                                    <w:rFonts w:ascii="Cambria Math" w:eastAsia="Cambria Math" w:hAnsi="Cambria Math" w:cs="Times New Roman"/>
                                    <w:sz w:val="20"/>
                                    <w:szCs w:val="20"/>
                                  </w:rPr>
                                  <m:t>i</m:t>
                                </m:r>
                              </m:sub>
                            </m:sSub>
                          </m:e>
                        </m:acc>
                      </m:e>
                    </m:d>
                  </m:e>
                  <m:sup>
                    <m:r>
                      <w:rPr>
                        <w:rFonts w:ascii="Cambria Math" w:eastAsia="Cambria Math" w:hAnsi="Cambria Math" w:cs="Times New Roman"/>
                        <w:sz w:val="20"/>
                        <w:szCs w:val="20"/>
                      </w:rPr>
                      <m:t>2</m:t>
                    </m:r>
                  </m:sup>
                </m:sSup>
              </m:e>
            </m:nary>
            <m:r>
              <w:rPr>
                <w:rFonts w:ascii="Cambria Math" w:hAnsi="Cambria Math" w:cs="Times New Roman"/>
              </w:rPr>
              <m:t xml:space="preserve"> </m:t>
            </m:r>
            <m:r>
              <w:rPr>
                <w:rFonts w:ascii="Cambria Math" w:eastAsia="Cambria Math" w:hAnsi="Cambria Math" w:cs="Times New Roman"/>
                <w:sz w:val="20"/>
                <w:szCs w:val="20"/>
              </w:rPr>
              <m:t>+λ</m:t>
            </m:r>
            <m:nary>
              <m:naryPr>
                <m:chr m:val="∑"/>
                <m:ctrlPr>
                  <w:rPr>
                    <w:rFonts w:ascii="Cambria Math" w:eastAsia="Cambria Math" w:hAnsi="Cambria Math" w:cs="Times New Roman"/>
                    <w:sz w:val="20"/>
                    <w:szCs w:val="20"/>
                  </w:rPr>
                </m:ctrlPr>
              </m:naryPr>
              <m:sub>
                <m:r>
                  <w:rPr>
                    <w:rFonts w:ascii="Cambria Math" w:eastAsia="Cambria Math" w:hAnsi="Cambria Math" w:cs="Times New Roman"/>
                    <w:sz w:val="20"/>
                    <w:szCs w:val="20"/>
                  </w:rPr>
                  <m:t>j=1</m:t>
                </m:r>
              </m:sub>
              <m:sup>
                <m:r>
                  <w:rPr>
                    <w:rFonts w:ascii="Cambria Math" w:eastAsia="Cambria Math" w:hAnsi="Cambria Math" w:cs="Times New Roman"/>
                    <w:sz w:val="20"/>
                    <w:szCs w:val="20"/>
                  </w:rPr>
                  <m:t>p</m:t>
                </m:r>
              </m:sup>
              <m:e>
                <m:sSubSup>
                  <m:sSubSupPr>
                    <m:ctrlPr>
                      <w:rPr>
                        <w:rFonts w:ascii="Cambria Math" w:eastAsia="Cambria Math" w:hAnsi="Cambria Math" w:cs="Times New Roman"/>
                        <w:sz w:val="20"/>
                        <w:szCs w:val="20"/>
                      </w:rPr>
                    </m:ctrlPr>
                  </m:sSubSupPr>
                  <m:e>
                    <m:r>
                      <w:rPr>
                        <w:rFonts w:ascii="Cambria Math" w:eastAsia="Cambria Math" w:hAnsi="Cambria Math" w:cs="Times New Roman"/>
                        <w:sz w:val="20"/>
                        <w:szCs w:val="20"/>
                      </w:rPr>
                      <m:t>β</m:t>
                    </m:r>
                  </m:e>
                  <m:sub>
                    <m:r>
                      <w:rPr>
                        <w:rFonts w:ascii="Cambria Math" w:eastAsia="Cambria Math" w:hAnsi="Cambria Math" w:cs="Times New Roman"/>
                        <w:sz w:val="20"/>
                        <w:szCs w:val="20"/>
                      </w:rPr>
                      <m:t>j</m:t>
                    </m:r>
                  </m:sub>
                  <m:sup>
                    <m:r>
                      <w:rPr>
                        <w:rFonts w:ascii="Cambria Math" w:eastAsia="Cambria Math" w:hAnsi="Cambria Math" w:cs="Times New Roman"/>
                        <w:sz w:val="20"/>
                        <w:szCs w:val="20"/>
                      </w:rPr>
                      <m:t>2</m:t>
                    </m:r>
                  </m:sup>
                </m:sSubSup>
              </m:e>
            </m:nary>
          </m:e>
        </m:d>
      </m:oMath>
      <w:r w:rsidR="00520FCD" w:rsidRPr="001D7B15">
        <w:rPr>
          <w:rFonts w:ascii="Times New Roman" w:eastAsia="Times New Roman" w:hAnsi="Times New Roman" w:cs="Times New Roman"/>
          <w:sz w:val="20"/>
          <w:szCs w:val="20"/>
        </w:rPr>
        <w:t xml:space="preserve"> to control for multicollinearity and overfitting, which is common in climate datasets with correlated features [2</w:t>
      </w:r>
      <w:r w:rsidR="00450DE4">
        <w:rPr>
          <w:rFonts w:ascii="Times New Roman" w:eastAsia="Times New Roman" w:hAnsi="Times New Roman" w:cs="Times New Roman"/>
          <w:sz w:val="20"/>
          <w:szCs w:val="20"/>
        </w:rPr>
        <w:t>3</w:t>
      </w:r>
      <w:r w:rsidR="00520FCD" w:rsidRPr="001D7B15">
        <w:rPr>
          <w:rFonts w:ascii="Times New Roman" w:eastAsia="Times New Roman" w:hAnsi="Times New Roman" w:cs="Times New Roman"/>
          <w:sz w:val="20"/>
          <w:szCs w:val="20"/>
        </w:rPr>
        <w:t xml:space="preserve">]. Hence, it is especially appropriate for prediction of a variable experiencing extreme weather or climate variability. </w:t>
      </w:r>
      <w:r w:rsidR="00520FCD">
        <w:rPr>
          <w:rFonts w:ascii="Times New Roman" w:eastAsia="Times New Roman" w:hAnsi="Times New Roman" w:cs="Times New Roman"/>
          <w:sz w:val="20"/>
          <w:szCs w:val="20"/>
        </w:rPr>
        <w:t xml:space="preserve"> </w:t>
      </w:r>
      <w:r w:rsidRPr="00C431D3">
        <w:rPr>
          <w:rFonts w:ascii="Times New Roman" w:eastAsia="Times New Roman" w:hAnsi="Times New Roman" w:cs="Times New Roman"/>
          <w:sz w:val="20"/>
          <w:szCs w:val="20"/>
          <w:highlight w:val="yellow"/>
        </w:rPr>
        <w:t xml:space="preserve">Linear regression models the direct linear relationship between climate predictors and the target variable </w:t>
      </w:r>
      <m:oMath>
        <m:d>
          <m:dPr>
            <m:ctrlPr>
              <w:rPr>
                <w:rFonts w:ascii="Cambria Math" w:eastAsia="Cambria Math" w:hAnsi="Cambria Math" w:cs="Times New Roman"/>
                <w:sz w:val="20"/>
                <w:szCs w:val="20"/>
                <w:highlight w:val="yellow"/>
              </w:rPr>
            </m:ctrlPr>
          </m:dPr>
          <m:e>
            <m:r>
              <w:rPr>
                <w:rFonts w:ascii="Cambria Math" w:eastAsia="Cambria Math" w:hAnsi="Cambria Math" w:cs="Times New Roman"/>
                <w:sz w:val="20"/>
                <w:szCs w:val="20"/>
                <w:highlight w:val="yellow"/>
              </w:rPr>
              <m:t>Y=</m:t>
            </m:r>
            <m:sSub>
              <m:sSubPr>
                <m:ctrlPr>
                  <w:rPr>
                    <w:rFonts w:ascii="Cambria Math" w:eastAsia="Cambria Math" w:hAnsi="Cambria Math" w:cs="Times New Roman"/>
                    <w:sz w:val="20"/>
                    <w:szCs w:val="20"/>
                    <w:highlight w:val="yellow"/>
                  </w:rPr>
                </m:ctrlPr>
              </m:sSubPr>
              <m:e>
                <m:r>
                  <w:rPr>
                    <w:rFonts w:ascii="Cambria Math" w:eastAsia="Cambria Math" w:hAnsi="Cambria Math" w:cs="Times New Roman"/>
                    <w:sz w:val="20"/>
                    <w:szCs w:val="20"/>
                    <w:highlight w:val="yellow"/>
                  </w:rPr>
                  <m:t>β</m:t>
                </m:r>
              </m:e>
              <m:sub>
                <m:r>
                  <w:rPr>
                    <w:rFonts w:ascii="Cambria Math" w:eastAsia="Cambria Math" w:hAnsi="Cambria Math" w:cs="Times New Roman"/>
                    <w:sz w:val="20"/>
                    <w:szCs w:val="20"/>
                    <w:highlight w:val="yellow"/>
                  </w:rPr>
                  <m:t>0</m:t>
                </m:r>
              </m:sub>
            </m:sSub>
            <m:r>
              <w:rPr>
                <w:rFonts w:ascii="Cambria Math" w:eastAsia="Cambria Math" w:hAnsi="Cambria Math" w:cs="Times New Roman"/>
                <w:sz w:val="20"/>
                <w:szCs w:val="20"/>
                <w:highlight w:val="yellow"/>
              </w:rPr>
              <m:t>+</m:t>
            </m:r>
            <m:sSub>
              <m:sSubPr>
                <m:ctrlPr>
                  <w:rPr>
                    <w:rFonts w:ascii="Cambria Math" w:eastAsia="Cambria Math" w:hAnsi="Cambria Math" w:cs="Times New Roman"/>
                    <w:sz w:val="20"/>
                    <w:szCs w:val="20"/>
                    <w:highlight w:val="yellow"/>
                  </w:rPr>
                </m:ctrlPr>
              </m:sSubPr>
              <m:e>
                <m:r>
                  <w:rPr>
                    <w:rFonts w:ascii="Cambria Math" w:eastAsia="Cambria Math" w:hAnsi="Cambria Math" w:cs="Times New Roman"/>
                    <w:sz w:val="20"/>
                    <w:szCs w:val="20"/>
                    <w:highlight w:val="yellow"/>
                  </w:rPr>
                  <m:t>β</m:t>
                </m:r>
              </m:e>
              <m:sub>
                <m:r>
                  <w:rPr>
                    <w:rFonts w:ascii="Cambria Math" w:eastAsia="Cambria Math" w:hAnsi="Cambria Math" w:cs="Times New Roman"/>
                    <w:sz w:val="20"/>
                    <w:szCs w:val="20"/>
                    <w:highlight w:val="yellow"/>
                  </w:rPr>
                  <m:t>1</m:t>
                </m:r>
              </m:sub>
            </m:sSub>
            <m:sSub>
              <m:sSubPr>
                <m:ctrlPr>
                  <w:rPr>
                    <w:rFonts w:ascii="Cambria Math" w:eastAsia="Cambria Math" w:hAnsi="Cambria Math" w:cs="Times New Roman"/>
                    <w:sz w:val="20"/>
                    <w:szCs w:val="20"/>
                    <w:highlight w:val="yellow"/>
                  </w:rPr>
                </m:ctrlPr>
              </m:sSubPr>
              <m:e>
                <m:r>
                  <w:rPr>
                    <w:rFonts w:ascii="Cambria Math" w:eastAsia="Cambria Math" w:hAnsi="Cambria Math" w:cs="Times New Roman"/>
                    <w:sz w:val="20"/>
                    <w:szCs w:val="20"/>
                    <w:highlight w:val="yellow"/>
                  </w:rPr>
                  <m:t>X</m:t>
                </m:r>
              </m:e>
              <m:sub>
                <m:r>
                  <w:rPr>
                    <w:rFonts w:ascii="Cambria Math" w:eastAsia="Cambria Math" w:hAnsi="Cambria Math" w:cs="Times New Roman"/>
                    <w:sz w:val="20"/>
                    <w:szCs w:val="20"/>
                    <w:highlight w:val="yellow"/>
                  </w:rPr>
                  <m:t>1</m:t>
                </m:r>
              </m:sub>
            </m:sSub>
            <m:r>
              <w:rPr>
                <w:rFonts w:ascii="Cambria Math" w:eastAsia="Cambria Math" w:hAnsi="Cambria Math" w:cs="Times New Roman"/>
                <w:sz w:val="20"/>
                <w:szCs w:val="20"/>
                <w:highlight w:val="yellow"/>
              </w:rPr>
              <m:t>+…+</m:t>
            </m:r>
            <m:sSub>
              <m:sSubPr>
                <m:ctrlPr>
                  <w:rPr>
                    <w:rFonts w:ascii="Cambria Math" w:eastAsia="Cambria Math" w:hAnsi="Cambria Math" w:cs="Times New Roman"/>
                    <w:sz w:val="20"/>
                    <w:szCs w:val="20"/>
                    <w:highlight w:val="yellow"/>
                  </w:rPr>
                </m:ctrlPr>
              </m:sSubPr>
              <m:e>
                <m:r>
                  <w:rPr>
                    <w:rFonts w:ascii="Cambria Math" w:eastAsia="Cambria Math" w:hAnsi="Cambria Math" w:cs="Times New Roman"/>
                    <w:sz w:val="20"/>
                    <w:szCs w:val="20"/>
                    <w:highlight w:val="yellow"/>
                  </w:rPr>
                  <m:t>β</m:t>
                </m:r>
              </m:e>
              <m:sub>
                <m:r>
                  <w:rPr>
                    <w:rFonts w:ascii="Cambria Math" w:eastAsia="Cambria Math" w:hAnsi="Cambria Math" w:cs="Times New Roman"/>
                    <w:sz w:val="20"/>
                    <w:szCs w:val="20"/>
                    <w:highlight w:val="yellow"/>
                  </w:rPr>
                  <m:t>n</m:t>
                </m:r>
              </m:sub>
            </m:sSub>
            <m:sSub>
              <m:sSubPr>
                <m:ctrlPr>
                  <w:rPr>
                    <w:rFonts w:ascii="Cambria Math" w:eastAsia="Cambria Math" w:hAnsi="Cambria Math" w:cs="Times New Roman"/>
                    <w:sz w:val="20"/>
                    <w:szCs w:val="20"/>
                    <w:highlight w:val="yellow"/>
                  </w:rPr>
                </m:ctrlPr>
              </m:sSubPr>
              <m:e>
                <m:r>
                  <w:rPr>
                    <w:rFonts w:ascii="Cambria Math" w:eastAsia="Cambria Math" w:hAnsi="Cambria Math" w:cs="Times New Roman"/>
                    <w:sz w:val="20"/>
                    <w:szCs w:val="20"/>
                    <w:highlight w:val="yellow"/>
                  </w:rPr>
                  <m:t>X</m:t>
                </m:r>
              </m:e>
              <m:sub>
                <m:r>
                  <w:rPr>
                    <w:rFonts w:ascii="Cambria Math" w:eastAsia="Cambria Math" w:hAnsi="Cambria Math" w:cs="Times New Roman"/>
                    <w:sz w:val="20"/>
                    <w:szCs w:val="20"/>
                    <w:highlight w:val="yellow"/>
                  </w:rPr>
                  <m:t>n</m:t>
                </m:r>
              </m:sub>
            </m:sSub>
            <m:r>
              <w:rPr>
                <w:rFonts w:ascii="Cambria Math" w:eastAsia="Cambria Math" w:hAnsi="Cambria Math" w:cs="Times New Roman"/>
                <w:sz w:val="20"/>
                <w:szCs w:val="20"/>
                <w:highlight w:val="yellow"/>
              </w:rPr>
              <m:t>+ϵ</m:t>
            </m:r>
          </m:e>
        </m:d>
      </m:oMath>
      <w:r w:rsidRPr="00C431D3">
        <w:rPr>
          <w:rFonts w:ascii="Times New Roman" w:eastAsia="Times New Roman" w:hAnsi="Times New Roman" w:cs="Times New Roman"/>
          <w:sz w:val="20"/>
          <w:szCs w:val="20"/>
          <w:highlight w:val="yellow"/>
        </w:rPr>
        <w:t xml:space="preserve">, providing interpretability of how individual factors like humidity, wind speed, or greenhouse gas concentration affect temperature or precipitation. </w:t>
      </w:r>
      <w:r w:rsidR="00520FCD" w:rsidRPr="00C431D3">
        <w:rPr>
          <w:rFonts w:ascii="Times New Roman" w:eastAsia="Times New Roman" w:hAnsi="Times New Roman" w:cs="Times New Roman"/>
          <w:sz w:val="20"/>
          <w:szCs w:val="20"/>
          <w:highlight w:val="yellow"/>
        </w:rPr>
        <w:t xml:space="preserve">It </w:t>
      </w:r>
      <w:r w:rsidR="00520FCD" w:rsidRPr="00520FCD">
        <w:rPr>
          <w:rFonts w:ascii="Times New Roman" w:eastAsia="Times New Roman" w:hAnsi="Times New Roman" w:cs="Times New Roman"/>
          <w:sz w:val="20"/>
          <w:szCs w:val="20"/>
          <w:highlight w:val="yellow"/>
        </w:rPr>
        <w:t xml:space="preserve">has been </w:t>
      </w:r>
      <w:r w:rsidR="00912CF5">
        <w:rPr>
          <w:rFonts w:ascii="Times New Roman" w:eastAsia="Times New Roman" w:hAnsi="Times New Roman" w:cs="Times New Roman"/>
          <w:sz w:val="20"/>
          <w:szCs w:val="20"/>
          <w:highlight w:val="yellow"/>
        </w:rPr>
        <w:t xml:space="preserve">also </w:t>
      </w:r>
      <w:r w:rsidR="00520FCD" w:rsidRPr="00520FCD">
        <w:rPr>
          <w:rFonts w:ascii="Times New Roman" w:eastAsia="Times New Roman" w:hAnsi="Times New Roman" w:cs="Times New Roman"/>
          <w:sz w:val="20"/>
          <w:szCs w:val="20"/>
          <w:highlight w:val="yellow"/>
        </w:rPr>
        <w:t>successfully applied in other domain</w:t>
      </w:r>
      <w:r w:rsidR="00CB0470">
        <w:rPr>
          <w:rFonts w:ascii="Times New Roman" w:eastAsia="Times New Roman" w:hAnsi="Times New Roman" w:cs="Times New Roman"/>
          <w:sz w:val="20"/>
          <w:szCs w:val="20"/>
          <w:highlight w:val="yellow"/>
        </w:rPr>
        <w:t>s</w:t>
      </w:r>
      <w:r w:rsidR="00520FCD" w:rsidRPr="00520FCD">
        <w:rPr>
          <w:rFonts w:ascii="Times New Roman" w:eastAsia="Times New Roman" w:hAnsi="Times New Roman" w:cs="Times New Roman"/>
          <w:sz w:val="20"/>
          <w:szCs w:val="20"/>
          <w:highlight w:val="yellow"/>
        </w:rPr>
        <w:t>, where the model expresses the dependent variable as a weighted sum of multiple features</w:t>
      </w:r>
      <w:r w:rsidR="00CB0470">
        <w:rPr>
          <w:rFonts w:ascii="Times New Roman" w:eastAsia="Times New Roman" w:hAnsi="Times New Roman" w:cs="Times New Roman"/>
          <w:sz w:val="20"/>
          <w:szCs w:val="20"/>
          <w:highlight w:val="yellow"/>
        </w:rPr>
        <w:t xml:space="preserve"> [2</w:t>
      </w:r>
      <w:r w:rsidR="00450DE4">
        <w:rPr>
          <w:rFonts w:ascii="Times New Roman" w:eastAsia="Times New Roman" w:hAnsi="Times New Roman" w:cs="Times New Roman"/>
          <w:sz w:val="20"/>
          <w:szCs w:val="20"/>
          <w:highlight w:val="yellow"/>
        </w:rPr>
        <w:t>4</w:t>
      </w:r>
      <w:r w:rsidR="00CB0470">
        <w:rPr>
          <w:rFonts w:ascii="Times New Roman" w:eastAsia="Times New Roman" w:hAnsi="Times New Roman" w:cs="Times New Roman"/>
          <w:sz w:val="20"/>
          <w:szCs w:val="20"/>
          <w:highlight w:val="yellow"/>
        </w:rPr>
        <w:t>]</w:t>
      </w:r>
      <w:r w:rsidR="00520FCD" w:rsidRPr="00520FCD">
        <w:rPr>
          <w:rFonts w:ascii="Times New Roman" w:eastAsia="Times New Roman" w:hAnsi="Times New Roman" w:cs="Times New Roman"/>
          <w:sz w:val="20"/>
          <w:szCs w:val="20"/>
          <w:highlight w:val="yellow"/>
        </w:rPr>
        <w:t>.</w:t>
      </w:r>
      <w:r w:rsidR="00520FCD">
        <w:rPr>
          <w:rFonts w:ascii="Times New Roman" w:eastAsia="Times New Roman" w:hAnsi="Times New Roman" w:cs="Times New Roman"/>
          <w:sz w:val="20"/>
          <w:szCs w:val="20"/>
        </w:rPr>
        <w:t xml:space="preserve"> </w:t>
      </w:r>
    </w:p>
    <w:p w14:paraId="71DA752C" w14:textId="77777777" w:rsidR="00A05DD1" w:rsidRPr="001D7B15" w:rsidRDefault="00A05DD1">
      <w:pPr>
        <w:spacing w:after="0"/>
        <w:jc w:val="both"/>
        <w:rPr>
          <w:rFonts w:ascii="Times New Roman" w:eastAsia="Times New Roman" w:hAnsi="Times New Roman" w:cs="Times New Roman"/>
          <w:sz w:val="20"/>
          <w:szCs w:val="20"/>
        </w:rPr>
      </w:pPr>
    </w:p>
    <w:p w14:paraId="64CDFCA3" w14:textId="77777777" w:rsidR="00A05DD1" w:rsidRPr="001D7B15" w:rsidRDefault="00000000">
      <w:pPr>
        <w:numPr>
          <w:ilvl w:val="0"/>
          <w:numId w:val="1"/>
        </w:numPr>
        <w:pBdr>
          <w:top w:val="nil"/>
          <w:left w:val="nil"/>
          <w:bottom w:val="nil"/>
          <w:right w:val="nil"/>
          <w:between w:val="nil"/>
        </w:pBdr>
        <w:ind w:hanging="87"/>
        <w:rPr>
          <w:rFonts w:ascii="Times New Roman" w:eastAsia="Times New Roman" w:hAnsi="Times New Roman" w:cs="Times New Roman"/>
          <w:color w:val="000000"/>
          <w:sz w:val="20"/>
          <w:szCs w:val="20"/>
        </w:rPr>
      </w:pPr>
      <w:r w:rsidRPr="001D7B15">
        <w:rPr>
          <w:rFonts w:ascii="Times New Roman" w:eastAsia="Times New Roman" w:hAnsi="Times New Roman" w:cs="Times New Roman"/>
          <w:color w:val="000000"/>
          <w:sz w:val="20"/>
          <w:szCs w:val="20"/>
        </w:rPr>
        <w:t>RESULTS</w:t>
      </w:r>
    </w:p>
    <w:p w14:paraId="6571D174" w14:textId="79946F90" w:rsidR="00813BCE" w:rsidRPr="001D7B15" w:rsidRDefault="00813BCE" w:rsidP="00F9298E">
      <w:pPr>
        <w:spacing w:after="80"/>
        <w:jc w:val="both"/>
        <w:rPr>
          <w:rFonts w:ascii="Times New Roman" w:eastAsia="Times New Roman" w:hAnsi="Times New Roman" w:cs="Times New Roman"/>
          <w:sz w:val="20"/>
          <w:szCs w:val="20"/>
        </w:rPr>
      </w:pPr>
      <w:r w:rsidRPr="001D7B15">
        <w:rPr>
          <w:rFonts w:ascii="Times New Roman" w:eastAsia="Times New Roman" w:hAnsi="Times New Roman" w:cs="Times New Roman"/>
          <w:sz w:val="20"/>
          <w:szCs w:val="20"/>
        </w:rPr>
        <w:t xml:space="preserve">In this section, the possibilities of forecasting models in terms of performance measures are evaluated with the use of MAE, RMSE and MAPE. The evaluation may be seen as a comparative assessment of the accuracy and effectiveness of competing methods applicable to the forecasting of weather and other climatic anomalies in the world and </w:t>
      </w:r>
      <w:r w:rsidR="001D7B15" w:rsidRPr="001D7B15">
        <w:rPr>
          <w:rFonts w:ascii="Times New Roman" w:eastAsia="Times New Roman" w:hAnsi="Times New Roman" w:cs="Times New Roman"/>
          <w:sz w:val="20"/>
          <w:szCs w:val="20"/>
        </w:rPr>
        <w:t>at</w:t>
      </w:r>
      <w:r w:rsidRPr="001D7B15">
        <w:rPr>
          <w:rFonts w:ascii="Times New Roman" w:eastAsia="Times New Roman" w:hAnsi="Times New Roman" w:cs="Times New Roman"/>
          <w:sz w:val="20"/>
          <w:szCs w:val="20"/>
        </w:rPr>
        <w:t xml:space="preserve"> the level of a country.</w:t>
      </w:r>
    </w:p>
    <w:p w14:paraId="4048EAF6" w14:textId="611E60BB" w:rsidR="00A05DD1" w:rsidRPr="001D7B15" w:rsidRDefault="00000000" w:rsidP="00F9298E">
      <w:pPr>
        <w:spacing w:after="80"/>
        <w:jc w:val="both"/>
        <w:rPr>
          <w:rFonts w:ascii="Times New Roman" w:eastAsia="Times New Roman" w:hAnsi="Times New Roman" w:cs="Times New Roman"/>
          <w:sz w:val="16"/>
          <w:szCs w:val="16"/>
        </w:rPr>
      </w:pPr>
      <w:r w:rsidRPr="00267A13">
        <w:rPr>
          <w:rFonts w:ascii="Times New Roman" w:eastAsia="Times New Roman" w:hAnsi="Times New Roman" w:cs="Times New Roman"/>
          <w:b/>
          <w:bCs/>
          <w:sz w:val="16"/>
          <w:szCs w:val="16"/>
        </w:rPr>
        <w:t>Table 2:</w:t>
      </w:r>
      <w:r w:rsidRPr="001D7B15">
        <w:rPr>
          <w:rFonts w:ascii="Times New Roman" w:eastAsia="Times New Roman" w:hAnsi="Times New Roman" w:cs="Times New Roman"/>
          <w:sz w:val="16"/>
          <w:szCs w:val="16"/>
        </w:rPr>
        <w:t xml:space="preserve"> Comparative Performance of Forecasting Models </w:t>
      </w:r>
    </w:p>
    <w:tbl>
      <w:tblPr>
        <w:tblStyle w:val="a1"/>
        <w:tblW w:w="4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09"/>
        <w:gridCol w:w="851"/>
        <w:gridCol w:w="1104"/>
      </w:tblGrid>
      <w:tr w:rsidR="00A05DD1" w:rsidRPr="001D7B15" w14:paraId="407332F3" w14:textId="77777777">
        <w:tc>
          <w:tcPr>
            <w:tcW w:w="1696" w:type="dxa"/>
          </w:tcPr>
          <w:p w14:paraId="486AB011" w14:textId="77777777" w:rsidR="00A05DD1" w:rsidRPr="001D7B15" w:rsidRDefault="00000000">
            <w:pPr>
              <w:spacing w:line="259" w:lineRule="auto"/>
              <w:rPr>
                <w:rFonts w:ascii="Times New Roman" w:eastAsia="Times New Roman" w:hAnsi="Times New Roman" w:cs="Times New Roman"/>
                <w:b/>
                <w:bCs/>
                <w:sz w:val="16"/>
                <w:szCs w:val="16"/>
              </w:rPr>
            </w:pPr>
            <w:r w:rsidRPr="001D7B15">
              <w:rPr>
                <w:rFonts w:ascii="Times New Roman" w:eastAsia="Times New Roman" w:hAnsi="Times New Roman" w:cs="Times New Roman"/>
                <w:b/>
                <w:bCs/>
                <w:sz w:val="16"/>
                <w:szCs w:val="16"/>
              </w:rPr>
              <w:t>Model</w:t>
            </w:r>
          </w:p>
        </w:tc>
        <w:tc>
          <w:tcPr>
            <w:tcW w:w="709" w:type="dxa"/>
          </w:tcPr>
          <w:p w14:paraId="3FF147B4" w14:textId="77777777" w:rsidR="00A05DD1" w:rsidRPr="001D7B15" w:rsidRDefault="00000000">
            <w:pPr>
              <w:spacing w:line="259" w:lineRule="auto"/>
              <w:rPr>
                <w:rFonts w:ascii="Times New Roman" w:eastAsia="Times New Roman" w:hAnsi="Times New Roman" w:cs="Times New Roman"/>
                <w:b/>
                <w:bCs/>
                <w:sz w:val="16"/>
                <w:szCs w:val="16"/>
              </w:rPr>
            </w:pPr>
            <w:r w:rsidRPr="001D7B15">
              <w:rPr>
                <w:rFonts w:ascii="Times New Roman" w:eastAsia="Times New Roman" w:hAnsi="Times New Roman" w:cs="Times New Roman"/>
                <w:b/>
                <w:bCs/>
                <w:sz w:val="16"/>
                <w:szCs w:val="16"/>
              </w:rPr>
              <w:t>MAE</w:t>
            </w:r>
          </w:p>
        </w:tc>
        <w:tc>
          <w:tcPr>
            <w:tcW w:w="851" w:type="dxa"/>
          </w:tcPr>
          <w:p w14:paraId="2658A1D4" w14:textId="77777777" w:rsidR="00A05DD1" w:rsidRPr="001D7B15" w:rsidRDefault="00000000">
            <w:pPr>
              <w:spacing w:line="259" w:lineRule="auto"/>
              <w:rPr>
                <w:rFonts w:ascii="Times New Roman" w:eastAsia="Times New Roman" w:hAnsi="Times New Roman" w:cs="Times New Roman"/>
                <w:b/>
                <w:bCs/>
                <w:sz w:val="16"/>
                <w:szCs w:val="16"/>
              </w:rPr>
            </w:pPr>
            <w:r w:rsidRPr="001D7B15">
              <w:rPr>
                <w:rFonts w:ascii="Times New Roman" w:eastAsia="Times New Roman" w:hAnsi="Times New Roman" w:cs="Times New Roman"/>
                <w:b/>
                <w:bCs/>
                <w:sz w:val="16"/>
                <w:szCs w:val="16"/>
              </w:rPr>
              <w:t>RMSE</w:t>
            </w:r>
          </w:p>
        </w:tc>
        <w:tc>
          <w:tcPr>
            <w:tcW w:w="1104" w:type="dxa"/>
          </w:tcPr>
          <w:p w14:paraId="314508E6" w14:textId="77777777" w:rsidR="00A05DD1" w:rsidRPr="001D7B15" w:rsidRDefault="00000000">
            <w:pPr>
              <w:spacing w:line="259" w:lineRule="auto"/>
              <w:rPr>
                <w:rFonts w:ascii="Times New Roman" w:eastAsia="Times New Roman" w:hAnsi="Times New Roman" w:cs="Times New Roman"/>
                <w:b/>
                <w:bCs/>
                <w:sz w:val="16"/>
                <w:szCs w:val="16"/>
              </w:rPr>
            </w:pPr>
            <w:r w:rsidRPr="001D7B15">
              <w:rPr>
                <w:rFonts w:ascii="Times New Roman" w:eastAsia="Times New Roman" w:hAnsi="Times New Roman" w:cs="Times New Roman"/>
                <w:b/>
                <w:bCs/>
                <w:sz w:val="16"/>
                <w:szCs w:val="16"/>
              </w:rPr>
              <w:t>MAPE (%)</w:t>
            </w:r>
          </w:p>
        </w:tc>
      </w:tr>
      <w:tr w:rsidR="00A05DD1" w:rsidRPr="001D7B15" w14:paraId="7B79C98D" w14:textId="77777777">
        <w:tc>
          <w:tcPr>
            <w:tcW w:w="1696" w:type="dxa"/>
          </w:tcPr>
          <w:p w14:paraId="1E76747D"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ARIMA</w:t>
            </w:r>
          </w:p>
        </w:tc>
        <w:tc>
          <w:tcPr>
            <w:tcW w:w="709" w:type="dxa"/>
          </w:tcPr>
          <w:p w14:paraId="415F9B94"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0.2184</w:t>
            </w:r>
          </w:p>
        </w:tc>
        <w:tc>
          <w:tcPr>
            <w:tcW w:w="851" w:type="dxa"/>
          </w:tcPr>
          <w:p w14:paraId="0BE05123"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0.2473</w:t>
            </w:r>
          </w:p>
        </w:tc>
        <w:tc>
          <w:tcPr>
            <w:tcW w:w="1104" w:type="dxa"/>
          </w:tcPr>
          <w:p w14:paraId="3795736C"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15.29</w:t>
            </w:r>
          </w:p>
        </w:tc>
      </w:tr>
      <w:tr w:rsidR="00A05DD1" w:rsidRPr="001D7B15" w14:paraId="4A651DF0" w14:textId="77777777">
        <w:tc>
          <w:tcPr>
            <w:tcW w:w="1696" w:type="dxa"/>
          </w:tcPr>
          <w:p w14:paraId="0A3625D4"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Holt-Winters</w:t>
            </w:r>
          </w:p>
        </w:tc>
        <w:tc>
          <w:tcPr>
            <w:tcW w:w="709" w:type="dxa"/>
          </w:tcPr>
          <w:p w14:paraId="5A55F661"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0.1868</w:t>
            </w:r>
          </w:p>
        </w:tc>
        <w:tc>
          <w:tcPr>
            <w:tcW w:w="851" w:type="dxa"/>
          </w:tcPr>
          <w:p w14:paraId="2ED9C234"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0.2083</w:t>
            </w:r>
          </w:p>
        </w:tc>
        <w:tc>
          <w:tcPr>
            <w:tcW w:w="1104" w:type="dxa"/>
          </w:tcPr>
          <w:p w14:paraId="72FC0BFF"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13.13</w:t>
            </w:r>
          </w:p>
        </w:tc>
      </w:tr>
      <w:tr w:rsidR="00A05DD1" w:rsidRPr="001D7B15" w14:paraId="085031C4" w14:textId="77777777">
        <w:tc>
          <w:tcPr>
            <w:tcW w:w="1696" w:type="dxa"/>
          </w:tcPr>
          <w:p w14:paraId="243A5409"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Linear Regression</w:t>
            </w:r>
          </w:p>
        </w:tc>
        <w:tc>
          <w:tcPr>
            <w:tcW w:w="709" w:type="dxa"/>
          </w:tcPr>
          <w:p w14:paraId="6CB69A8F"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0.2550</w:t>
            </w:r>
          </w:p>
        </w:tc>
        <w:tc>
          <w:tcPr>
            <w:tcW w:w="851" w:type="dxa"/>
          </w:tcPr>
          <w:p w14:paraId="3454501E"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0.2712</w:t>
            </w:r>
          </w:p>
        </w:tc>
        <w:tc>
          <w:tcPr>
            <w:tcW w:w="1104" w:type="dxa"/>
          </w:tcPr>
          <w:p w14:paraId="21926598"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18.04</w:t>
            </w:r>
          </w:p>
        </w:tc>
      </w:tr>
      <w:tr w:rsidR="00A05DD1" w:rsidRPr="001D7B15" w14:paraId="3D024C37" w14:textId="77777777">
        <w:tc>
          <w:tcPr>
            <w:tcW w:w="1696" w:type="dxa"/>
          </w:tcPr>
          <w:p w14:paraId="0791F2DD"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Ridge Regression</w:t>
            </w:r>
          </w:p>
        </w:tc>
        <w:tc>
          <w:tcPr>
            <w:tcW w:w="709" w:type="dxa"/>
          </w:tcPr>
          <w:p w14:paraId="051EC6C7"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0.2551</w:t>
            </w:r>
          </w:p>
        </w:tc>
        <w:tc>
          <w:tcPr>
            <w:tcW w:w="851" w:type="dxa"/>
          </w:tcPr>
          <w:p w14:paraId="08BC8681"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0.2712</w:t>
            </w:r>
          </w:p>
        </w:tc>
        <w:tc>
          <w:tcPr>
            <w:tcW w:w="1104" w:type="dxa"/>
          </w:tcPr>
          <w:p w14:paraId="4380BDE8"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18.05</w:t>
            </w:r>
          </w:p>
        </w:tc>
      </w:tr>
      <w:tr w:rsidR="00A05DD1" w:rsidRPr="001D7B15" w14:paraId="75EE5657" w14:textId="77777777">
        <w:tc>
          <w:tcPr>
            <w:tcW w:w="1696" w:type="dxa"/>
          </w:tcPr>
          <w:p w14:paraId="1C32B924"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Random Forest</w:t>
            </w:r>
          </w:p>
        </w:tc>
        <w:tc>
          <w:tcPr>
            <w:tcW w:w="709" w:type="dxa"/>
          </w:tcPr>
          <w:p w14:paraId="60F567C7"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0.2130</w:t>
            </w:r>
          </w:p>
        </w:tc>
        <w:tc>
          <w:tcPr>
            <w:tcW w:w="851" w:type="dxa"/>
          </w:tcPr>
          <w:p w14:paraId="419B24FE"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0.2302</w:t>
            </w:r>
          </w:p>
        </w:tc>
        <w:tc>
          <w:tcPr>
            <w:tcW w:w="1104" w:type="dxa"/>
          </w:tcPr>
          <w:p w14:paraId="77E70D18"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14.98</w:t>
            </w:r>
          </w:p>
        </w:tc>
      </w:tr>
    </w:tbl>
    <w:p w14:paraId="3BA8816D" w14:textId="351F31F4" w:rsidR="00F9298E" w:rsidRDefault="00000000" w:rsidP="00F9298E">
      <w:pPr>
        <w:spacing w:after="80"/>
        <w:jc w:val="both"/>
        <w:rPr>
          <w:rFonts w:ascii="Times New Roman" w:eastAsia="Times New Roman" w:hAnsi="Times New Roman" w:cs="Times New Roman"/>
          <w:sz w:val="20"/>
          <w:szCs w:val="20"/>
        </w:rPr>
      </w:pPr>
      <w:r w:rsidRPr="001D7B15">
        <w:rPr>
          <w:rFonts w:ascii="Times New Roman" w:eastAsia="Times New Roman" w:hAnsi="Times New Roman" w:cs="Times New Roman"/>
          <w:sz w:val="20"/>
          <w:szCs w:val="20"/>
        </w:rPr>
        <w:t xml:space="preserve">In Table 2, among the models tested, the Holt-Winters method performs the best, achieving the lowest MAE (0.1868), RMSE (0.2083), and MAPE (13.13%), indicating its strong capability in capturing seasonal and trend components in the global data. </w:t>
      </w:r>
      <w:r w:rsidR="00C90071" w:rsidRPr="001D7B15">
        <w:rPr>
          <w:rFonts w:ascii="Times New Roman" w:eastAsia="Times New Roman" w:hAnsi="Times New Roman" w:cs="Times New Roman"/>
          <w:sz w:val="20"/>
          <w:szCs w:val="20"/>
        </w:rPr>
        <w:t xml:space="preserve">The ARIMA </w:t>
      </w:r>
      <w:r w:rsidR="00C90071" w:rsidRPr="001D7B15">
        <w:rPr>
          <w:rFonts w:ascii="Times New Roman" w:eastAsia="Times New Roman" w:hAnsi="Times New Roman" w:cs="Times New Roman"/>
          <w:sz w:val="20"/>
          <w:szCs w:val="20"/>
        </w:rPr>
        <w:lastRenderedPageBreak/>
        <w:t>model, on the other hand, delivers performance that is just the same as Holt-Winters with an MAE of 0.2184 and MAPE of 15.29% as compared the latter. Conversely, simple Linear and Ridge Regression give the worst performance (MAPE around 18.04–18.05%), indicating that the patterns of global temperature may be too complex and simple linear relationships will not work. The Random Forest model, however, is above both linear models by a margin of 1.5% MAPE as it takes advantage of the non-linear nature of the data. This comparison draws attention to the necessity of model selection that considers temporal dynamics in climate-related variable forecasting.</w:t>
      </w:r>
    </w:p>
    <w:p w14:paraId="05C2428A" w14:textId="3BA2F763" w:rsidR="00A05DD1" w:rsidRPr="001D7B15" w:rsidRDefault="00000000" w:rsidP="00F9298E">
      <w:pPr>
        <w:spacing w:after="80"/>
        <w:jc w:val="both"/>
        <w:rPr>
          <w:rFonts w:ascii="Times New Roman" w:eastAsia="Times New Roman" w:hAnsi="Times New Roman" w:cs="Times New Roman"/>
          <w:sz w:val="16"/>
          <w:szCs w:val="16"/>
        </w:rPr>
      </w:pPr>
      <w:r w:rsidRPr="00267A13">
        <w:rPr>
          <w:rFonts w:ascii="Times New Roman" w:eastAsia="Times New Roman" w:hAnsi="Times New Roman" w:cs="Times New Roman"/>
          <w:b/>
          <w:bCs/>
          <w:sz w:val="16"/>
          <w:szCs w:val="16"/>
        </w:rPr>
        <w:t>Table 3:</w:t>
      </w:r>
      <w:r w:rsidRPr="001D7B15">
        <w:rPr>
          <w:rFonts w:ascii="Times New Roman" w:eastAsia="Times New Roman" w:hAnsi="Times New Roman" w:cs="Times New Roman"/>
          <w:sz w:val="16"/>
          <w:szCs w:val="16"/>
        </w:rPr>
        <w:t xml:space="preserve"> Country-wise Performance of Forecasting Models for predicting climate conditions</w:t>
      </w:r>
    </w:p>
    <w:tbl>
      <w:tblPr>
        <w:tblStyle w:val="a2"/>
        <w:tblW w:w="43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5"/>
        <w:gridCol w:w="1256"/>
        <w:gridCol w:w="590"/>
        <w:gridCol w:w="679"/>
        <w:gridCol w:w="972"/>
      </w:tblGrid>
      <w:tr w:rsidR="00A05DD1" w:rsidRPr="001D7B15" w14:paraId="6BB479EB" w14:textId="77777777">
        <w:tc>
          <w:tcPr>
            <w:tcW w:w="865" w:type="dxa"/>
          </w:tcPr>
          <w:p w14:paraId="087F64D4" w14:textId="77777777" w:rsidR="00A05DD1" w:rsidRPr="001D7B15" w:rsidRDefault="00000000">
            <w:pPr>
              <w:spacing w:line="259" w:lineRule="auto"/>
              <w:rPr>
                <w:rFonts w:ascii="Times New Roman" w:eastAsia="Times New Roman" w:hAnsi="Times New Roman" w:cs="Times New Roman"/>
                <w:b/>
                <w:bCs/>
                <w:sz w:val="16"/>
                <w:szCs w:val="16"/>
              </w:rPr>
            </w:pPr>
            <w:r w:rsidRPr="001D7B15">
              <w:rPr>
                <w:rFonts w:ascii="Times New Roman" w:eastAsia="Times New Roman" w:hAnsi="Times New Roman" w:cs="Times New Roman"/>
                <w:b/>
                <w:bCs/>
                <w:sz w:val="16"/>
                <w:szCs w:val="16"/>
              </w:rPr>
              <w:t>Country</w:t>
            </w:r>
          </w:p>
        </w:tc>
        <w:tc>
          <w:tcPr>
            <w:tcW w:w="1256" w:type="dxa"/>
          </w:tcPr>
          <w:p w14:paraId="1A4BD170" w14:textId="77777777" w:rsidR="00A05DD1" w:rsidRPr="001D7B15" w:rsidRDefault="00000000">
            <w:pPr>
              <w:spacing w:line="259" w:lineRule="auto"/>
              <w:rPr>
                <w:rFonts w:ascii="Times New Roman" w:eastAsia="Times New Roman" w:hAnsi="Times New Roman" w:cs="Times New Roman"/>
                <w:b/>
                <w:bCs/>
                <w:sz w:val="16"/>
                <w:szCs w:val="16"/>
              </w:rPr>
            </w:pPr>
            <w:r w:rsidRPr="001D7B15">
              <w:rPr>
                <w:rFonts w:ascii="Times New Roman" w:eastAsia="Times New Roman" w:hAnsi="Times New Roman" w:cs="Times New Roman"/>
                <w:b/>
                <w:bCs/>
                <w:sz w:val="16"/>
                <w:szCs w:val="16"/>
              </w:rPr>
              <w:t>Model</w:t>
            </w:r>
          </w:p>
        </w:tc>
        <w:tc>
          <w:tcPr>
            <w:tcW w:w="590" w:type="dxa"/>
          </w:tcPr>
          <w:p w14:paraId="69AE86E8" w14:textId="77777777" w:rsidR="00A05DD1" w:rsidRPr="001D7B15" w:rsidRDefault="00000000">
            <w:pPr>
              <w:spacing w:line="259" w:lineRule="auto"/>
              <w:rPr>
                <w:rFonts w:ascii="Times New Roman" w:eastAsia="Times New Roman" w:hAnsi="Times New Roman" w:cs="Times New Roman"/>
                <w:b/>
                <w:bCs/>
                <w:sz w:val="16"/>
                <w:szCs w:val="16"/>
              </w:rPr>
            </w:pPr>
            <w:r w:rsidRPr="001D7B15">
              <w:rPr>
                <w:rFonts w:ascii="Times New Roman" w:eastAsia="Times New Roman" w:hAnsi="Times New Roman" w:cs="Times New Roman"/>
                <w:b/>
                <w:bCs/>
                <w:sz w:val="16"/>
                <w:szCs w:val="16"/>
              </w:rPr>
              <w:t>MAE</w:t>
            </w:r>
          </w:p>
        </w:tc>
        <w:tc>
          <w:tcPr>
            <w:tcW w:w="679" w:type="dxa"/>
          </w:tcPr>
          <w:p w14:paraId="677A6E96" w14:textId="77777777" w:rsidR="00A05DD1" w:rsidRPr="001D7B15" w:rsidRDefault="00000000">
            <w:pPr>
              <w:spacing w:line="259" w:lineRule="auto"/>
              <w:rPr>
                <w:rFonts w:ascii="Times New Roman" w:eastAsia="Times New Roman" w:hAnsi="Times New Roman" w:cs="Times New Roman"/>
                <w:b/>
                <w:bCs/>
                <w:sz w:val="16"/>
                <w:szCs w:val="16"/>
              </w:rPr>
            </w:pPr>
            <w:r w:rsidRPr="001D7B15">
              <w:rPr>
                <w:rFonts w:ascii="Times New Roman" w:eastAsia="Times New Roman" w:hAnsi="Times New Roman" w:cs="Times New Roman"/>
                <w:b/>
                <w:bCs/>
                <w:sz w:val="16"/>
                <w:szCs w:val="16"/>
              </w:rPr>
              <w:t>RMSE</w:t>
            </w:r>
          </w:p>
        </w:tc>
        <w:tc>
          <w:tcPr>
            <w:tcW w:w="972" w:type="dxa"/>
          </w:tcPr>
          <w:p w14:paraId="5EF15771" w14:textId="7C7D72C3" w:rsidR="00A05DD1" w:rsidRPr="001D7B15" w:rsidRDefault="00000000">
            <w:pPr>
              <w:spacing w:line="259" w:lineRule="auto"/>
              <w:rPr>
                <w:rFonts w:ascii="Times New Roman" w:eastAsia="Times New Roman" w:hAnsi="Times New Roman" w:cs="Times New Roman"/>
                <w:b/>
                <w:bCs/>
                <w:sz w:val="16"/>
                <w:szCs w:val="16"/>
              </w:rPr>
            </w:pPr>
            <w:r w:rsidRPr="001D7B15">
              <w:rPr>
                <w:rFonts w:ascii="Times New Roman" w:eastAsia="Times New Roman" w:hAnsi="Times New Roman" w:cs="Times New Roman"/>
                <w:b/>
                <w:bCs/>
                <w:sz w:val="16"/>
                <w:szCs w:val="16"/>
              </w:rPr>
              <w:t>MAPE</w:t>
            </w:r>
            <w:r w:rsidR="00267A13">
              <w:rPr>
                <w:rFonts w:ascii="Times New Roman" w:eastAsia="Times New Roman" w:hAnsi="Times New Roman" w:cs="Times New Roman"/>
                <w:b/>
                <w:bCs/>
                <w:sz w:val="16"/>
                <w:szCs w:val="16"/>
              </w:rPr>
              <w:t xml:space="preserve"> </w:t>
            </w:r>
            <w:r w:rsidR="00D93AD1">
              <w:rPr>
                <w:rFonts w:ascii="Times New Roman" w:eastAsia="Times New Roman" w:hAnsi="Times New Roman" w:cs="Times New Roman"/>
                <w:b/>
                <w:bCs/>
                <w:sz w:val="16"/>
                <w:szCs w:val="16"/>
              </w:rPr>
              <w:t>(%)</w:t>
            </w:r>
          </w:p>
        </w:tc>
      </w:tr>
      <w:tr w:rsidR="00A05DD1" w:rsidRPr="001D7B15" w14:paraId="30E2B6EC" w14:textId="77777777">
        <w:tc>
          <w:tcPr>
            <w:tcW w:w="865" w:type="dxa"/>
            <w:vMerge w:val="restart"/>
          </w:tcPr>
          <w:p w14:paraId="05B60D7B"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b/>
                <w:bCs/>
                <w:sz w:val="16"/>
                <w:szCs w:val="16"/>
              </w:rPr>
              <w:t>India</w:t>
            </w:r>
          </w:p>
        </w:tc>
        <w:tc>
          <w:tcPr>
            <w:tcW w:w="1256" w:type="dxa"/>
          </w:tcPr>
          <w:p w14:paraId="342FEABF"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Holt-Winters</w:t>
            </w:r>
          </w:p>
        </w:tc>
        <w:tc>
          <w:tcPr>
            <w:tcW w:w="590" w:type="dxa"/>
          </w:tcPr>
          <w:p w14:paraId="2D4D6AAB"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0.175</w:t>
            </w:r>
          </w:p>
        </w:tc>
        <w:tc>
          <w:tcPr>
            <w:tcW w:w="679" w:type="dxa"/>
          </w:tcPr>
          <w:p w14:paraId="0E01EE54"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0.221</w:t>
            </w:r>
          </w:p>
        </w:tc>
        <w:tc>
          <w:tcPr>
            <w:tcW w:w="972" w:type="dxa"/>
          </w:tcPr>
          <w:p w14:paraId="7B20B593"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20.68</w:t>
            </w:r>
          </w:p>
        </w:tc>
      </w:tr>
      <w:tr w:rsidR="00A05DD1" w:rsidRPr="001D7B15" w14:paraId="42C2ADD6" w14:textId="77777777">
        <w:tc>
          <w:tcPr>
            <w:tcW w:w="865" w:type="dxa"/>
            <w:vMerge/>
          </w:tcPr>
          <w:p w14:paraId="04905295" w14:textId="77777777" w:rsidR="00A05DD1" w:rsidRPr="001D7B15" w:rsidRDefault="00A05DD1">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256" w:type="dxa"/>
          </w:tcPr>
          <w:p w14:paraId="2FBCBF40"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Linear Reg.</w:t>
            </w:r>
          </w:p>
        </w:tc>
        <w:tc>
          <w:tcPr>
            <w:tcW w:w="590" w:type="dxa"/>
          </w:tcPr>
          <w:p w14:paraId="7701B8AA"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0.164</w:t>
            </w:r>
          </w:p>
        </w:tc>
        <w:tc>
          <w:tcPr>
            <w:tcW w:w="679" w:type="dxa"/>
          </w:tcPr>
          <w:p w14:paraId="1816375D"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0.210</w:t>
            </w:r>
          </w:p>
        </w:tc>
        <w:tc>
          <w:tcPr>
            <w:tcW w:w="972" w:type="dxa"/>
          </w:tcPr>
          <w:p w14:paraId="2756A9F4"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19.89</w:t>
            </w:r>
          </w:p>
        </w:tc>
      </w:tr>
      <w:tr w:rsidR="00A05DD1" w:rsidRPr="001D7B15" w14:paraId="68EF35E7" w14:textId="77777777">
        <w:tc>
          <w:tcPr>
            <w:tcW w:w="865" w:type="dxa"/>
            <w:vMerge/>
          </w:tcPr>
          <w:p w14:paraId="4193CD6C" w14:textId="77777777" w:rsidR="00A05DD1" w:rsidRPr="001D7B15" w:rsidRDefault="00A05DD1">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256" w:type="dxa"/>
          </w:tcPr>
          <w:p w14:paraId="5E3C8A8A"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Ridge Reg.</w:t>
            </w:r>
          </w:p>
        </w:tc>
        <w:tc>
          <w:tcPr>
            <w:tcW w:w="590" w:type="dxa"/>
          </w:tcPr>
          <w:p w14:paraId="539BB5F6"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0.164</w:t>
            </w:r>
          </w:p>
        </w:tc>
        <w:tc>
          <w:tcPr>
            <w:tcW w:w="679" w:type="dxa"/>
          </w:tcPr>
          <w:p w14:paraId="17A07271"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0.210</w:t>
            </w:r>
          </w:p>
        </w:tc>
        <w:tc>
          <w:tcPr>
            <w:tcW w:w="972" w:type="dxa"/>
          </w:tcPr>
          <w:p w14:paraId="015304E3"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19.89</w:t>
            </w:r>
          </w:p>
        </w:tc>
      </w:tr>
      <w:tr w:rsidR="00A05DD1" w:rsidRPr="001D7B15" w14:paraId="07028EBB" w14:textId="77777777">
        <w:tc>
          <w:tcPr>
            <w:tcW w:w="865" w:type="dxa"/>
            <w:vMerge/>
          </w:tcPr>
          <w:p w14:paraId="3BF3DD06" w14:textId="77777777" w:rsidR="00A05DD1" w:rsidRPr="001D7B15" w:rsidRDefault="00A05DD1">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256" w:type="dxa"/>
          </w:tcPr>
          <w:p w14:paraId="15730906"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Random Forest</w:t>
            </w:r>
          </w:p>
        </w:tc>
        <w:tc>
          <w:tcPr>
            <w:tcW w:w="590" w:type="dxa"/>
          </w:tcPr>
          <w:p w14:paraId="792DD67C"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0.225</w:t>
            </w:r>
          </w:p>
        </w:tc>
        <w:tc>
          <w:tcPr>
            <w:tcW w:w="679" w:type="dxa"/>
          </w:tcPr>
          <w:p w14:paraId="6E8A52CC"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0.255</w:t>
            </w:r>
          </w:p>
        </w:tc>
        <w:tc>
          <w:tcPr>
            <w:tcW w:w="972" w:type="dxa"/>
          </w:tcPr>
          <w:p w14:paraId="4B9750C6"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25.82</w:t>
            </w:r>
          </w:p>
        </w:tc>
      </w:tr>
      <w:tr w:rsidR="00A05DD1" w:rsidRPr="001D7B15" w14:paraId="0E8109D7" w14:textId="77777777">
        <w:tc>
          <w:tcPr>
            <w:tcW w:w="865" w:type="dxa"/>
            <w:vMerge w:val="restart"/>
          </w:tcPr>
          <w:p w14:paraId="082A4466"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b/>
                <w:bCs/>
                <w:sz w:val="16"/>
                <w:szCs w:val="16"/>
              </w:rPr>
              <w:t>Australia</w:t>
            </w:r>
          </w:p>
        </w:tc>
        <w:tc>
          <w:tcPr>
            <w:tcW w:w="1256" w:type="dxa"/>
          </w:tcPr>
          <w:p w14:paraId="588EB3D3"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Holt-Winters</w:t>
            </w:r>
          </w:p>
        </w:tc>
        <w:tc>
          <w:tcPr>
            <w:tcW w:w="590" w:type="dxa"/>
          </w:tcPr>
          <w:p w14:paraId="75959D63"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0.309</w:t>
            </w:r>
          </w:p>
        </w:tc>
        <w:tc>
          <w:tcPr>
            <w:tcW w:w="679" w:type="dxa"/>
          </w:tcPr>
          <w:p w14:paraId="07C3C2D9"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0.326</w:t>
            </w:r>
          </w:p>
        </w:tc>
        <w:tc>
          <w:tcPr>
            <w:tcW w:w="972" w:type="dxa"/>
          </w:tcPr>
          <w:p w14:paraId="7C16B740"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30.26</w:t>
            </w:r>
          </w:p>
        </w:tc>
      </w:tr>
      <w:tr w:rsidR="00A05DD1" w:rsidRPr="001D7B15" w14:paraId="34D03C1C" w14:textId="77777777">
        <w:tc>
          <w:tcPr>
            <w:tcW w:w="865" w:type="dxa"/>
            <w:vMerge/>
          </w:tcPr>
          <w:p w14:paraId="07632CB0" w14:textId="77777777" w:rsidR="00A05DD1" w:rsidRPr="001D7B15" w:rsidRDefault="00A05DD1">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256" w:type="dxa"/>
          </w:tcPr>
          <w:p w14:paraId="02B61C88"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Linear Reg.</w:t>
            </w:r>
          </w:p>
        </w:tc>
        <w:tc>
          <w:tcPr>
            <w:tcW w:w="590" w:type="dxa"/>
          </w:tcPr>
          <w:p w14:paraId="1F71308D"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0.298</w:t>
            </w:r>
          </w:p>
        </w:tc>
        <w:tc>
          <w:tcPr>
            <w:tcW w:w="679" w:type="dxa"/>
          </w:tcPr>
          <w:p w14:paraId="54604BF8"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0.317</w:t>
            </w:r>
          </w:p>
        </w:tc>
        <w:tc>
          <w:tcPr>
            <w:tcW w:w="972" w:type="dxa"/>
          </w:tcPr>
          <w:p w14:paraId="0D4F4329"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30.19</w:t>
            </w:r>
          </w:p>
        </w:tc>
      </w:tr>
      <w:tr w:rsidR="00A05DD1" w:rsidRPr="001D7B15" w14:paraId="635446B6" w14:textId="77777777">
        <w:tc>
          <w:tcPr>
            <w:tcW w:w="865" w:type="dxa"/>
            <w:vMerge/>
          </w:tcPr>
          <w:p w14:paraId="339ECB33" w14:textId="77777777" w:rsidR="00A05DD1" w:rsidRPr="001D7B15" w:rsidRDefault="00A05DD1">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256" w:type="dxa"/>
          </w:tcPr>
          <w:p w14:paraId="6DE632E0"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Ridge Reg.</w:t>
            </w:r>
          </w:p>
        </w:tc>
        <w:tc>
          <w:tcPr>
            <w:tcW w:w="590" w:type="dxa"/>
          </w:tcPr>
          <w:p w14:paraId="333AA2ED"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0.298</w:t>
            </w:r>
          </w:p>
        </w:tc>
        <w:tc>
          <w:tcPr>
            <w:tcW w:w="679" w:type="dxa"/>
          </w:tcPr>
          <w:p w14:paraId="6B893922"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0.317</w:t>
            </w:r>
          </w:p>
        </w:tc>
        <w:tc>
          <w:tcPr>
            <w:tcW w:w="972" w:type="dxa"/>
          </w:tcPr>
          <w:p w14:paraId="0A61C1CB"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30.19</w:t>
            </w:r>
          </w:p>
        </w:tc>
      </w:tr>
      <w:tr w:rsidR="00A05DD1" w:rsidRPr="001D7B15" w14:paraId="54F14F6F" w14:textId="77777777">
        <w:tc>
          <w:tcPr>
            <w:tcW w:w="865" w:type="dxa"/>
            <w:vMerge/>
          </w:tcPr>
          <w:p w14:paraId="33299646" w14:textId="77777777" w:rsidR="00A05DD1" w:rsidRPr="001D7B15" w:rsidRDefault="00A05DD1">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256" w:type="dxa"/>
          </w:tcPr>
          <w:p w14:paraId="5D76D352"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Random Forest</w:t>
            </w:r>
          </w:p>
        </w:tc>
        <w:tc>
          <w:tcPr>
            <w:tcW w:w="590" w:type="dxa"/>
          </w:tcPr>
          <w:p w14:paraId="3295CD1A"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0.220</w:t>
            </w:r>
          </w:p>
        </w:tc>
        <w:tc>
          <w:tcPr>
            <w:tcW w:w="679" w:type="dxa"/>
          </w:tcPr>
          <w:p w14:paraId="37EA2FE5"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0.282</w:t>
            </w:r>
          </w:p>
        </w:tc>
        <w:tc>
          <w:tcPr>
            <w:tcW w:w="972" w:type="dxa"/>
          </w:tcPr>
          <w:p w14:paraId="2E3C28AD"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25.14</w:t>
            </w:r>
          </w:p>
        </w:tc>
      </w:tr>
      <w:tr w:rsidR="00A05DD1" w:rsidRPr="001D7B15" w14:paraId="779238FA" w14:textId="77777777">
        <w:tc>
          <w:tcPr>
            <w:tcW w:w="865" w:type="dxa"/>
            <w:vMerge w:val="restart"/>
          </w:tcPr>
          <w:p w14:paraId="48814651"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b/>
                <w:bCs/>
                <w:sz w:val="16"/>
                <w:szCs w:val="16"/>
              </w:rPr>
              <w:t>Brazil</w:t>
            </w:r>
          </w:p>
        </w:tc>
        <w:tc>
          <w:tcPr>
            <w:tcW w:w="1256" w:type="dxa"/>
          </w:tcPr>
          <w:p w14:paraId="227367F8"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Holt-Winters</w:t>
            </w:r>
          </w:p>
        </w:tc>
        <w:tc>
          <w:tcPr>
            <w:tcW w:w="590" w:type="dxa"/>
          </w:tcPr>
          <w:p w14:paraId="40686711"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0.221</w:t>
            </w:r>
          </w:p>
        </w:tc>
        <w:tc>
          <w:tcPr>
            <w:tcW w:w="679" w:type="dxa"/>
          </w:tcPr>
          <w:p w14:paraId="0046C614"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0.243</w:t>
            </w:r>
          </w:p>
        </w:tc>
        <w:tc>
          <w:tcPr>
            <w:tcW w:w="972" w:type="dxa"/>
          </w:tcPr>
          <w:p w14:paraId="3629AB02"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18.19</w:t>
            </w:r>
          </w:p>
        </w:tc>
      </w:tr>
      <w:tr w:rsidR="00A05DD1" w:rsidRPr="001D7B15" w14:paraId="764C663B" w14:textId="77777777">
        <w:tc>
          <w:tcPr>
            <w:tcW w:w="865" w:type="dxa"/>
            <w:vMerge/>
          </w:tcPr>
          <w:p w14:paraId="3FA0C176" w14:textId="77777777" w:rsidR="00A05DD1" w:rsidRPr="001D7B15" w:rsidRDefault="00A05DD1">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256" w:type="dxa"/>
          </w:tcPr>
          <w:p w14:paraId="152AA26A"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Linear Reg.</w:t>
            </w:r>
          </w:p>
        </w:tc>
        <w:tc>
          <w:tcPr>
            <w:tcW w:w="590" w:type="dxa"/>
          </w:tcPr>
          <w:p w14:paraId="1FA5681E"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0.226</w:t>
            </w:r>
          </w:p>
        </w:tc>
        <w:tc>
          <w:tcPr>
            <w:tcW w:w="679" w:type="dxa"/>
          </w:tcPr>
          <w:p w14:paraId="279815CD"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0.254</w:t>
            </w:r>
          </w:p>
        </w:tc>
        <w:tc>
          <w:tcPr>
            <w:tcW w:w="972" w:type="dxa"/>
          </w:tcPr>
          <w:p w14:paraId="10891737"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17.73</w:t>
            </w:r>
          </w:p>
        </w:tc>
      </w:tr>
      <w:tr w:rsidR="00A05DD1" w:rsidRPr="001D7B15" w14:paraId="209EC3D3" w14:textId="77777777">
        <w:tc>
          <w:tcPr>
            <w:tcW w:w="865" w:type="dxa"/>
            <w:vMerge/>
          </w:tcPr>
          <w:p w14:paraId="6BFAC9AF" w14:textId="77777777" w:rsidR="00A05DD1" w:rsidRPr="001D7B15" w:rsidRDefault="00A05DD1">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256" w:type="dxa"/>
          </w:tcPr>
          <w:p w14:paraId="0F184047"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Ridge Reg.</w:t>
            </w:r>
          </w:p>
        </w:tc>
        <w:tc>
          <w:tcPr>
            <w:tcW w:w="590" w:type="dxa"/>
          </w:tcPr>
          <w:p w14:paraId="3066A774"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0.226</w:t>
            </w:r>
          </w:p>
        </w:tc>
        <w:tc>
          <w:tcPr>
            <w:tcW w:w="679" w:type="dxa"/>
          </w:tcPr>
          <w:p w14:paraId="6D32E7CD"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0.254</w:t>
            </w:r>
          </w:p>
        </w:tc>
        <w:tc>
          <w:tcPr>
            <w:tcW w:w="972" w:type="dxa"/>
          </w:tcPr>
          <w:p w14:paraId="54F39B6F"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17.73</w:t>
            </w:r>
          </w:p>
        </w:tc>
      </w:tr>
      <w:tr w:rsidR="00A05DD1" w:rsidRPr="001D7B15" w14:paraId="47477036" w14:textId="77777777">
        <w:tc>
          <w:tcPr>
            <w:tcW w:w="865" w:type="dxa"/>
            <w:vMerge/>
          </w:tcPr>
          <w:p w14:paraId="05CB289C" w14:textId="77777777" w:rsidR="00A05DD1" w:rsidRPr="001D7B15" w:rsidRDefault="00A05DD1">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256" w:type="dxa"/>
          </w:tcPr>
          <w:p w14:paraId="5DE18990"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Random Forest</w:t>
            </w:r>
          </w:p>
        </w:tc>
        <w:tc>
          <w:tcPr>
            <w:tcW w:w="590" w:type="dxa"/>
          </w:tcPr>
          <w:p w14:paraId="30674F8D"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0.179</w:t>
            </w:r>
          </w:p>
        </w:tc>
        <w:tc>
          <w:tcPr>
            <w:tcW w:w="679" w:type="dxa"/>
          </w:tcPr>
          <w:p w14:paraId="06639FD4"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0.208</w:t>
            </w:r>
          </w:p>
        </w:tc>
        <w:tc>
          <w:tcPr>
            <w:tcW w:w="972" w:type="dxa"/>
          </w:tcPr>
          <w:p w14:paraId="36F7460F"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15.45</w:t>
            </w:r>
          </w:p>
        </w:tc>
      </w:tr>
      <w:tr w:rsidR="00A05DD1" w:rsidRPr="001D7B15" w14:paraId="6C362EE6" w14:textId="77777777">
        <w:tc>
          <w:tcPr>
            <w:tcW w:w="865" w:type="dxa"/>
            <w:vMerge w:val="restart"/>
          </w:tcPr>
          <w:p w14:paraId="1AA89B64"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b/>
                <w:bCs/>
                <w:sz w:val="16"/>
                <w:szCs w:val="16"/>
              </w:rPr>
              <w:t>Germany</w:t>
            </w:r>
          </w:p>
        </w:tc>
        <w:tc>
          <w:tcPr>
            <w:tcW w:w="1256" w:type="dxa"/>
          </w:tcPr>
          <w:p w14:paraId="515E01A7"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Holt-Winters</w:t>
            </w:r>
          </w:p>
        </w:tc>
        <w:tc>
          <w:tcPr>
            <w:tcW w:w="590" w:type="dxa"/>
          </w:tcPr>
          <w:p w14:paraId="1E723199"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0.655</w:t>
            </w:r>
          </w:p>
        </w:tc>
        <w:tc>
          <w:tcPr>
            <w:tcW w:w="679" w:type="dxa"/>
          </w:tcPr>
          <w:p w14:paraId="1DE56A77"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0.771</w:t>
            </w:r>
          </w:p>
        </w:tc>
        <w:tc>
          <w:tcPr>
            <w:tcW w:w="972" w:type="dxa"/>
          </w:tcPr>
          <w:p w14:paraId="05320D55"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29.52</w:t>
            </w:r>
          </w:p>
        </w:tc>
      </w:tr>
      <w:tr w:rsidR="00A05DD1" w:rsidRPr="001D7B15" w14:paraId="5649DDC4" w14:textId="77777777">
        <w:tc>
          <w:tcPr>
            <w:tcW w:w="865" w:type="dxa"/>
            <w:vMerge/>
          </w:tcPr>
          <w:p w14:paraId="75B21028" w14:textId="77777777" w:rsidR="00A05DD1" w:rsidRPr="001D7B15" w:rsidRDefault="00A05DD1">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256" w:type="dxa"/>
          </w:tcPr>
          <w:p w14:paraId="4B22D03B"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Linear Reg.</w:t>
            </w:r>
          </w:p>
        </w:tc>
        <w:tc>
          <w:tcPr>
            <w:tcW w:w="590" w:type="dxa"/>
          </w:tcPr>
          <w:p w14:paraId="119B5176"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0.701</w:t>
            </w:r>
          </w:p>
        </w:tc>
        <w:tc>
          <w:tcPr>
            <w:tcW w:w="679" w:type="dxa"/>
          </w:tcPr>
          <w:p w14:paraId="0E90D02C"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0.804</w:t>
            </w:r>
          </w:p>
        </w:tc>
        <w:tc>
          <w:tcPr>
            <w:tcW w:w="972" w:type="dxa"/>
          </w:tcPr>
          <w:p w14:paraId="648ED337"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31.05</w:t>
            </w:r>
          </w:p>
        </w:tc>
      </w:tr>
      <w:tr w:rsidR="00A05DD1" w:rsidRPr="001D7B15" w14:paraId="163DEAF4" w14:textId="77777777">
        <w:tc>
          <w:tcPr>
            <w:tcW w:w="865" w:type="dxa"/>
            <w:vMerge/>
          </w:tcPr>
          <w:p w14:paraId="6ACD7A8C" w14:textId="77777777" w:rsidR="00A05DD1" w:rsidRPr="001D7B15" w:rsidRDefault="00A05DD1">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256" w:type="dxa"/>
          </w:tcPr>
          <w:p w14:paraId="67E33E99"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Ridge Reg.</w:t>
            </w:r>
          </w:p>
        </w:tc>
        <w:tc>
          <w:tcPr>
            <w:tcW w:w="590" w:type="dxa"/>
          </w:tcPr>
          <w:p w14:paraId="13E56999"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0.701</w:t>
            </w:r>
          </w:p>
        </w:tc>
        <w:tc>
          <w:tcPr>
            <w:tcW w:w="679" w:type="dxa"/>
          </w:tcPr>
          <w:p w14:paraId="6310C947"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0.804</w:t>
            </w:r>
          </w:p>
        </w:tc>
        <w:tc>
          <w:tcPr>
            <w:tcW w:w="972" w:type="dxa"/>
          </w:tcPr>
          <w:p w14:paraId="16069990"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31.05</w:t>
            </w:r>
          </w:p>
        </w:tc>
      </w:tr>
      <w:tr w:rsidR="00A05DD1" w:rsidRPr="001D7B15" w14:paraId="2685953E" w14:textId="77777777">
        <w:tc>
          <w:tcPr>
            <w:tcW w:w="865" w:type="dxa"/>
            <w:vMerge/>
          </w:tcPr>
          <w:p w14:paraId="606B4A9C" w14:textId="77777777" w:rsidR="00A05DD1" w:rsidRPr="001D7B15" w:rsidRDefault="00A05DD1">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256" w:type="dxa"/>
          </w:tcPr>
          <w:p w14:paraId="0F1A36D0"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Random Forest</w:t>
            </w:r>
          </w:p>
        </w:tc>
        <w:tc>
          <w:tcPr>
            <w:tcW w:w="590" w:type="dxa"/>
          </w:tcPr>
          <w:p w14:paraId="7BB591DD"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0.482</w:t>
            </w:r>
          </w:p>
        </w:tc>
        <w:tc>
          <w:tcPr>
            <w:tcW w:w="679" w:type="dxa"/>
          </w:tcPr>
          <w:p w14:paraId="7FA9D659"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0.596</w:t>
            </w:r>
          </w:p>
        </w:tc>
        <w:tc>
          <w:tcPr>
            <w:tcW w:w="972" w:type="dxa"/>
          </w:tcPr>
          <w:p w14:paraId="31911955"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26.41</w:t>
            </w:r>
          </w:p>
        </w:tc>
      </w:tr>
      <w:tr w:rsidR="00A05DD1" w:rsidRPr="001D7B15" w14:paraId="27F96F15" w14:textId="77777777">
        <w:tc>
          <w:tcPr>
            <w:tcW w:w="865" w:type="dxa"/>
            <w:vMerge w:val="restart"/>
          </w:tcPr>
          <w:p w14:paraId="6DBB2A50"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b/>
                <w:bCs/>
                <w:sz w:val="16"/>
                <w:szCs w:val="16"/>
              </w:rPr>
              <w:t>South Africa</w:t>
            </w:r>
          </w:p>
        </w:tc>
        <w:tc>
          <w:tcPr>
            <w:tcW w:w="1256" w:type="dxa"/>
          </w:tcPr>
          <w:p w14:paraId="40532125"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Holt-Winters</w:t>
            </w:r>
          </w:p>
        </w:tc>
        <w:tc>
          <w:tcPr>
            <w:tcW w:w="590" w:type="dxa"/>
          </w:tcPr>
          <w:p w14:paraId="502B5970"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0.344</w:t>
            </w:r>
          </w:p>
        </w:tc>
        <w:tc>
          <w:tcPr>
            <w:tcW w:w="679" w:type="dxa"/>
          </w:tcPr>
          <w:p w14:paraId="2A130517"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0.468</w:t>
            </w:r>
          </w:p>
        </w:tc>
        <w:tc>
          <w:tcPr>
            <w:tcW w:w="972" w:type="dxa"/>
          </w:tcPr>
          <w:p w14:paraId="36B7104F"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24.85</w:t>
            </w:r>
          </w:p>
        </w:tc>
      </w:tr>
      <w:tr w:rsidR="00A05DD1" w:rsidRPr="001D7B15" w14:paraId="0575917B" w14:textId="77777777">
        <w:tc>
          <w:tcPr>
            <w:tcW w:w="865" w:type="dxa"/>
            <w:vMerge/>
          </w:tcPr>
          <w:p w14:paraId="27273DF0" w14:textId="77777777" w:rsidR="00A05DD1" w:rsidRPr="001D7B15" w:rsidRDefault="00A05DD1">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256" w:type="dxa"/>
          </w:tcPr>
          <w:p w14:paraId="277FFAB4"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Linear Reg.</w:t>
            </w:r>
          </w:p>
        </w:tc>
        <w:tc>
          <w:tcPr>
            <w:tcW w:w="590" w:type="dxa"/>
          </w:tcPr>
          <w:p w14:paraId="73C18F0C"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0.352</w:t>
            </w:r>
          </w:p>
        </w:tc>
        <w:tc>
          <w:tcPr>
            <w:tcW w:w="679" w:type="dxa"/>
          </w:tcPr>
          <w:p w14:paraId="6399C062"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0.475</w:t>
            </w:r>
          </w:p>
        </w:tc>
        <w:tc>
          <w:tcPr>
            <w:tcW w:w="972" w:type="dxa"/>
          </w:tcPr>
          <w:p w14:paraId="1C7667B7"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25.12</w:t>
            </w:r>
          </w:p>
        </w:tc>
      </w:tr>
      <w:tr w:rsidR="00A05DD1" w:rsidRPr="001D7B15" w14:paraId="768AF7AE" w14:textId="77777777">
        <w:tc>
          <w:tcPr>
            <w:tcW w:w="865" w:type="dxa"/>
            <w:vMerge/>
          </w:tcPr>
          <w:p w14:paraId="0A5ABF6E" w14:textId="77777777" w:rsidR="00A05DD1" w:rsidRPr="001D7B15" w:rsidRDefault="00A05DD1">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256" w:type="dxa"/>
          </w:tcPr>
          <w:p w14:paraId="566E84B9"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Ridge Reg.</w:t>
            </w:r>
          </w:p>
        </w:tc>
        <w:tc>
          <w:tcPr>
            <w:tcW w:w="590" w:type="dxa"/>
          </w:tcPr>
          <w:p w14:paraId="68E69C06"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0.352</w:t>
            </w:r>
          </w:p>
        </w:tc>
        <w:tc>
          <w:tcPr>
            <w:tcW w:w="679" w:type="dxa"/>
          </w:tcPr>
          <w:p w14:paraId="71FC84D1"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0.475</w:t>
            </w:r>
          </w:p>
        </w:tc>
        <w:tc>
          <w:tcPr>
            <w:tcW w:w="972" w:type="dxa"/>
          </w:tcPr>
          <w:p w14:paraId="7F8042AE"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25.12</w:t>
            </w:r>
          </w:p>
        </w:tc>
      </w:tr>
      <w:tr w:rsidR="00A05DD1" w:rsidRPr="001D7B15" w14:paraId="0BE4F096" w14:textId="77777777">
        <w:tc>
          <w:tcPr>
            <w:tcW w:w="865" w:type="dxa"/>
            <w:vMerge/>
          </w:tcPr>
          <w:p w14:paraId="4C4CD2C2" w14:textId="77777777" w:rsidR="00A05DD1" w:rsidRPr="001D7B15" w:rsidRDefault="00A05DD1">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1256" w:type="dxa"/>
          </w:tcPr>
          <w:p w14:paraId="3A3E42C1"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Random Forest</w:t>
            </w:r>
          </w:p>
        </w:tc>
        <w:tc>
          <w:tcPr>
            <w:tcW w:w="590" w:type="dxa"/>
          </w:tcPr>
          <w:p w14:paraId="0193BDA2"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0.310</w:t>
            </w:r>
          </w:p>
        </w:tc>
        <w:tc>
          <w:tcPr>
            <w:tcW w:w="679" w:type="dxa"/>
          </w:tcPr>
          <w:p w14:paraId="1BDEA953"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0.420</w:t>
            </w:r>
          </w:p>
        </w:tc>
        <w:tc>
          <w:tcPr>
            <w:tcW w:w="972" w:type="dxa"/>
          </w:tcPr>
          <w:p w14:paraId="481294D8" w14:textId="77777777" w:rsidR="00A05DD1" w:rsidRPr="001D7B15" w:rsidRDefault="00000000">
            <w:pPr>
              <w:spacing w:line="259" w:lineRule="auto"/>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23.06</w:t>
            </w:r>
          </w:p>
        </w:tc>
      </w:tr>
    </w:tbl>
    <w:p w14:paraId="3068C503" w14:textId="3E5ACB32" w:rsidR="00C90071" w:rsidRPr="001D7B15" w:rsidRDefault="00000000">
      <w:pPr>
        <w:spacing w:after="0"/>
        <w:jc w:val="both"/>
        <w:rPr>
          <w:rFonts w:ascii="Times New Roman" w:eastAsia="Times New Roman" w:hAnsi="Times New Roman" w:cs="Times New Roman"/>
          <w:sz w:val="20"/>
          <w:szCs w:val="20"/>
        </w:rPr>
      </w:pPr>
      <w:r w:rsidRPr="001D7B15">
        <w:rPr>
          <w:rFonts w:ascii="Times New Roman" w:eastAsia="Times New Roman" w:hAnsi="Times New Roman" w:cs="Times New Roman"/>
          <w:sz w:val="20"/>
          <w:szCs w:val="20"/>
        </w:rPr>
        <w:t xml:space="preserve">Table 3 provides a comparative evaluation of four forecasting models—Holt-Winters, Linear Regression, Ridge Regression, and Random Forest—across five countries: India, Australia, Brazil, Germany, and South Africa. </w:t>
      </w:r>
      <w:r w:rsidR="00C90071" w:rsidRPr="001D7B15">
        <w:rPr>
          <w:rFonts w:ascii="Times New Roman" w:eastAsia="Times New Roman" w:hAnsi="Times New Roman" w:cs="Times New Roman"/>
          <w:sz w:val="20"/>
          <w:szCs w:val="20"/>
        </w:rPr>
        <w:t>As far as India is concerned, Linear and Ridge Regression models have slightly outperformed Holt-Winters on MAE and RMSE metrics while achieving each a MAPE of 19.89%, with Holt-Winters in close second with a MAPE of 20.68%. However, Random Forest here performed poorly with the highest MAPE of 25.82%, suggesting that linear models could be good for India's somewhat stable trends in anomalies. Then, clearly, Random Forest is the best performing model for Australia with a much lower MAPE of 25.14% while the other models, including Holt-Winters and regression variants, had huge MAPE values of over 30%, which might be a sign that the traditional models could not cope with the climate variability in Australia.</w:t>
      </w:r>
    </w:p>
    <w:p w14:paraId="41434EBF" w14:textId="77777777" w:rsidR="00C90071" w:rsidRDefault="00C90071" w:rsidP="00C90071">
      <w:pPr>
        <w:spacing w:after="0"/>
        <w:jc w:val="both"/>
        <w:rPr>
          <w:rFonts w:ascii="Times New Roman" w:eastAsia="Times New Roman" w:hAnsi="Times New Roman" w:cs="Times New Roman"/>
          <w:sz w:val="20"/>
          <w:szCs w:val="20"/>
        </w:rPr>
      </w:pPr>
      <w:r w:rsidRPr="001D7B15">
        <w:rPr>
          <w:rFonts w:ascii="Times New Roman" w:eastAsia="Times New Roman" w:hAnsi="Times New Roman" w:cs="Times New Roman"/>
          <w:sz w:val="20"/>
          <w:szCs w:val="20"/>
        </w:rPr>
        <w:t xml:space="preserve">The given situation is a complete opposite to the Brazilian case wherewith Random Forest competing with Holt-Winter and regression, had its errors the lowest in magnitude (MAE: 0.179, RMSE: 0.208, MAPE: 15.45%) like among the others; however, the former is slightly more precise than these other </w:t>
      </w:r>
      <w:r w:rsidRPr="001D7B15">
        <w:rPr>
          <w:rFonts w:ascii="Times New Roman" w:eastAsia="Times New Roman" w:hAnsi="Times New Roman" w:cs="Times New Roman"/>
          <w:sz w:val="20"/>
          <w:szCs w:val="20"/>
        </w:rPr>
        <w:t>techniques. This points out to the capability of Random Forest to decipher patterns of data which are nonlinear and less predictable to some extent. On the contrary, Germany is a more difficult case all over the place, no matter what model is used, as evidenced by the higher MAE and MAPE values. Yet again, the Random Forest leads but with a MAPE of 26.41% which is significantly better than Holt-Winters (29.52%) and regression models (31.05%) indicating its effectiveness in areas with volatile or extreme climate anomalies. In South Africa lastly, Random Forest still has its constant advantage with a MAPE of 23.06% which is the lowest of all and thus, it shows its ability to adapt to diverse climatic trends by beating Holt-Winters (24.85%) and both regression models (25.12%).</w:t>
      </w:r>
    </w:p>
    <w:p w14:paraId="12DD0E5C" w14:textId="7AC70CCF" w:rsidR="00A05DD1" w:rsidRPr="001D7B15" w:rsidRDefault="00000000">
      <w:pPr>
        <w:spacing w:after="0"/>
        <w:rPr>
          <w:rFonts w:ascii="Times New Roman" w:eastAsia="Times New Roman" w:hAnsi="Times New Roman" w:cs="Times New Roman"/>
          <w:sz w:val="16"/>
          <w:szCs w:val="16"/>
        </w:rPr>
      </w:pPr>
      <w:r w:rsidRPr="001D7B15">
        <w:rPr>
          <w:rFonts w:ascii="Times New Roman" w:eastAsia="Times New Roman" w:hAnsi="Times New Roman" w:cs="Times New Roman"/>
          <w:noProof/>
          <w:sz w:val="16"/>
          <w:szCs w:val="16"/>
        </w:rPr>
        <w:drawing>
          <wp:inline distT="0" distB="0" distL="0" distR="0" wp14:anchorId="2A4F6677" wp14:editId="2A5497A5">
            <wp:extent cx="2564377" cy="1271391"/>
            <wp:effectExtent l="0" t="0" r="7620" b="5080"/>
            <wp:docPr id="1" name="image1.png" descr="A graph showing a 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aph showing a line&#10;&#10;Description automatically generated"/>
                    <pic:cNvPicPr preferRelativeResize="0"/>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rcRect/>
                    <a:stretch>
                      <a:fillRect/>
                    </a:stretch>
                  </pic:blipFill>
                  <pic:spPr>
                    <a:xfrm>
                      <a:off x="0" y="0"/>
                      <a:ext cx="2564377" cy="1271391"/>
                    </a:xfrm>
                    <a:prstGeom prst="rect">
                      <a:avLst/>
                    </a:prstGeom>
                    <a:ln/>
                  </pic:spPr>
                </pic:pic>
              </a:graphicData>
            </a:graphic>
          </wp:inline>
        </w:drawing>
      </w:r>
    </w:p>
    <w:p w14:paraId="457C930C" w14:textId="77777777" w:rsidR="00A05DD1" w:rsidRPr="001D7B15" w:rsidRDefault="00000000" w:rsidP="00683257">
      <w:pPr>
        <w:spacing w:after="0"/>
        <w:jc w:val="center"/>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(a)</w:t>
      </w:r>
    </w:p>
    <w:p w14:paraId="572212F7" w14:textId="502F17ED" w:rsidR="00A05DD1" w:rsidRPr="001D7B15" w:rsidRDefault="008C0BEB">
      <w:pPr>
        <w:spacing w:after="0"/>
        <w:rPr>
          <w:rFonts w:ascii="Times New Roman" w:eastAsia="Times New Roman" w:hAnsi="Times New Roman" w:cs="Times New Roman"/>
          <w:sz w:val="16"/>
          <w:szCs w:val="16"/>
        </w:rPr>
      </w:pPr>
      <w:r w:rsidRPr="001D7B15">
        <w:rPr>
          <w:rFonts w:ascii="Times New Roman" w:eastAsia="Times New Roman" w:hAnsi="Times New Roman" w:cs="Times New Roman"/>
          <w:noProof/>
          <w:sz w:val="16"/>
          <w:szCs w:val="16"/>
        </w:rPr>
        <w:drawing>
          <wp:inline distT="0" distB="0" distL="0" distR="0" wp14:anchorId="688BA534" wp14:editId="69969B35">
            <wp:extent cx="2637155" cy="1213979"/>
            <wp:effectExtent l="0" t="0" r="0" b="5715"/>
            <wp:docPr id="3" name="image3.png" descr="A graph showing a li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graph showing a line&#10;&#10;Description automatically generated with medium confidence"/>
                    <pic:cNvPicPr preferRelativeResize="0"/>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rcRect/>
                    <a:stretch>
                      <a:fillRect/>
                    </a:stretch>
                  </pic:blipFill>
                  <pic:spPr>
                    <a:xfrm>
                      <a:off x="0" y="0"/>
                      <a:ext cx="2637155" cy="1213979"/>
                    </a:xfrm>
                    <a:prstGeom prst="rect">
                      <a:avLst/>
                    </a:prstGeom>
                    <a:ln/>
                  </pic:spPr>
                </pic:pic>
              </a:graphicData>
            </a:graphic>
          </wp:inline>
        </w:drawing>
      </w:r>
    </w:p>
    <w:p w14:paraId="513E853E" w14:textId="77777777" w:rsidR="00A05DD1" w:rsidRPr="001D7B15" w:rsidRDefault="00000000" w:rsidP="00683257">
      <w:pPr>
        <w:spacing w:after="0"/>
        <w:jc w:val="center"/>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(b)</w:t>
      </w:r>
    </w:p>
    <w:p w14:paraId="668A6A7F" w14:textId="453EEFEF" w:rsidR="00A05DD1" w:rsidRPr="001D7B15" w:rsidRDefault="008C0BEB">
      <w:pPr>
        <w:spacing w:after="0"/>
        <w:rPr>
          <w:rFonts w:ascii="Times New Roman" w:eastAsia="Times New Roman" w:hAnsi="Times New Roman" w:cs="Times New Roman"/>
          <w:sz w:val="16"/>
          <w:szCs w:val="16"/>
        </w:rPr>
      </w:pPr>
      <w:r w:rsidRPr="001D7B15">
        <w:rPr>
          <w:rFonts w:ascii="Times New Roman" w:eastAsia="Times New Roman" w:hAnsi="Times New Roman" w:cs="Times New Roman"/>
          <w:noProof/>
          <w:sz w:val="16"/>
          <w:szCs w:val="16"/>
        </w:rPr>
        <w:drawing>
          <wp:inline distT="0" distB="0" distL="0" distR="0" wp14:anchorId="1A878D07" wp14:editId="5D39F9EB">
            <wp:extent cx="2614399" cy="1296192"/>
            <wp:effectExtent l="0" t="0" r="0" b="0"/>
            <wp:docPr id="4" name="image4.png" descr="A graph showing the growth of the stock marke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graph showing the growth of the stock market&#10;&#10;Description automatically generated"/>
                    <pic:cNvPicPr preferRelativeResize="0"/>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rcRect/>
                    <a:stretch>
                      <a:fillRect/>
                    </a:stretch>
                  </pic:blipFill>
                  <pic:spPr>
                    <a:xfrm>
                      <a:off x="0" y="0"/>
                      <a:ext cx="2614399" cy="1296192"/>
                    </a:xfrm>
                    <a:prstGeom prst="rect">
                      <a:avLst/>
                    </a:prstGeom>
                    <a:ln/>
                  </pic:spPr>
                </pic:pic>
              </a:graphicData>
            </a:graphic>
          </wp:inline>
        </w:drawing>
      </w:r>
    </w:p>
    <w:p w14:paraId="67247535" w14:textId="77777777" w:rsidR="00A05DD1" w:rsidRPr="001D7B15" w:rsidRDefault="00000000" w:rsidP="00683257">
      <w:pPr>
        <w:spacing w:after="0"/>
        <w:jc w:val="center"/>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(c)</w:t>
      </w:r>
    </w:p>
    <w:p w14:paraId="7CB161BE" w14:textId="77777777" w:rsidR="00A05DD1" w:rsidRPr="001D7B15" w:rsidRDefault="00000000">
      <w:pPr>
        <w:spacing w:after="0"/>
        <w:rPr>
          <w:rFonts w:ascii="Times New Roman" w:eastAsia="Times New Roman" w:hAnsi="Times New Roman" w:cs="Times New Roman"/>
          <w:sz w:val="16"/>
          <w:szCs w:val="16"/>
        </w:rPr>
      </w:pPr>
      <w:r w:rsidRPr="001D7B15">
        <w:rPr>
          <w:rFonts w:ascii="Times New Roman" w:eastAsia="Times New Roman" w:hAnsi="Times New Roman" w:cs="Times New Roman"/>
          <w:noProof/>
          <w:sz w:val="16"/>
          <w:szCs w:val="16"/>
        </w:rPr>
        <w:drawing>
          <wp:inline distT="0" distB="0" distL="0" distR="0" wp14:anchorId="691F5BF8" wp14:editId="5BE50B91">
            <wp:extent cx="2657193" cy="1154317"/>
            <wp:effectExtent l="0" t="0" r="0" b="8255"/>
            <wp:docPr id="5" name="image5.png" descr="A graph showing the growth of the yea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graph showing the growth of the year&#10;&#10;Description automatically generated"/>
                    <pic:cNvPicPr preferRelativeResize="0"/>
                  </pic:nvPicPr>
                  <pic:blipFill>
                    <a:blip r:embed="rId29">
                      <a:extLst>
                        <a:ext uri="{BEBA8EAE-BF5A-486C-A8C5-ECC9F3942E4B}">
                          <a14:imgProps xmlns:a14="http://schemas.microsoft.com/office/drawing/2010/main">
                            <a14:imgLayer r:embed="rId30">
                              <a14:imgEffect>
                                <a14:sharpenSoften amount="50000"/>
                              </a14:imgEffect>
                            </a14:imgLayer>
                          </a14:imgProps>
                        </a:ext>
                      </a:extLst>
                    </a:blip>
                    <a:srcRect/>
                    <a:stretch>
                      <a:fillRect/>
                    </a:stretch>
                  </pic:blipFill>
                  <pic:spPr>
                    <a:xfrm>
                      <a:off x="0" y="0"/>
                      <a:ext cx="2711046" cy="1177712"/>
                    </a:xfrm>
                    <a:prstGeom prst="rect">
                      <a:avLst/>
                    </a:prstGeom>
                    <a:ln/>
                  </pic:spPr>
                </pic:pic>
              </a:graphicData>
            </a:graphic>
          </wp:inline>
        </w:drawing>
      </w:r>
    </w:p>
    <w:p w14:paraId="3BFFC104" w14:textId="77777777" w:rsidR="00A05DD1" w:rsidRPr="001D7B15" w:rsidRDefault="00000000" w:rsidP="00683257">
      <w:pPr>
        <w:spacing w:after="0"/>
        <w:jc w:val="center"/>
        <w:rPr>
          <w:rFonts w:ascii="Times New Roman" w:eastAsia="Times New Roman" w:hAnsi="Times New Roman" w:cs="Times New Roman"/>
          <w:sz w:val="16"/>
          <w:szCs w:val="16"/>
        </w:rPr>
      </w:pPr>
      <w:r w:rsidRPr="001D7B15">
        <w:rPr>
          <w:rFonts w:ascii="Times New Roman" w:eastAsia="Times New Roman" w:hAnsi="Times New Roman" w:cs="Times New Roman"/>
          <w:sz w:val="16"/>
          <w:szCs w:val="16"/>
        </w:rPr>
        <w:t>(d)</w:t>
      </w:r>
    </w:p>
    <w:p w14:paraId="6C7C20A2" w14:textId="32107A47" w:rsidR="004F22BE" w:rsidRDefault="00000000" w:rsidP="001D7B15">
      <w:pPr>
        <w:spacing w:after="0"/>
        <w:jc w:val="both"/>
        <w:rPr>
          <w:rFonts w:ascii="Times New Roman" w:eastAsia="Times New Roman" w:hAnsi="Times New Roman" w:cs="Times New Roman"/>
          <w:sz w:val="16"/>
          <w:szCs w:val="16"/>
        </w:rPr>
      </w:pPr>
      <w:r w:rsidRPr="001D7B15">
        <w:rPr>
          <w:rFonts w:ascii="Times New Roman" w:eastAsia="Times New Roman" w:hAnsi="Times New Roman" w:cs="Times New Roman"/>
          <w:b/>
          <w:bCs/>
          <w:sz w:val="16"/>
          <w:szCs w:val="16"/>
        </w:rPr>
        <w:t>Fig</w:t>
      </w:r>
      <w:r w:rsidR="00EA7784">
        <w:rPr>
          <w:rFonts w:ascii="Times New Roman" w:eastAsia="Times New Roman" w:hAnsi="Times New Roman" w:cs="Times New Roman"/>
          <w:b/>
          <w:bCs/>
          <w:sz w:val="16"/>
          <w:szCs w:val="16"/>
        </w:rPr>
        <w:t>.</w:t>
      </w:r>
      <w:r w:rsidRPr="001D7B15">
        <w:rPr>
          <w:rFonts w:ascii="Times New Roman" w:eastAsia="Times New Roman" w:hAnsi="Times New Roman" w:cs="Times New Roman"/>
          <w:b/>
          <w:bCs/>
          <w:sz w:val="16"/>
          <w:szCs w:val="16"/>
        </w:rPr>
        <w:t xml:space="preserve"> 7</w:t>
      </w:r>
      <w:r w:rsidR="00EA7784">
        <w:rPr>
          <w:rFonts w:ascii="Times New Roman" w:eastAsia="Times New Roman" w:hAnsi="Times New Roman" w:cs="Times New Roman"/>
          <w:b/>
          <w:bCs/>
          <w:sz w:val="16"/>
          <w:szCs w:val="16"/>
        </w:rPr>
        <w:t>.</w:t>
      </w:r>
      <w:r w:rsidRPr="001D7B15">
        <w:rPr>
          <w:rFonts w:ascii="Times New Roman" w:eastAsia="Times New Roman" w:hAnsi="Times New Roman" w:cs="Times New Roman"/>
          <w:sz w:val="16"/>
          <w:szCs w:val="16"/>
        </w:rPr>
        <w:t xml:space="preserve"> Global </w:t>
      </w:r>
      <w:r w:rsidR="00DB4EFB" w:rsidRPr="001D7B15">
        <w:rPr>
          <w:rFonts w:ascii="Times New Roman" w:eastAsia="Times New Roman" w:hAnsi="Times New Roman" w:cs="Times New Roman"/>
          <w:sz w:val="16"/>
          <w:szCs w:val="16"/>
        </w:rPr>
        <w:t>Climate Anomaly Forecasts using Multiple Models</w:t>
      </w:r>
      <w:r w:rsidR="00B00FCD" w:rsidRPr="001D7B15">
        <w:rPr>
          <w:rFonts w:ascii="Times New Roman" w:eastAsia="Times New Roman" w:hAnsi="Times New Roman" w:cs="Times New Roman"/>
          <w:sz w:val="16"/>
          <w:szCs w:val="16"/>
        </w:rPr>
        <w:t xml:space="preserve"> </w:t>
      </w:r>
      <w:r w:rsidR="00B00FCD" w:rsidRPr="001D7B15">
        <w:rPr>
          <w:rFonts w:ascii="Times New Roman" w:eastAsia="Times New Roman" w:hAnsi="Times New Roman" w:cs="Times New Roman"/>
          <w:b/>
          <w:bCs/>
          <w:sz w:val="16"/>
          <w:szCs w:val="16"/>
        </w:rPr>
        <w:t>(a)</w:t>
      </w:r>
      <w:r w:rsidR="00B00FCD" w:rsidRPr="001D7B15">
        <w:rPr>
          <w:rFonts w:ascii="Times New Roman" w:eastAsia="Times New Roman" w:hAnsi="Times New Roman" w:cs="Times New Roman"/>
          <w:sz w:val="16"/>
          <w:szCs w:val="16"/>
        </w:rPr>
        <w:t xml:space="preserve"> Linear Regression forecast; </w:t>
      </w:r>
      <w:r w:rsidR="00B00FCD" w:rsidRPr="001D7B15">
        <w:rPr>
          <w:rFonts w:ascii="Times New Roman" w:eastAsia="Times New Roman" w:hAnsi="Times New Roman" w:cs="Times New Roman"/>
          <w:b/>
          <w:bCs/>
          <w:sz w:val="16"/>
          <w:szCs w:val="16"/>
        </w:rPr>
        <w:t>(b)</w:t>
      </w:r>
      <w:r w:rsidR="00B00FCD" w:rsidRPr="001D7B15">
        <w:rPr>
          <w:rFonts w:ascii="Times New Roman" w:eastAsia="Times New Roman" w:hAnsi="Times New Roman" w:cs="Times New Roman"/>
          <w:sz w:val="16"/>
          <w:szCs w:val="16"/>
        </w:rPr>
        <w:t xml:space="preserve"> Ridge Regression forecast; </w:t>
      </w:r>
      <w:r w:rsidR="00B00FCD" w:rsidRPr="001D7B15">
        <w:rPr>
          <w:rFonts w:ascii="Times New Roman" w:eastAsia="Times New Roman" w:hAnsi="Times New Roman" w:cs="Times New Roman"/>
          <w:b/>
          <w:bCs/>
          <w:sz w:val="16"/>
          <w:szCs w:val="16"/>
        </w:rPr>
        <w:t>(c)</w:t>
      </w:r>
      <w:r w:rsidR="00B00FCD" w:rsidRPr="001D7B15">
        <w:rPr>
          <w:rFonts w:ascii="Times New Roman" w:eastAsia="Times New Roman" w:hAnsi="Times New Roman" w:cs="Times New Roman"/>
          <w:sz w:val="16"/>
          <w:szCs w:val="16"/>
        </w:rPr>
        <w:t xml:space="preserve"> Random Forest forecast; </w:t>
      </w:r>
      <w:r w:rsidR="00B00FCD" w:rsidRPr="001D7B15">
        <w:rPr>
          <w:rFonts w:ascii="Times New Roman" w:eastAsia="Times New Roman" w:hAnsi="Times New Roman" w:cs="Times New Roman"/>
          <w:b/>
          <w:bCs/>
          <w:sz w:val="16"/>
          <w:szCs w:val="16"/>
        </w:rPr>
        <w:t>(d)</w:t>
      </w:r>
      <w:r w:rsidR="00B00FCD" w:rsidRPr="001D7B15">
        <w:rPr>
          <w:rFonts w:ascii="Times New Roman" w:eastAsia="Times New Roman" w:hAnsi="Times New Roman" w:cs="Times New Roman"/>
          <w:sz w:val="16"/>
          <w:szCs w:val="16"/>
        </w:rPr>
        <w:t xml:space="preserve"> Holt–Winters exponential smoothing forecast.</w:t>
      </w:r>
    </w:p>
    <w:p w14:paraId="31C8777A" w14:textId="7A83B734" w:rsidR="00D93AD1" w:rsidRPr="001D7B15" w:rsidRDefault="00D93AD1" w:rsidP="00D93AD1">
      <w:pPr>
        <w:spacing w:after="0" w:line="240" w:lineRule="auto"/>
        <w:jc w:val="both"/>
        <w:rPr>
          <w:rFonts w:ascii="Times New Roman" w:eastAsia="Times New Roman" w:hAnsi="Times New Roman" w:cs="Times New Roman"/>
          <w:sz w:val="20"/>
          <w:szCs w:val="20"/>
        </w:rPr>
      </w:pPr>
      <w:r w:rsidRPr="001D7B15">
        <w:rPr>
          <w:rFonts w:ascii="Times New Roman" w:eastAsia="Times New Roman" w:hAnsi="Times New Roman" w:cs="Times New Roman"/>
          <w:sz w:val="20"/>
          <w:szCs w:val="20"/>
        </w:rPr>
        <w:t>As shown in Fig</w:t>
      </w:r>
      <w:r w:rsidR="00EA7784">
        <w:rPr>
          <w:rFonts w:ascii="Times New Roman" w:eastAsia="Times New Roman" w:hAnsi="Times New Roman" w:cs="Times New Roman"/>
          <w:sz w:val="20"/>
          <w:szCs w:val="20"/>
        </w:rPr>
        <w:t>.</w:t>
      </w:r>
      <w:r w:rsidRPr="001D7B15">
        <w:rPr>
          <w:rFonts w:ascii="Times New Roman" w:eastAsia="Times New Roman" w:hAnsi="Times New Roman" w:cs="Times New Roman"/>
          <w:sz w:val="20"/>
          <w:szCs w:val="20"/>
        </w:rPr>
        <w:t xml:space="preserve"> 7, the blue line indicates the past global temperature anomalies in relation to the 1951–1980 period. The orange dashed line shows the predicted range of the test, which starts from 2016 and goes about two-thirds of the way to 2030, while the </w:t>
      </w:r>
      <w:r w:rsidRPr="001D7B15">
        <w:rPr>
          <w:rFonts w:ascii="Times New Roman" w:eastAsia="Times New Roman" w:hAnsi="Times New Roman" w:cs="Times New Roman"/>
          <w:sz w:val="20"/>
          <w:szCs w:val="20"/>
        </w:rPr>
        <w:lastRenderedPageBreak/>
        <w:t>green line in each sub-figure depicts the anomalies expected by 2030. In all models</w:t>
      </w:r>
      <w:r>
        <w:rPr>
          <w:rFonts w:ascii="Times New Roman" w:eastAsia="Times New Roman" w:hAnsi="Times New Roman" w:cs="Times New Roman"/>
          <w:sz w:val="20"/>
          <w:szCs w:val="20"/>
        </w:rPr>
        <w:t xml:space="preserve">, </w:t>
      </w:r>
      <w:r w:rsidRPr="001D7B15">
        <w:rPr>
          <w:rFonts w:ascii="Times New Roman" w:eastAsia="Times New Roman" w:hAnsi="Times New Roman" w:cs="Times New Roman"/>
          <w:sz w:val="20"/>
          <w:szCs w:val="20"/>
        </w:rPr>
        <w:t>most clearly in Figure 7(c)</w:t>
      </w:r>
      <w:r>
        <w:rPr>
          <w:rFonts w:ascii="Times New Roman" w:eastAsia="Times New Roman" w:hAnsi="Times New Roman" w:cs="Times New Roman"/>
          <w:sz w:val="20"/>
          <w:szCs w:val="20"/>
        </w:rPr>
        <w:t xml:space="preserve"> </w:t>
      </w:r>
      <w:r w:rsidRPr="001D7B15">
        <w:rPr>
          <w:rFonts w:ascii="Times New Roman" w:eastAsia="Times New Roman" w:hAnsi="Times New Roman" w:cs="Times New Roman"/>
          <w:sz w:val="20"/>
          <w:szCs w:val="20"/>
        </w:rPr>
        <w:t>the 80% confidence interval is provided to measure the forecast uncertainty. Fig</w:t>
      </w:r>
      <w:r w:rsidR="00EA7784">
        <w:rPr>
          <w:rFonts w:ascii="Times New Roman" w:eastAsia="Times New Roman" w:hAnsi="Times New Roman" w:cs="Times New Roman"/>
          <w:sz w:val="20"/>
          <w:szCs w:val="20"/>
        </w:rPr>
        <w:t>.</w:t>
      </w:r>
      <w:r w:rsidRPr="001D7B15">
        <w:rPr>
          <w:rFonts w:ascii="Times New Roman" w:eastAsia="Times New Roman" w:hAnsi="Times New Roman" w:cs="Times New Roman"/>
          <w:sz w:val="20"/>
          <w:szCs w:val="20"/>
        </w:rPr>
        <w:t xml:space="preserve"> 7(a) shows that the Linear Regression model predicts a constant upward movement of global temperatures even beyond the year 2030. On the other hand, the confidence intervals, which are quite wide when compared, indicate a great deal of uncertainty regarding long-term predictions. Fig</w:t>
      </w:r>
      <w:r w:rsidR="00EA7784">
        <w:rPr>
          <w:rFonts w:ascii="Times New Roman" w:eastAsia="Times New Roman" w:hAnsi="Times New Roman" w:cs="Times New Roman"/>
          <w:sz w:val="20"/>
          <w:szCs w:val="20"/>
        </w:rPr>
        <w:t>.</w:t>
      </w:r>
      <w:r w:rsidRPr="001D7B15">
        <w:rPr>
          <w:rFonts w:ascii="Times New Roman" w:eastAsia="Times New Roman" w:hAnsi="Times New Roman" w:cs="Times New Roman"/>
          <w:sz w:val="20"/>
          <w:szCs w:val="20"/>
        </w:rPr>
        <w:t xml:space="preserve"> 7(</w:t>
      </w:r>
      <w:r w:rsidR="008C0BEB">
        <w:rPr>
          <w:rFonts w:ascii="Times New Roman" w:eastAsia="Times New Roman" w:hAnsi="Times New Roman" w:cs="Times New Roman"/>
          <w:sz w:val="20"/>
          <w:szCs w:val="20"/>
        </w:rPr>
        <w:t>b</w:t>
      </w:r>
      <w:r w:rsidRPr="001D7B15">
        <w:rPr>
          <w:rFonts w:ascii="Times New Roman" w:eastAsia="Times New Roman" w:hAnsi="Times New Roman" w:cs="Times New Roman"/>
          <w:sz w:val="20"/>
          <w:szCs w:val="20"/>
        </w:rPr>
        <w:t>) shows a Random Forest model that produces somewhat level forecasts. The model’s conduct is conservative, as it mainly relies on the data patterns and thus doesn’t visualize any aggressive long-term trends; this results in projections that are narrower but less realistic. The Ridge Regression model, depicted in Fig</w:t>
      </w:r>
      <w:r w:rsidR="00EA7784">
        <w:rPr>
          <w:rFonts w:ascii="Times New Roman" w:eastAsia="Times New Roman" w:hAnsi="Times New Roman" w:cs="Times New Roman"/>
          <w:sz w:val="20"/>
          <w:szCs w:val="20"/>
        </w:rPr>
        <w:t>.</w:t>
      </w:r>
      <w:r w:rsidRPr="001D7B15">
        <w:rPr>
          <w:rFonts w:ascii="Times New Roman" w:eastAsia="Times New Roman" w:hAnsi="Times New Roman" w:cs="Times New Roman"/>
          <w:sz w:val="20"/>
          <w:szCs w:val="20"/>
        </w:rPr>
        <w:t xml:space="preserve"> 7(</w:t>
      </w:r>
      <w:r w:rsidR="008C0BEB">
        <w:rPr>
          <w:rFonts w:ascii="Times New Roman" w:eastAsia="Times New Roman" w:hAnsi="Times New Roman" w:cs="Times New Roman"/>
          <w:sz w:val="20"/>
          <w:szCs w:val="20"/>
        </w:rPr>
        <w:t>c</w:t>
      </w:r>
      <w:r w:rsidRPr="001D7B15">
        <w:rPr>
          <w:rFonts w:ascii="Times New Roman" w:eastAsia="Times New Roman" w:hAnsi="Times New Roman" w:cs="Times New Roman"/>
          <w:sz w:val="20"/>
          <w:szCs w:val="20"/>
        </w:rPr>
        <w:t>), acts much like linear regression, albeit with regularization incorporated to lessen overfitting. It certainly perceives the general warming movement, yet still, broader intervals are shown, pointing to the trade-off between bias and variance. In contrast, the Holt–Winters model is seen in Fig</w:t>
      </w:r>
      <w:r w:rsidR="00EA7784">
        <w:rPr>
          <w:rFonts w:ascii="Times New Roman" w:eastAsia="Times New Roman" w:hAnsi="Times New Roman" w:cs="Times New Roman"/>
          <w:sz w:val="20"/>
          <w:szCs w:val="20"/>
        </w:rPr>
        <w:t>.</w:t>
      </w:r>
      <w:r w:rsidRPr="001D7B15">
        <w:rPr>
          <w:rFonts w:ascii="Times New Roman" w:eastAsia="Times New Roman" w:hAnsi="Times New Roman" w:cs="Times New Roman"/>
          <w:sz w:val="20"/>
          <w:szCs w:val="20"/>
        </w:rPr>
        <w:t xml:space="preserve"> 7(d) as being able to accurately capture the long-term temperature trend. The past period (1960-2020) confirms a gradual warming trend, and the forecast for 2020-2030 is also an increase in temperatures. The 80% confidence interval, which is shaded, indicates the area of future anomalies that can be considered possible.</w:t>
      </w:r>
    </w:p>
    <w:p w14:paraId="6DE6293A" w14:textId="77777777" w:rsidR="00D93AD1" w:rsidRPr="001D7B15" w:rsidRDefault="00D93AD1" w:rsidP="001D7B15">
      <w:pPr>
        <w:spacing w:after="0"/>
        <w:jc w:val="both"/>
        <w:rPr>
          <w:rFonts w:ascii="Times New Roman" w:eastAsia="Times New Roman" w:hAnsi="Times New Roman" w:cs="Times New Roman"/>
          <w:sz w:val="16"/>
          <w:szCs w:val="16"/>
        </w:rPr>
      </w:pPr>
    </w:p>
    <w:p w14:paraId="106EDF64" w14:textId="77777777" w:rsidR="00A05DD1" w:rsidRPr="001D7B15" w:rsidRDefault="00000000">
      <w:pPr>
        <w:spacing w:after="80" w:line="240" w:lineRule="auto"/>
        <w:jc w:val="center"/>
        <w:rPr>
          <w:rFonts w:ascii="Times New Roman" w:eastAsia="Times New Roman" w:hAnsi="Times New Roman" w:cs="Times New Roman"/>
          <w:sz w:val="20"/>
          <w:szCs w:val="20"/>
        </w:rPr>
      </w:pPr>
      <w:r w:rsidRPr="001D7B15">
        <w:rPr>
          <w:rFonts w:ascii="Times New Roman" w:eastAsia="Times New Roman" w:hAnsi="Times New Roman" w:cs="Times New Roman"/>
          <w:sz w:val="20"/>
          <w:szCs w:val="20"/>
        </w:rPr>
        <w:t>V. CONCLUSION</w:t>
      </w:r>
    </w:p>
    <w:p w14:paraId="20EAD081" w14:textId="4F1E1640" w:rsidR="00D93AD1" w:rsidRDefault="00000000">
      <w:pPr>
        <w:spacing w:after="80" w:line="240" w:lineRule="auto"/>
        <w:jc w:val="both"/>
        <w:rPr>
          <w:rFonts w:ascii="Times New Roman" w:eastAsia="Times New Roman" w:hAnsi="Times New Roman" w:cs="Times New Roman"/>
          <w:sz w:val="20"/>
          <w:szCs w:val="20"/>
        </w:rPr>
      </w:pPr>
      <w:r w:rsidRPr="001D7B15">
        <w:rPr>
          <w:rFonts w:ascii="Times New Roman" w:eastAsia="Times New Roman" w:hAnsi="Times New Roman" w:cs="Times New Roman"/>
          <w:sz w:val="20"/>
          <w:szCs w:val="20"/>
        </w:rPr>
        <w:t xml:space="preserve">The rising temperature anomaly trends confirmed a general warming, thus growing impacts of climate change across regions and confirmation of the indiscriminate warming. Among the models compared, Holt-Winters proved to be the most efficient overall, capturing trends and temporal patterns accordingly. Linear and Ridge Regression gave satisfactory results for the overall warming trend, while Random Forest proved superior in short-term forecasting but fell short for the long-term forecast because of overfitting. However, despite the rich inferences that can be made, this paper suffers from a limitation arising from the focus mainly on temperature anomalies and the omission of other key climate variables such as greenhouse gas concentrations, oceanic oscillations, and land-use variables. The use of annual data prevents us from detecting short-term departures and extreme events. In future work, these issues will be addressed by ingesting multidimensional climate predictors and using state-of-the-art deep learning architectures such as LSTM and ConvLSTM. </w:t>
      </w:r>
      <w:r w:rsidR="00C90071" w:rsidRPr="001D7B15">
        <w:rPr>
          <w:rFonts w:ascii="Times New Roman" w:eastAsia="Times New Roman" w:hAnsi="Times New Roman" w:cs="Times New Roman"/>
          <w:sz w:val="20"/>
          <w:szCs w:val="20"/>
        </w:rPr>
        <w:t>The proposal of combining ensemble methods with informed AI is aimed at enhancing the reliability and realism of models thus contributing to the better accuracy of climate forecasting and the planning of resilience.</w:t>
      </w:r>
    </w:p>
    <w:p w14:paraId="527F8D41" w14:textId="604A317D" w:rsidR="00267A13" w:rsidRPr="001D7B15" w:rsidRDefault="00000000">
      <w:pPr>
        <w:spacing w:after="80" w:line="240" w:lineRule="auto"/>
        <w:jc w:val="both"/>
        <w:rPr>
          <w:rFonts w:ascii="Times New Roman" w:eastAsia="Times New Roman" w:hAnsi="Times New Roman" w:cs="Times New Roman"/>
          <w:sz w:val="20"/>
          <w:szCs w:val="20"/>
        </w:rPr>
      </w:pPr>
      <w:r w:rsidRPr="001D7B15">
        <w:rPr>
          <w:rFonts w:ascii="Times New Roman" w:eastAsia="Times New Roman" w:hAnsi="Times New Roman" w:cs="Times New Roman"/>
          <w:sz w:val="20"/>
          <w:szCs w:val="20"/>
        </w:rPr>
        <w:t>REFERENCES</w:t>
      </w:r>
    </w:p>
    <w:p w14:paraId="54C0C978" w14:textId="77777777" w:rsidR="00540D27" w:rsidRDefault="00540D27">
      <w:pPr>
        <w:numPr>
          <w:ilvl w:val="0"/>
          <w:numId w:val="2"/>
        </w:numPr>
        <w:pBdr>
          <w:top w:val="nil"/>
          <w:left w:val="nil"/>
          <w:bottom w:val="nil"/>
          <w:right w:val="nil"/>
          <w:between w:val="nil"/>
        </w:pBdr>
        <w:spacing w:after="0"/>
        <w:ind w:left="284" w:hanging="284"/>
        <w:jc w:val="both"/>
        <w:rPr>
          <w:rFonts w:ascii="Times New Roman" w:eastAsia="Times New Roman" w:hAnsi="Times New Roman" w:cs="Times New Roman"/>
          <w:color w:val="000000"/>
          <w:sz w:val="16"/>
          <w:szCs w:val="16"/>
        </w:rPr>
      </w:pPr>
      <w:r w:rsidRPr="00540D27">
        <w:rPr>
          <w:rFonts w:ascii="Times New Roman" w:eastAsia="Times New Roman" w:hAnsi="Times New Roman" w:cs="Times New Roman"/>
          <w:color w:val="000000"/>
          <w:sz w:val="16"/>
          <w:szCs w:val="16"/>
        </w:rPr>
        <w:t>Haldar, Sayantan, et al. "Trend analysis of long-term meteorological data of a growing metropolitan city in the era of global climate change." </w:t>
      </w:r>
      <w:r w:rsidRPr="00540D27">
        <w:rPr>
          <w:rFonts w:ascii="Times New Roman" w:eastAsia="Times New Roman" w:hAnsi="Times New Roman" w:cs="Times New Roman"/>
          <w:i/>
          <w:iCs/>
          <w:color w:val="000000"/>
          <w:sz w:val="16"/>
          <w:szCs w:val="16"/>
        </w:rPr>
        <w:t>Total Environment Research Themes</w:t>
      </w:r>
      <w:r w:rsidRPr="00540D27">
        <w:rPr>
          <w:rFonts w:ascii="Times New Roman" w:eastAsia="Times New Roman" w:hAnsi="Times New Roman" w:cs="Times New Roman"/>
          <w:color w:val="000000"/>
          <w:sz w:val="16"/>
          <w:szCs w:val="16"/>
        </w:rPr>
        <w:t> 7 (2023): 100056.</w:t>
      </w:r>
      <w:r w:rsidRPr="00540D27">
        <w:rPr>
          <w:rFonts w:ascii="Times New Roman" w:eastAsia="Times New Roman" w:hAnsi="Times New Roman" w:cs="Times New Roman"/>
          <w:color w:val="000000"/>
          <w:sz w:val="16"/>
          <w:szCs w:val="16"/>
        </w:rPr>
        <w:t xml:space="preserve"> </w:t>
      </w:r>
    </w:p>
    <w:p w14:paraId="4B183EB6" w14:textId="7D7D8E15" w:rsidR="00A05DD1" w:rsidRPr="001D7B15" w:rsidRDefault="00000000">
      <w:pPr>
        <w:numPr>
          <w:ilvl w:val="0"/>
          <w:numId w:val="2"/>
        </w:numPr>
        <w:pBdr>
          <w:top w:val="nil"/>
          <w:left w:val="nil"/>
          <w:bottom w:val="nil"/>
          <w:right w:val="nil"/>
          <w:between w:val="nil"/>
        </w:pBdr>
        <w:spacing w:after="0"/>
        <w:ind w:left="284" w:hanging="284"/>
        <w:jc w:val="both"/>
        <w:rPr>
          <w:rFonts w:ascii="Times New Roman" w:eastAsia="Times New Roman" w:hAnsi="Times New Roman" w:cs="Times New Roman"/>
          <w:color w:val="000000"/>
          <w:sz w:val="16"/>
          <w:szCs w:val="16"/>
        </w:rPr>
      </w:pPr>
      <w:r w:rsidRPr="001D7B15">
        <w:rPr>
          <w:rFonts w:ascii="Times New Roman" w:eastAsia="Times New Roman" w:hAnsi="Times New Roman" w:cs="Times New Roman"/>
          <w:color w:val="000000"/>
          <w:sz w:val="16"/>
          <w:szCs w:val="16"/>
        </w:rPr>
        <w:t>The Global Climate System. Learn Science at Scitable, Nature, 2025.</w:t>
      </w:r>
    </w:p>
    <w:p w14:paraId="7C2AA940" w14:textId="77777777" w:rsidR="00A05DD1" w:rsidRPr="001D7B15" w:rsidRDefault="00000000">
      <w:pPr>
        <w:numPr>
          <w:ilvl w:val="0"/>
          <w:numId w:val="2"/>
        </w:numPr>
        <w:pBdr>
          <w:top w:val="nil"/>
          <w:left w:val="nil"/>
          <w:bottom w:val="nil"/>
          <w:right w:val="nil"/>
          <w:between w:val="nil"/>
        </w:pBdr>
        <w:spacing w:after="0"/>
        <w:ind w:left="284" w:hanging="284"/>
        <w:jc w:val="both"/>
        <w:rPr>
          <w:rFonts w:ascii="Times New Roman" w:eastAsia="Times New Roman" w:hAnsi="Times New Roman" w:cs="Times New Roman"/>
          <w:color w:val="000000"/>
          <w:sz w:val="16"/>
          <w:szCs w:val="16"/>
        </w:rPr>
      </w:pPr>
      <w:r w:rsidRPr="001D7B15">
        <w:rPr>
          <w:rFonts w:ascii="Times New Roman" w:eastAsia="Times New Roman" w:hAnsi="Times New Roman" w:cs="Times New Roman"/>
          <w:color w:val="000000"/>
          <w:sz w:val="16"/>
          <w:szCs w:val="16"/>
        </w:rPr>
        <w:t>von der Heydt, Anna S., et al. "Quantification and interpretation of the climate variability record." Global and Planetary Change 197 (2021): 103399.</w:t>
      </w:r>
    </w:p>
    <w:p w14:paraId="2CC089C0" w14:textId="0BD2AC28" w:rsidR="002F7AA1" w:rsidRPr="002F7AA1" w:rsidRDefault="002F7AA1" w:rsidP="00072DEE">
      <w:pPr>
        <w:numPr>
          <w:ilvl w:val="0"/>
          <w:numId w:val="2"/>
        </w:numPr>
        <w:pBdr>
          <w:top w:val="nil"/>
          <w:left w:val="nil"/>
          <w:bottom w:val="nil"/>
          <w:right w:val="nil"/>
          <w:between w:val="nil"/>
        </w:pBdr>
        <w:tabs>
          <w:tab w:val="left" w:pos="284"/>
          <w:tab w:val="left" w:pos="426"/>
        </w:tabs>
        <w:spacing w:after="0" w:line="240" w:lineRule="auto"/>
        <w:ind w:left="284" w:hanging="284"/>
        <w:jc w:val="both"/>
        <w:rPr>
          <w:rFonts w:ascii="Times New Roman" w:eastAsia="Times New Roman" w:hAnsi="Times New Roman" w:cs="Times New Roman"/>
          <w:color w:val="000000"/>
          <w:sz w:val="16"/>
          <w:szCs w:val="16"/>
        </w:rPr>
      </w:pPr>
      <w:r w:rsidRPr="002F7AA1">
        <w:rPr>
          <w:rFonts w:ascii="Times New Roman" w:eastAsia="Times New Roman" w:hAnsi="Times New Roman" w:cs="Times New Roman"/>
          <w:color w:val="000000"/>
          <w:sz w:val="16"/>
          <w:szCs w:val="16"/>
        </w:rPr>
        <w:t>Kogan, Felix. "The IPCC reports on global warming and land changes." </w:t>
      </w:r>
      <w:r w:rsidRPr="002F7AA1">
        <w:rPr>
          <w:rFonts w:ascii="Times New Roman" w:eastAsia="Times New Roman" w:hAnsi="Times New Roman" w:cs="Times New Roman"/>
          <w:i/>
          <w:iCs/>
          <w:color w:val="000000"/>
          <w:sz w:val="16"/>
          <w:szCs w:val="16"/>
        </w:rPr>
        <w:t>Remote Sensing Land Surface Changes: The 1981-2020 Intensive Global Warming</w:t>
      </w:r>
      <w:r w:rsidRPr="002F7AA1">
        <w:rPr>
          <w:rFonts w:ascii="Times New Roman" w:eastAsia="Times New Roman" w:hAnsi="Times New Roman" w:cs="Times New Roman"/>
          <w:color w:val="000000"/>
          <w:sz w:val="16"/>
          <w:szCs w:val="16"/>
        </w:rPr>
        <w:t>. Cham: Springer International Publishing, 2023. 67-79.</w:t>
      </w:r>
    </w:p>
    <w:p w14:paraId="6459E129" w14:textId="14FC43C5" w:rsidR="00072DEE" w:rsidRPr="00072DEE" w:rsidRDefault="00072DEE" w:rsidP="00072DEE">
      <w:pPr>
        <w:numPr>
          <w:ilvl w:val="0"/>
          <w:numId w:val="2"/>
        </w:numPr>
        <w:pBdr>
          <w:top w:val="nil"/>
          <w:left w:val="nil"/>
          <w:bottom w:val="nil"/>
          <w:right w:val="nil"/>
          <w:between w:val="nil"/>
        </w:pBdr>
        <w:tabs>
          <w:tab w:val="left" w:pos="284"/>
          <w:tab w:val="left" w:pos="426"/>
        </w:tabs>
        <w:spacing w:after="0" w:line="240" w:lineRule="auto"/>
        <w:ind w:left="284" w:hanging="284"/>
        <w:jc w:val="both"/>
        <w:rPr>
          <w:rFonts w:ascii="Times New Roman" w:eastAsia="Times New Roman" w:hAnsi="Times New Roman" w:cs="Times New Roman"/>
          <w:color w:val="000000"/>
          <w:sz w:val="16"/>
          <w:szCs w:val="16"/>
          <w:highlight w:val="yellow"/>
        </w:rPr>
      </w:pPr>
      <w:r w:rsidRPr="00072DEE">
        <w:rPr>
          <w:rFonts w:ascii="Times New Roman" w:eastAsia="Times New Roman" w:hAnsi="Times New Roman" w:cs="Times New Roman"/>
          <w:color w:val="000000"/>
          <w:sz w:val="16"/>
          <w:szCs w:val="16"/>
          <w:highlight w:val="yellow"/>
        </w:rPr>
        <w:t>Goh, Ren Xiang, et al. "AI Based Control System for Electric Vehicles with Predictive Maintenance and Adaptive Energy Management." </w:t>
      </w:r>
      <w:r w:rsidRPr="00072DEE">
        <w:rPr>
          <w:rFonts w:ascii="Times New Roman" w:eastAsia="Times New Roman" w:hAnsi="Times New Roman" w:cs="Times New Roman"/>
          <w:i/>
          <w:iCs/>
          <w:color w:val="000000"/>
          <w:sz w:val="16"/>
          <w:szCs w:val="16"/>
          <w:highlight w:val="yellow"/>
        </w:rPr>
        <w:t>2025 21st IEEE International Colloquium on Signal Processing &amp; Its Applications (CSPA)</w:t>
      </w:r>
      <w:r w:rsidRPr="00072DEE">
        <w:rPr>
          <w:rFonts w:ascii="Times New Roman" w:eastAsia="Times New Roman" w:hAnsi="Times New Roman" w:cs="Times New Roman"/>
          <w:color w:val="000000"/>
          <w:sz w:val="16"/>
          <w:szCs w:val="16"/>
          <w:highlight w:val="yellow"/>
        </w:rPr>
        <w:t>. IEEE, 2025.</w:t>
      </w:r>
    </w:p>
    <w:p w14:paraId="5EBBEE93" w14:textId="74FB59DD" w:rsidR="00A05DD1" w:rsidRPr="001D7B15" w:rsidRDefault="00000000">
      <w:pPr>
        <w:numPr>
          <w:ilvl w:val="0"/>
          <w:numId w:val="2"/>
        </w:numPr>
        <w:pBdr>
          <w:top w:val="nil"/>
          <w:left w:val="nil"/>
          <w:bottom w:val="nil"/>
          <w:right w:val="nil"/>
          <w:between w:val="nil"/>
        </w:pBdr>
        <w:spacing w:after="0"/>
        <w:ind w:left="284" w:hanging="284"/>
        <w:jc w:val="both"/>
        <w:rPr>
          <w:rFonts w:ascii="Times New Roman" w:eastAsia="Times New Roman" w:hAnsi="Times New Roman" w:cs="Times New Roman"/>
          <w:color w:val="000000"/>
          <w:sz w:val="16"/>
          <w:szCs w:val="16"/>
        </w:rPr>
      </w:pPr>
      <w:r w:rsidRPr="001D7B15">
        <w:rPr>
          <w:rFonts w:ascii="Times New Roman" w:eastAsia="Times New Roman" w:hAnsi="Times New Roman" w:cs="Times New Roman"/>
          <w:color w:val="000000"/>
          <w:sz w:val="16"/>
          <w:szCs w:val="16"/>
        </w:rPr>
        <w:t>“Assessing the Global Climate in June 2025.” National Centers for Environmental Information (NCEI), 10 July 2025,</w:t>
      </w:r>
      <w:r w:rsidR="00540D27" w:rsidRPr="00540D27">
        <w:t xml:space="preserve"> </w:t>
      </w:r>
      <w:hyperlink r:id="rId31" w:tgtFrame="_new" w:history="1">
        <w:r w:rsidR="00540D27" w:rsidRPr="00540D27">
          <w:rPr>
            <w:rStyle w:val="Hyperlink"/>
            <w:rFonts w:ascii="Times New Roman" w:eastAsia="Times New Roman" w:hAnsi="Times New Roman" w:cs="Times New Roman"/>
            <w:sz w:val="16"/>
            <w:szCs w:val="16"/>
          </w:rPr>
          <w:t>https://www.ncei.noaa.gov/news/global-climate-202506</w:t>
        </w:r>
      </w:hyperlink>
      <w:r w:rsidRPr="001D7B15">
        <w:rPr>
          <w:rFonts w:ascii="Times New Roman" w:eastAsia="Times New Roman" w:hAnsi="Times New Roman" w:cs="Times New Roman"/>
          <w:color w:val="000000"/>
          <w:sz w:val="16"/>
          <w:szCs w:val="16"/>
        </w:rPr>
        <w:t xml:space="preserve"> </w:t>
      </w:r>
    </w:p>
    <w:p w14:paraId="6ABC6A0C" w14:textId="0A531767" w:rsidR="00A05DD1" w:rsidRPr="001D7B15" w:rsidRDefault="00000000">
      <w:pPr>
        <w:numPr>
          <w:ilvl w:val="0"/>
          <w:numId w:val="2"/>
        </w:numPr>
        <w:pBdr>
          <w:top w:val="nil"/>
          <w:left w:val="nil"/>
          <w:bottom w:val="nil"/>
          <w:right w:val="nil"/>
          <w:between w:val="nil"/>
        </w:pBdr>
        <w:spacing w:after="0"/>
        <w:ind w:left="284" w:hanging="284"/>
        <w:jc w:val="both"/>
        <w:rPr>
          <w:rFonts w:ascii="Times New Roman" w:eastAsia="Times New Roman" w:hAnsi="Times New Roman" w:cs="Times New Roman"/>
          <w:color w:val="000000"/>
          <w:sz w:val="16"/>
          <w:szCs w:val="16"/>
        </w:rPr>
      </w:pPr>
      <w:r w:rsidRPr="001D7B15">
        <w:rPr>
          <w:rFonts w:ascii="Times New Roman" w:eastAsia="Times New Roman" w:hAnsi="Times New Roman" w:cs="Times New Roman"/>
          <w:color w:val="000000"/>
          <w:sz w:val="16"/>
          <w:szCs w:val="16"/>
        </w:rPr>
        <w:t xml:space="preserve">“Global Climate Predictions Show Temperatures Expected to Remain at or Near Record Levels in Coming 5 Years.” World Meteorological Organization, 20 June 2025, </w:t>
      </w:r>
      <w:hyperlink r:id="rId32" w:history="1">
        <w:r w:rsidR="00540D27" w:rsidRPr="00A972A2">
          <w:rPr>
            <w:rStyle w:val="Hyperlink"/>
            <w:rFonts w:ascii="Times New Roman" w:eastAsia="Times New Roman" w:hAnsi="Times New Roman" w:cs="Times New Roman"/>
            <w:sz w:val="16"/>
            <w:szCs w:val="16"/>
          </w:rPr>
          <w:t>https://wmo.int/news/media-centre/press-releases</w:t>
        </w:r>
      </w:hyperlink>
      <w:r w:rsidR="00540D27">
        <w:rPr>
          <w:rFonts w:ascii="Times New Roman" w:eastAsia="Times New Roman" w:hAnsi="Times New Roman" w:cs="Times New Roman"/>
          <w:color w:val="000000"/>
          <w:sz w:val="16"/>
          <w:szCs w:val="16"/>
        </w:rPr>
        <w:t xml:space="preserve"> </w:t>
      </w:r>
    </w:p>
    <w:p w14:paraId="593D36BC" w14:textId="77777777" w:rsidR="00A05DD1" w:rsidRPr="001D7B15" w:rsidRDefault="00000000">
      <w:pPr>
        <w:numPr>
          <w:ilvl w:val="0"/>
          <w:numId w:val="2"/>
        </w:numPr>
        <w:pBdr>
          <w:top w:val="nil"/>
          <w:left w:val="nil"/>
          <w:bottom w:val="nil"/>
          <w:right w:val="nil"/>
          <w:between w:val="nil"/>
        </w:pBdr>
        <w:spacing w:after="0"/>
        <w:ind w:left="284" w:hanging="284"/>
        <w:jc w:val="both"/>
        <w:rPr>
          <w:rFonts w:ascii="Times New Roman" w:eastAsia="Times New Roman" w:hAnsi="Times New Roman" w:cs="Times New Roman"/>
          <w:color w:val="000000"/>
          <w:sz w:val="16"/>
          <w:szCs w:val="16"/>
        </w:rPr>
      </w:pPr>
      <w:r w:rsidRPr="001D7B15">
        <w:rPr>
          <w:rFonts w:ascii="Times New Roman" w:eastAsia="Times New Roman" w:hAnsi="Times New Roman" w:cs="Times New Roman"/>
          <w:color w:val="000000"/>
          <w:sz w:val="16"/>
          <w:szCs w:val="16"/>
        </w:rPr>
        <w:t>Reichle, David E. “Climate and Climate Models.” Elsevier eBooks, 2023, pp. 389–452, doi:10.1016/b978-0-443-18775-9.00010-3.</w:t>
      </w:r>
    </w:p>
    <w:p w14:paraId="1C69A51D" w14:textId="77777777" w:rsidR="00A05DD1" w:rsidRPr="001D7B15" w:rsidRDefault="00000000">
      <w:pPr>
        <w:numPr>
          <w:ilvl w:val="0"/>
          <w:numId w:val="2"/>
        </w:numPr>
        <w:pBdr>
          <w:top w:val="nil"/>
          <w:left w:val="nil"/>
          <w:bottom w:val="nil"/>
          <w:right w:val="nil"/>
          <w:between w:val="nil"/>
        </w:pBdr>
        <w:spacing w:after="0"/>
        <w:ind w:left="284" w:hanging="284"/>
        <w:jc w:val="both"/>
        <w:rPr>
          <w:rFonts w:ascii="Times New Roman" w:eastAsia="Times New Roman" w:hAnsi="Times New Roman" w:cs="Times New Roman"/>
          <w:color w:val="000000"/>
          <w:sz w:val="16"/>
          <w:szCs w:val="16"/>
        </w:rPr>
      </w:pPr>
      <w:r w:rsidRPr="001D7B15">
        <w:rPr>
          <w:rFonts w:ascii="Times New Roman" w:eastAsia="Times New Roman" w:hAnsi="Times New Roman" w:cs="Times New Roman"/>
          <w:color w:val="000000"/>
          <w:sz w:val="16"/>
          <w:szCs w:val="16"/>
        </w:rPr>
        <w:t>Lenderink, Geert, et al. "A pseudo global warming based system to study how climate change affects high impact rainfall events." Weather and Climate Extremes (2025): 100781.</w:t>
      </w:r>
    </w:p>
    <w:p w14:paraId="1BF002B5" w14:textId="77777777" w:rsidR="00A05DD1" w:rsidRPr="001D7B15" w:rsidRDefault="00000000">
      <w:pPr>
        <w:numPr>
          <w:ilvl w:val="0"/>
          <w:numId w:val="2"/>
        </w:numPr>
        <w:pBdr>
          <w:top w:val="nil"/>
          <w:left w:val="nil"/>
          <w:bottom w:val="nil"/>
          <w:right w:val="nil"/>
          <w:between w:val="nil"/>
        </w:pBdr>
        <w:spacing w:after="0"/>
        <w:ind w:left="284" w:hanging="284"/>
        <w:jc w:val="both"/>
        <w:rPr>
          <w:rFonts w:ascii="Times New Roman" w:eastAsia="Times New Roman" w:hAnsi="Times New Roman" w:cs="Times New Roman"/>
          <w:color w:val="000000"/>
          <w:sz w:val="16"/>
          <w:szCs w:val="16"/>
        </w:rPr>
      </w:pPr>
      <w:r w:rsidRPr="001D7B15">
        <w:rPr>
          <w:rFonts w:ascii="Times New Roman" w:eastAsia="Times New Roman" w:hAnsi="Times New Roman" w:cs="Times New Roman"/>
          <w:color w:val="000000"/>
          <w:sz w:val="16"/>
          <w:szCs w:val="16"/>
        </w:rPr>
        <w:t>Shah, Fahad, and Ayyoob Sharifi. "Climate models for predicting precipitation and temperature trends in cities: A systematic review." Sustainable Cities and Society (2025): 106171.</w:t>
      </w:r>
    </w:p>
    <w:p w14:paraId="65E221CD" w14:textId="0B047C37" w:rsidR="00520FCD" w:rsidRDefault="00520FCD">
      <w:pPr>
        <w:numPr>
          <w:ilvl w:val="0"/>
          <w:numId w:val="2"/>
        </w:numPr>
        <w:pBdr>
          <w:top w:val="nil"/>
          <w:left w:val="nil"/>
          <w:bottom w:val="nil"/>
          <w:right w:val="nil"/>
          <w:between w:val="nil"/>
        </w:pBdr>
        <w:tabs>
          <w:tab w:val="left" w:pos="284"/>
          <w:tab w:val="left" w:pos="426"/>
        </w:tabs>
        <w:spacing w:after="0" w:line="240" w:lineRule="auto"/>
        <w:ind w:left="284" w:hanging="284"/>
        <w:jc w:val="both"/>
        <w:rPr>
          <w:rFonts w:ascii="Times New Roman" w:eastAsia="Times New Roman" w:hAnsi="Times New Roman" w:cs="Times New Roman"/>
          <w:color w:val="000000"/>
          <w:sz w:val="16"/>
          <w:szCs w:val="16"/>
        </w:rPr>
      </w:pPr>
      <w:r w:rsidRPr="00520FCD">
        <w:rPr>
          <w:rFonts w:ascii="Times New Roman" w:eastAsia="Times New Roman" w:hAnsi="Times New Roman" w:cs="Times New Roman"/>
          <w:color w:val="000000"/>
          <w:sz w:val="16"/>
          <w:szCs w:val="16"/>
        </w:rPr>
        <w:t>Haq, Mohd Anul, et al. "Analysis of environmental factors using AI and ML methods." </w:t>
      </w:r>
      <w:r w:rsidRPr="00520FCD">
        <w:rPr>
          <w:rFonts w:ascii="Times New Roman" w:eastAsia="Times New Roman" w:hAnsi="Times New Roman" w:cs="Times New Roman"/>
          <w:i/>
          <w:iCs/>
          <w:color w:val="000000"/>
          <w:sz w:val="16"/>
          <w:szCs w:val="16"/>
        </w:rPr>
        <w:t>Scientific Reports</w:t>
      </w:r>
      <w:r w:rsidRPr="00520FCD">
        <w:rPr>
          <w:rFonts w:ascii="Times New Roman" w:eastAsia="Times New Roman" w:hAnsi="Times New Roman" w:cs="Times New Roman"/>
          <w:color w:val="000000"/>
          <w:sz w:val="16"/>
          <w:szCs w:val="16"/>
        </w:rPr>
        <w:t> 12.1 (2022): 13267.</w:t>
      </w:r>
    </w:p>
    <w:p w14:paraId="07A85413" w14:textId="720FDEC5" w:rsidR="00A05DD1" w:rsidRPr="001D7B15" w:rsidRDefault="00000000">
      <w:pPr>
        <w:numPr>
          <w:ilvl w:val="0"/>
          <w:numId w:val="2"/>
        </w:numPr>
        <w:pBdr>
          <w:top w:val="nil"/>
          <w:left w:val="nil"/>
          <w:bottom w:val="nil"/>
          <w:right w:val="nil"/>
          <w:between w:val="nil"/>
        </w:pBdr>
        <w:tabs>
          <w:tab w:val="left" w:pos="284"/>
          <w:tab w:val="left" w:pos="426"/>
        </w:tabs>
        <w:spacing w:after="0" w:line="240" w:lineRule="auto"/>
        <w:ind w:left="284" w:hanging="284"/>
        <w:jc w:val="both"/>
        <w:rPr>
          <w:rFonts w:ascii="Times New Roman" w:eastAsia="Times New Roman" w:hAnsi="Times New Roman" w:cs="Times New Roman"/>
          <w:color w:val="000000"/>
          <w:sz w:val="16"/>
          <w:szCs w:val="16"/>
        </w:rPr>
      </w:pPr>
      <w:r w:rsidRPr="001D7B15">
        <w:rPr>
          <w:rFonts w:ascii="Times New Roman" w:eastAsia="Times New Roman" w:hAnsi="Times New Roman" w:cs="Times New Roman"/>
          <w:color w:val="000000"/>
          <w:sz w:val="16"/>
          <w:szCs w:val="16"/>
        </w:rPr>
        <w:t>Vaughan, Anna, et al. "Convolutional conditional neural processes for local climate downscaling." Geoscientific Model Development Discussions 2021 (2021): 1-25.</w:t>
      </w:r>
    </w:p>
    <w:p w14:paraId="5FAE0330" w14:textId="77777777" w:rsidR="00A05DD1" w:rsidRPr="001D7B15" w:rsidRDefault="00000000">
      <w:pPr>
        <w:numPr>
          <w:ilvl w:val="0"/>
          <w:numId w:val="2"/>
        </w:numPr>
        <w:pBdr>
          <w:top w:val="nil"/>
          <w:left w:val="nil"/>
          <w:bottom w:val="nil"/>
          <w:right w:val="nil"/>
          <w:between w:val="nil"/>
        </w:pBdr>
        <w:tabs>
          <w:tab w:val="left" w:pos="284"/>
          <w:tab w:val="left" w:pos="426"/>
        </w:tabs>
        <w:spacing w:after="0" w:line="240" w:lineRule="auto"/>
        <w:ind w:left="284" w:hanging="284"/>
        <w:jc w:val="both"/>
        <w:rPr>
          <w:rFonts w:ascii="Times New Roman" w:eastAsia="Times New Roman" w:hAnsi="Times New Roman" w:cs="Times New Roman"/>
          <w:color w:val="000000"/>
          <w:sz w:val="16"/>
          <w:szCs w:val="16"/>
        </w:rPr>
      </w:pPr>
      <w:r w:rsidRPr="001D7B15">
        <w:rPr>
          <w:rFonts w:ascii="Times New Roman" w:eastAsia="Times New Roman" w:hAnsi="Times New Roman" w:cs="Times New Roman"/>
          <w:color w:val="000000"/>
          <w:sz w:val="16"/>
          <w:szCs w:val="16"/>
        </w:rPr>
        <w:t>Khaira, Ummul, et al. "Integrating physics-based WRF atmospheric variables and machine learning algorithms to predict snowfall accumulation in Northeast United States." Journal of Hydrology 644 (2024): 132113.</w:t>
      </w:r>
    </w:p>
    <w:p w14:paraId="31BD41AC" w14:textId="77777777" w:rsidR="00A05DD1" w:rsidRPr="001D7B15" w:rsidRDefault="00000000">
      <w:pPr>
        <w:numPr>
          <w:ilvl w:val="0"/>
          <w:numId w:val="2"/>
        </w:numPr>
        <w:pBdr>
          <w:top w:val="nil"/>
          <w:left w:val="nil"/>
          <w:bottom w:val="nil"/>
          <w:right w:val="nil"/>
          <w:between w:val="nil"/>
        </w:pBdr>
        <w:tabs>
          <w:tab w:val="left" w:pos="284"/>
          <w:tab w:val="left" w:pos="426"/>
        </w:tabs>
        <w:spacing w:after="0" w:line="240" w:lineRule="auto"/>
        <w:ind w:left="284" w:hanging="284"/>
        <w:jc w:val="both"/>
        <w:rPr>
          <w:rFonts w:ascii="Times New Roman" w:eastAsia="Times New Roman" w:hAnsi="Times New Roman" w:cs="Times New Roman"/>
          <w:color w:val="000000"/>
          <w:sz w:val="16"/>
          <w:szCs w:val="16"/>
        </w:rPr>
      </w:pPr>
      <w:r w:rsidRPr="001D7B15">
        <w:rPr>
          <w:rFonts w:ascii="Times New Roman" w:eastAsia="Times New Roman" w:hAnsi="Times New Roman" w:cs="Times New Roman"/>
          <w:color w:val="000000"/>
          <w:sz w:val="16"/>
          <w:szCs w:val="16"/>
        </w:rPr>
        <w:t>Aryal, Yog. "Evaluation of machine-learning models for predicting aeolian dust: A case study over the southwestern USA." Climate 10.6 (2022): 78.</w:t>
      </w:r>
    </w:p>
    <w:p w14:paraId="448D3947" w14:textId="77777777" w:rsidR="00A05DD1" w:rsidRPr="001D7B15" w:rsidRDefault="00000000">
      <w:pPr>
        <w:numPr>
          <w:ilvl w:val="0"/>
          <w:numId w:val="2"/>
        </w:numPr>
        <w:pBdr>
          <w:top w:val="nil"/>
          <w:left w:val="nil"/>
          <w:bottom w:val="nil"/>
          <w:right w:val="nil"/>
          <w:between w:val="nil"/>
        </w:pBdr>
        <w:tabs>
          <w:tab w:val="left" w:pos="284"/>
          <w:tab w:val="left" w:pos="426"/>
        </w:tabs>
        <w:spacing w:after="0" w:line="240" w:lineRule="auto"/>
        <w:ind w:left="284" w:hanging="284"/>
        <w:jc w:val="both"/>
        <w:rPr>
          <w:rFonts w:ascii="Times New Roman" w:eastAsia="Times New Roman" w:hAnsi="Times New Roman" w:cs="Times New Roman"/>
          <w:color w:val="000000"/>
          <w:sz w:val="16"/>
          <w:szCs w:val="16"/>
        </w:rPr>
      </w:pPr>
      <w:r w:rsidRPr="001D7B15">
        <w:rPr>
          <w:rFonts w:ascii="Times New Roman" w:eastAsia="Times New Roman" w:hAnsi="Times New Roman" w:cs="Times New Roman"/>
          <w:color w:val="000000"/>
          <w:sz w:val="16"/>
          <w:szCs w:val="16"/>
        </w:rPr>
        <w:t>Shi, Jimeng, et al. "Graph transformer network for flood forecasting with heterogeneous covariates." arXiv preprint arXiv:2310.07631 (2023).</w:t>
      </w:r>
    </w:p>
    <w:p w14:paraId="78DB31CE" w14:textId="77777777" w:rsidR="00A05DD1" w:rsidRPr="001D7B15" w:rsidRDefault="00000000">
      <w:pPr>
        <w:numPr>
          <w:ilvl w:val="0"/>
          <w:numId w:val="2"/>
        </w:numPr>
        <w:pBdr>
          <w:top w:val="nil"/>
          <w:left w:val="nil"/>
          <w:bottom w:val="nil"/>
          <w:right w:val="nil"/>
          <w:between w:val="nil"/>
        </w:pBdr>
        <w:tabs>
          <w:tab w:val="left" w:pos="284"/>
          <w:tab w:val="left" w:pos="426"/>
        </w:tabs>
        <w:spacing w:after="0" w:line="240" w:lineRule="auto"/>
        <w:ind w:left="284" w:hanging="284"/>
        <w:jc w:val="both"/>
        <w:rPr>
          <w:rFonts w:ascii="Times New Roman" w:eastAsia="Times New Roman" w:hAnsi="Times New Roman" w:cs="Times New Roman"/>
          <w:color w:val="000000"/>
          <w:sz w:val="16"/>
          <w:szCs w:val="16"/>
        </w:rPr>
      </w:pPr>
      <w:r w:rsidRPr="001D7B15">
        <w:rPr>
          <w:rFonts w:ascii="Times New Roman" w:eastAsia="Times New Roman" w:hAnsi="Times New Roman" w:cs="Times New Roman"/>
          <w:color w:val="000000"/>
          <w:sz w:val="16"/>
          <w:szCs w:val="16"/>
        </w:rPr>
        <w:t>Rahat, Saiful Haque, et al. "Remote sensing-enabled machine learning for river water quality modeling under multidimensional uncertainty." Science of The Total Environment 898 (2023): 165504.</w:t>
      </w:r>
    </w:p>
    <w:p w14:paraId="0C12A3F3" w14:textId="77777777" w:rsidR="00A05DD1" w:rsidRPr="001D7B15" w:rsidRDefault="00000000">
      <w:pPr>
        <w:numPr>
          <w:ilvl w:val="0"/>
          <w:numId w:val="2"/>
        </w:numPr>
        <w:pBdr>
          <w:top w:val="nil"/>
          <w:left w:val="nil"/>
          <w:bottom w:val="nil"/>
          <w:right w:val="nil"/>
          <w:between w:val="nil"/>
        </w:pBdr>
        <w:tabs>
          <w:tab w:val="left" w:pos="284"/>
          <w:tab w:val="left" w:pos="426"/>
        </w:tabs>
        <w:spacing w:after="0" w:line="240" w:lineRule="auto"/>
        <w:ind w:left="284" w:hanging="284"/>
        <w:jc w:val="both"/>
        <w:rPr>
          <w:rFonts w:ascii="Times New Roman" w:eastAsia="Times New Roman" w:hAnsi="Times New Roman" w:cs="Times New Roman"/>
          <w:color w:val="000000"/>
          <w:sz w:val="16"/>
          <w:szCs w:val="16"/>
        </w:rPr>
      </w:pPr>
      <w:r w:rsidRPr="001D7B15">
        <w:rPr>
          <w:rFonts w:ascii="Times New Roman" w:eastAsia="Times New Roman" w:hAnsi="Times New Roman" w:cs="Times New Roman"/>
          <w:color w:val="000000"/>
          <w:sz w:val="16"/>
          <w:szCs w:val="16"/>
        </w:rPr>
        <w:t>Lu, Xinyong, et al. "Data-driven insights into climate change effects on groundwater levels using machine learning." Water Resources Management 39.7 (2025): 3521-3536.</w:t>
      </w:r>
    </w:p>
    <w:p w14:paraId="42285B59" w14:textId="77777777" w:rsidR="00A05DD1" w:rsidRPr="001D7B15" w:rsidRDefault="00000000">
      <w:pPr>
        <w:numPr>
          <w:ilvl w:val="0"/>
          <w:numId w:val="2"/>
        </w:numPr>
        <w:pBdr>
          <w:top w:val="nil"/>
          <w:left w:val="nil"/>
          <w:bottom w:val="nil"/>
          <w:right w:val="nil"/>
          <w:between w:val="nil"/>
        </w:pBdr>
        <w:tabs>
          <w:tab w:val="left" w:pos="284"/>
          <w:tab w:val="left" w:pos="426"/>
        </w:tabs>
        <w:spacing w:after="0" w:line="240" w:lineRule="auto"/>
        <w:ind w:left="284" w:hanging="284"/>
        <w:jc w:val="both"/>
        <w:rPr>
          <w:rFonts w:ascii="Times New Roman" w:eastAsia="Times New Roman" w:hAnsi="Times New Roman" w:cs="Times New Roman"/>
          <w:color w:val="000000"/>
          <w:sz w:val="16"/>
          <w:szCs w:val="16"/>
        </w:rPr>
      </w:pPr>
      <w:r w:rsidRPr="001D7B15">
        <w:rPr>
          <w:rFonts w:ascii="Times New Roman" w:eastAsia="Times New Roman" w:hAnsi="Times New Roman" w:cs="Times New Roman"/>
          <w:color w:val="000000"/>
          <w:sz w:val="16"/>
          <w:szCs w:val="16"/>
        </w:rPr>
        <w:t>Zhang, Lujun, Shang Gao, and Tiantian Yang. "Adapting subseasonal-to-seasonal (S2S) precipitation forecast at watersheds for hydrologic ensemble streamflow forecasting with a machine learning-based post-processing approach." Journal of Hydrology 631 (2024): 130643.</w:t>
      </w:r>
    </w:p>
    <w:p w14:paraId="21453668" w14:textId="77777777" w:rsidR="00A05DD1" w:rsidRPr="001D7B15" w:rsidRDefault="00000000">
      <w:pPr>
        <w:numPr>
          <w:ilvl w:val="0"/>
          <w:numId w:val="2"/>
        </w:numPr>
        <w:pBdr>
          <w:top w:val="nil"/>
          <w:left w:val="nil"/>
          <w:bottom w:val="nil"/>
          <w:right w:val="nil"/>
          <w:between w:val="nil"/>
        </w:pBdr>
        <w:tabs>
          <w:tab w:val="left" w:pos="284"/>
          <w:tab w:val="left" w:pos="426"/>
        </w:tabs>
        <w:spacing w:after="0" w:line="240" w:lineRule="auto"/>
        <w:ind w:left="284" w:hanging="284"/>
        <w:jc w:val="both"/>
        <w:rPr>
          <w:rFonts w:ascii="Times New Roman" w:eastAsia="Times New Roman" w:hAnsi="Times New Roman" w:cs="Times New Roman"/>
          <w:color w:val="000000"/>
          <w:sz w:val="16"/>
          <w:szCs w:val="16"/>
        </w:rPr>
      </w:pPr>
      <w:r w:rsidRPr="001D7B15">
        <w:rPr>
          <w:rFonts w:ascii="Times New Roman" w:eastAsia="Times New Roman" w:hAnsi="Times New Roman" w:cs="Times New Roman"/>
          <w:color w:val="000000"/>
          <w:sz w:val="16"/>
          <w:szCs w:val="16"/>
        </w:rPr>
        <w:t>Lei, Thomas MT, et al. "Using machine learning methods to forecast air quality: A case study in Macao." Atmosphere 13.9 (2022): 1412.</w:t>
      </w:r>
    </w:p>
    <w:p w14:paraId="7744FBC9" w14:textId="77777777" w:rsidR="00A05DD1" w:rsidRPr="001D7B15" w:rsidRDefault="00000000">
      <w:pPr>
        <w:numPr>
          <w:ilvl w:val="0"/>
          <w:numId w:val="2"/>
        </w:numPr>
        <w:pBdr>
          <w:top w:val="nil"/>
          <w:left w:val="nil"/>
          <w:bottom w:val="nil"/>
          <w:right w:val="nil"/>
          <w:between w:val="nil"/>
        </w:pBdr>
        <w:tabs>
          <w:tab w:val="left" w:pos="284"/>
          <w:tab w:val="left" w:pos="426"/>
        </w:tabs>
        <w:spacing w:after="0" w:line="240" w:lineRule="auto"/>
        <w:ind w:left="284" w:hanging="284"/>
        <w:jc w:val="both"/>
        <w:rPr>
          <w:rFonts w:ascii="Times New Roman" w:eastAsia="Times New Roman" w:hAnsi="Times New Roman" w:cs="Times New Roman"/>
          <w:color w:val="000000"/>
          <w:sz w:val="16"/>
          <w:szCs w:val="16"/>
        </w:rPr>
      </w:pPr>
      <w:r w:rsidRPr="001D7B15">
        <w:rPr>
          <w:rFonts w:ascii="Times New Roman" w:eastAsia="Times New Roman" w:hAnsi="Times New Roman" w:cs="Times New Roman"/>
          <w:color w:val="000000"/>
          <w:sz w:val="16"/>
          <w:szCs w:val="16"/>
        </w:rPr>
        <w:t xml:space="preserve">Climate Change Indicators.” </w:t>
      </w:r>
      <w:r w:rsidRPr="001D7B15">
        <w:rPr>
          <w:rFonts w:ascii="Times New Roman" w:eastAsia="Times New Roman" w:hAnsi="Times New Roman" w:cs="Times New Roman"/>
          <w:i/>
          <w:iCs/>
          <w:color w:val="000000"/>
          <w:sz w:val="16"/>
          <w:szCs w:val="16"/>
        </w:rPr>
        <w:t>Kaggle</w:t>
      </w:r>
      <w:r w:rsidRPr="001D7B15">
        <w:rPr>
          <w:rFonts w:ascii="Times New Roman" w:eastAsia="Times New Roman" w:hAnsi="Times New Roman" w:cs="Times New Roman"/>
          <w:color w:val="000000"/>
          <w:sz w:val="16"/>
          <w:szCs w:val="16"/>
        </w:rPr>
        <w:t>, dataset by TarunRM09, 2025</w:t>
      </w:r>
    </w:p>
    <w:p w14:paraId="2C7C3D37" w14:textId="77777777" w:rsidR="00A05DD1" w:rsidRPr="001D7B15" w:rsidRDefault="00000000">
      <w:pPr>
        <w:numPr>
          <w:ilvl w:val="0"/>
          <w:numId w:val="2"/>
        </w:numPr>
        <w:pBdr>
          <w:top w:val="nil"/>
          <w:left w:val="nil"/>
          <w:bottom w:val="nil"/>
          <w:right w:val="nil"/>
          <w:between w:val="nil"/>
        </w:pBdr>
        <w:spacing w:after="0" w:line="240" w:lineRule="auto"/>
        <w:ind w:left="284" w:hanging="284"/>
        <w:jc w:val="both"/>
        <w:rPr>
          <w:rFonts w:ascii="Times New Roman" w:eastAsia="Times New Roman" w:hAnsi="Times New Roman" w:cs="Times New Roman"/>
          <w:color w:val="000000"/>
          <w:sz w:val="16"/>
          <w:szCs w:val="16"/>
        </w:rPr>
      </w:pPr>
      <w:r w:rsidRPr="001D7B15">
        <w:rPr>
          <w:rFonts w:ascii="Times New Roman" w:eastAsia="Times New Roman" w:hAnsi="Times New Roman" w:cs="Times New Roman"/>
          <w:color w:val="000000"/>
          <w:sz w:val="16"/>
          <w:szCs w:val="16"/>
        </w:rPr>
        <w:t>Dimri, Tripti, Shamshad Ahmad, and Mohammad Sharif. "Time series analysis of climate variables using seasonal ARIMA approach." </w:t>
      </w:r>
      <w:r w:rsidRPr="001D7B15">
        <w:rPr>
          <w:rFonts w:ascii="Times New Roman" w:eastAsia="Times New Roman" w:hAnsi="Times New Roman" w:cs="Times New Roman"/>
          <w:i/>
          <w:iCs/>
          <w:color w:val="000000"/>
          <w:sz w:val="16"/>
          <w:szCs w:val="16"/>
        </w:rPr>
        <w:t>Journal of Earth System Science</w:t>
      </w:r>
      <w:r w:rsidRPr="001D7B15">
        <w:rPr>
          <w:rFonts w:ascii="Times New Roman" w:eastAsia="Times New Roman" w:hAnsi="Times New Roman" w:cs="Times New Roman"/>
          <w:color w:val="000000"/>
          <w:sz w:val="16"/>
          <w:szCs w:val="16"/>
        </w:rPr>
        <w:t> 129.1 (2020): 149.</w:t>
      </w:r>
    </w:p>
    <w:p w14:paraId="35452FBD" w14:textId="77777777" w:rsidR="00A05DD1" w:rsidRPr="001D7B15" w:rsidRDefault="00000000">
      <w:pPr>
        <w:numPr>
          <w:ilvl w:val="0"/>
          <w:numId w:val="2"/>
        </w:numPr>
        <w:pBdr>
          <w:top w:val="nil"/>
          <w:left w:val="nil"/>
          <w:bottom w:val="nil"/>
          <w:right w:val="nil"/>
          <w:between w:val="nil"/>
        </w:pBdr>
        <w:spacing w:after="0" w:line="240" w:lineRule="auto"/>
        <w:ind w:left="284" w:hanging="284"/>
        <w:jc w:val="both"/>
        <w:rPr>
          <w:rFonts w:ascii="Times New Roman" w:eastAsia="Times New Roman" w:hAnsi="Times New Roman" w:cs="Times New Roman"/>
          <w:color w:val="000000"/>
          <w:sz w:val="16"/>
          <w:szCs w:val="16"/>
        </w:rPr>
      </w:pPr>
      <w:r w:rsidRPr="001D7B15">
        <w:rPr>
          <w:rFonts w:ascii="Times New Roman" w:eastAsia="Times New Roman" w:hAnsi="Times New Roman" w:cs="Times New Roman"/>
          <w:color w:val="000000"/>
          <w:sz w:val="16"/>
          <w:szCs w:val="16"/>
        </w:rPr>
        <w:t>Lallawmzuali, Marina, and Sundararajan Muniyan. "Rainfall prediction in Mizoram using the modified Holt Winters method." </w:t>
      </w:r>
      <w:r w:rsidRPr="001D7B15">
        <w:rPr>
          <w:rFonts w:ascii="Times New Roman" w:eastAsia="Times New Roman" w:hAnsi="Times New Roman" w:cs="Times New Roman"/>
          <w:i/>
          <w:iCs/>
          <w:color w:val="000000"/>
          <w:sz w:val="16"/>
          <w:szCs w:val="16"/>
        </w:rPr>
        <w:t>Theoretical and Applied Climatology</w:t>
      </w:r>
      <w:r w:rsidRPr="001D7B15">
        <w:rPr>
          <w:rFonts w:ascii="Times New Roman" w:eastAsia="Times New Roman" w:hAnsi="Times New Roman" w:cs="Times New Roman"/>
          <w:color w:val="000000"/>
          <w:sz w:val="16"/>
          <w:szCs w:val="16"/>
        </w:rPr>
        <w:t> 156.2 (2025): 125.</w:t>
      </w:r>
    </w:p>
    <w:p w14:paraId="27412DC9" w14:textId="793F520C" w:rsidR="00EC4CE9" w:rsidRPr="00EC4CE9" w:rsidRDefault="00EC4CE9" w:rsidP="00EC4CE9">
      <w:pPr>
        <w:numPr>
          <w:ilvl w:val="0"/>
          <w:numId w:val="2"/>
        </w:numPr>
        <w:pBdr>
          <w:top w:val="nil"/>
          <w:left w:val="nil"/>
          <w:bottom w:val="nil"/>
          <w:right w:val="nil"/>
          <w:between w:val="nil"/>
        </w:pBdr>
        <w:spacing w:after="0" w:line="240" w:lineRule="auto"/>
        <w:ind w:left="284" w:hanging="284"/>
        <w:jc w:val="both"/>
        <w:rPr>
          <w:rFonts w:ascii="Times New Roman" w:eastAsia="Times New Roman" w:hAnsi="Times New Roman" w:cs="Times New Roman"/>
          <w:color w:val="000000"/>
          <w:sz w:val="16"/>
          <w:szCs w:val="16"/>
        </w:rPr>
      </w:pPr>
      <w:r w:rsidRPr="00EC4CE9">
        <w:rPr>
          <w:rFonts w:ascii="Times New Roman" w:eastAsia="Times New Roman" w:hAnsi="Times New Roman" w:cs="Times New Roman"/>
          <w:color w:val="000000"/>
          <w:sz w:val="16"/>
          <w:szCs w:val="16"/>
        </w:rPr>
        <w:t>Jisha, G. "Enhanced weather prediction with feature engineered, time series cross validated ridge regression model." </w:t>
      </w:r>
      <w:r w:rsidRPr="00EC4CE9">
        <w:rPr>
          <w:rFonts w:ascii="Times New Roman" w:eastAsia="Times New Roman" w:hAnsi="Times New Roman" w:cs="Times New Roman"/>
          <w:i/>
          <w:iCs/>
          <w:color w:val="000000"/>
          <w:sz w:val="16"/>
          <w:szCs w:val="16"/>
        </w:rPr>
        <w:t>2024 Control Instrumentation System Conference (CISCON)</w:t>
      </w:r>
      <w:r w:rsidRPr="00EC4CE9">
        <w:rPr>
          <w:rFonts w:ascii="Times New Roman" w:eastAsia="Times New Roman" w:hAnsi="Times New Roman" w:cs="Times New Roman"/>
          <w:color w:val="000000"/>
          <w:sz w:val="16"/>
          <w:szCs w:val="16"/>
        </w:rPr>
        <w:t>. IEEE, 2024.</w:t>
      </w:r>
    </w:p>
    <w:p w14:paraId="168E392E" w14:textId="77777777" w:rsidR="00520FCD" w:rsidRPr="00072DEE" w:rsidRDefault="00520FCD" w:rsidP="00520FCD">
      <w:pPr>
        <w:numPr>
          <w:ilvl w:val="0"/>
          <w:numId w:val="2"/>
        </w:numPr>
        <w:pBdr>
          <w:top w:val="nil"/>
          <w:left w:val="nil"/>
          <w:bottom w:val="nil"/>
          <w:right w:val="nil"/>
          <w:between w:val="nil"/>
        </w:pBdr>
        <w:spacing w:after="0" w:line="240" w:lineRule="auto"/>
        <w:ind w:left="284" w:hanging="284"/>
        <w:jc w:val="both"/>
        <w:rPr>
          <w:rFonts w:ascii="Times New Roman" w:eastAsia="Times New Roman" w:hAnsi="Times New Roman" w:cs="Times New Roman"/>
          <w:color w:val="000000"/>
          <w:sz w:val="16"/>
          <w:szCs w:val="16"/>
          <w:highlight w:val="yellow"/>
        </w:rPr>
      </w:pPr>
      <w:r w:rsidRPr="00072DEE">
        <w:rPr>
          <w:rFonts w:ascii="Times New Roman" w:eastAsia="Times New Roman" w:hAnsi="Times New Roman" w:cs="Times New Roman"/>
          <w:color w:val="000000"/>
          <w:sz w:val="16"/>
          <w:szCs w:val="16"/>
          <w:highlight w:val="yellow"/>
        </w:rPr>
        <w:t>Hamzehei, Sahand, et al. "Predicting the total Unified Parkinson’s Disease Rating Scale (UPDRS) based on ML techniques and cloud-based update." </w:t>
      </w:r>
      <w:r w:rsidRPr="00072DEE">
        <w:rPr>
          <w:rFonts w:ascii="Times New Roman" w:eastAsia="Times New Roman" w:hAnsi="Times New Roman" w:cs="Times New Roman"/>
          <w:i/>
          <w:iCs/>
          <w:color w:val="000000"/>
          <w:sz w:val="16"/>
          <w:szCs w:val="16"/>
          <w:highlight w:val="yellow"/>
        </w:rPr>
        <w:t>Journal of Cloud Computing</w:t>
      </w:r>
      <w:r w:rsidRPr="00072DEE">
        <w:rPr>
          <w:rFonts w:ascii="Times New Roman" w:eastAsia="Times New Roman" w:hAnsi="Times New Roman" w:cs="Times New Roman"/>
          <w:color w:val="000000"/>
          <w:sz w:val="16"/>
          <w:szCs w:val="16"/>
          <w:highlight w:val="yellow"/>
        </w:rPr>
        <w:t> 12.1 (2023): 12.</w:t>
      </w:r>
    </w:p>
    <w:p w14:paraId="3A452773" w14:textId="35D71004" w:rsidR="00A05DD1" w:rsidRPr="00B01578" w:rsidRDefault="00A05DD1" w:rsidP="00520FCD">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16"/>
          <w:szCs w:val="16"/>
        </w:rPr>
      </w:pPr>
    </w:p>
    <w:sectPr w:rsidR="00A05DD1" w:rsidRPr="00B01578" w:rsidSect="00D93AD1">
      <w:type w:val="continuous"/>
      <w:pgSz w:w="11906" w:h="16838"/>
      <w:pgMar w:top="1440" w:right="1440" w:bottom="993" w:left="1440" w:header="708" w:footer="708" w:gutter="0"/>
      <w:cols w:num="2" w:space="720" w:equalWidth="0">
        <w:col w:w="4371" w:space="282"/>
        <w:col w:w="4371"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3E26B29B-E608-4794-BD90-86A4DB32A5AD}"/>
    <w:embedItalic r:id="rId2" w:fontKey="{AE9FD634-6D88-4571-B038-DD8F45812316}"/>
  </w:font>
  <w:font w:name="Play">
    <w:charset w:val="00"/>
    <w:family w:val="auto"/>
    <w:pitch w:val="default"/>
  </w:font>
  <w:font w:name="Cambria Math">
    <w:panose1 w:val="02040503050406030204"/>
    <w:charset w:val="00"/>
    <w:family w:val="roman"/>
    <w:pitch w:val="variable"/>
    <w:sig w:usb0="E00006FF" w:usb1="420024FF" w:usb2="02000000" w:usb3="00000000" w:csb0="0000019F" w:csb1="00000000"/>
    <w:embedRegular r:id="rId3" w:fontKey="{5BC8B550-6D78-43DB-A020-EBE9680C7ADE}"/>
    <w:embedItalic r:id="rId4" w:fontKey="{6624FB23-E2DF-4C9A-8B9D-D2388002EE24}"/>
  </w:font>
  <w:font w:name="Calibri">
    <w:panose1 w:val="020F0502020204030204"/>
    <w:charset w:val="00"/>
    <w:family w:val="swiss"/>
    <w:pitch w:val="variable"/>
    <w:sig w:usb0="E4002EFF" w:usb1="C000247B" w:usb2="00000009" w:usb3="00000000" w:csb0="000001FF" w:csb1="00000000"/>
    <w:embedRegular r:id="rId5" w:fontKey="{CF184854-B6F0-4F1F-AFF2-7B2BB79948BC}"/>
  </w:font>
  <w:font w:name="Cambria">
    <w:panose1 w:val="02040503050406030204"/>
    <w:charset w:val="00"/>
    <w:family w:val="roman"/>
    <w:pitch w:val="variable"/>
    <w:sig w:usb0="E00006FF" w:usb1="420024FF" w:usb2="02000000" w:usb3="00000000" w:csb0="0000019F" w:csb1="00000000"/>
    <w:embedRegular r:id="rId6" w:fontKey="{4C783D5D-A121-415D-BDDE-9C486D52142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F0480"/>
    <w:multiLevelType w:val="multilevel"/>
    <w:tmpl w:val="C2F4979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3D220AE"/>
    <w:multiLevelType w:val="hybridMultilevel"/>
    <w:tmpl w:val="A442F192"/>
    <w:lvl w:ilvl="0" w:tplc="CFA6CD2C">
      <w:start w:val="1"/>
      <w:numFmt w:val="upperLetter"/>
      <w:lvlText w:val="%1."/>
      <w:lvlJc w:val="left"/>
      <w:pPr>
        <w:ind w:left="720" w:hanging="360"/>
      </w:pPr>
      <w:rPr>
        <w:rFonts w:hint="default"/>
        <w:b/>
        <w: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59B0898"/>
    <w:multiLevelType w:val="multilevel"/>
    <w:tmpl w:val="BE6A95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31037175">
    <w:abstractNumId w:val="0"/>
  </w:num>
  <w:num w:numId="2" w16cid:durableId="524753807">
    <w:abstractNumId w:val="2"/>
  </w:num>
  <w:num w:numId="3" w16cid:durableId="17721636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DD1"/>
    <w:rsid w:val="00072DEE"/>
    <w:rsid w:val="0012396D"/>
    <w:rsid w:val="00193610"/>
    <w:rsid w:val="001D7B15"/>
    <w:rsid w:val="00225733"/>
    <w:rsid w:val="002303E4"/>
    <w:rsid w:val="00267A13"/>
    <w:rsid w:val="002F7AA1"/>
    <w:rsid w:val="00341521"/>
    <w:rsid w:val="003805F8"/>
    <w:rsid w:val="004308B3"/>
    <w:rsid w:val="00450DE4"/>
    <w:rsid w:val="004B78A5"/>
    <w:rsid w:val="004D4B7C"/>
    <w:rsid w:val="004F22BE"/>
    <w:rsid w:val="00520FCD"/>
    <w:rsid w:val="00540D27"/>
    <w:rsid w:val="00590520"/>
    <w:rsid w:val="00676742"/>
    <w:rsid w:val="00683257"/>
    <w:rsid w:val="006D13CE"/>
    <w:rsid w:val="00791D3A"/>
    <w:rsid w:val="007C1952"/>
    <w:rsid w:val="007F107A"/>
    <w:rsid w:val="00813BCE"/>
    <w:rsid w:val="008478EF"/>
    <w:rsid w:val="008C0BEB"/>
    <w:rsid w:val="008D61E9"/>
    <w:rsid w:val="00912CF5"/>
    <w:rsid w:val="00925FE4"/>
    <w:rsid w:val="009876D1"/>
    <w:rsid w:val="009A21EA"/>
    <w:rsid w:val="009A238C"/>
    <w:rsid w:val="00A05DD1"/>
    <w:rsid w:val="00AB7E7D"/>
    <w:rsid w:val="00B00FCD"/>
    <w:rsid w:val="00B01578"/>
    <w:rsid w:val="00B47EC9"/>
    <w:rsid w:val="00B73A05"/>
    <w:rsid w:val="00BD4C74"/>
    <w:rsid w:val="00BF1D70"/>
    <w:rsid w:val="00C431D3"/>
    <w:rsid w:val="00C90071"/>
    <w:rsid w:val="00CA6961"/>
    <w:rsid w:val="00CB0470"/>
    <w:rsid w:val="00D93AD1"/>
    <w:rsid w:val="00DB4EFB"/>
    <w:rsid w:val="00DD0099"/>
    <w:rsid w:val="00E303CE"/>
    <w:rsid w:val="00EA4734"/>
    <w:rsid w:val="00EA7784"/>
    <w:rsid w:val="00EB493F"/>
    <w:rsid w:val="00EC4CE9"/>
    <w:rsid w:val="00EE7CA4"/>
    <w:rsid w:val="00EF2421"/>
    <w:rsid w:val="00F729A8"/>
    <w:rsid w:val="00F9298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58102"/>
  <w15:docId w15:val="{19040533-D8F6-4495-839D-96A085AD0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styleId="TableGrid">
    <w:name w:val="Table Grid"/>
    <w:basedOn w:val="TableNormal"/>
    <w:uiPriority w:val="39"/>
    <w:rsid w:val="001D7B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D7B15"/>
    <w:rPr>
      <w:color w:val="0000FF" w:themeColor="hyperlink"/>
      <w:u w:val="single"/>
    </w:rPr>
  </w:style>
  <w:style w:type="character" w:styleId="UnresolvedMention">
    <w:name w:val="Unresolved Mention"/>
    <w:basedOn w:val="DefaultParagraphFont"/>
    <w:uiPriority w:val="99"/>
    <w:semiHidden/>
    <w:unhideWhenUsed/>
    <w:rsid w:val="001D7B15"/>
    <w:rPr>
      <w:color w:val="605E5C"/>
      <w:shd w:val="clear" w:color="auto" w:fill="E1DFDD"/>
    </w:rPr>
  </w:style>
  <w:style w:type="paragraph" w:styleId="ListParagraph">
    <w:name w:val="List Paragraph"/>
    <w:basedOn w:val="Normal"/>
    <w:uiPriority w:val="34"/>
    <w:qFormat/>
    <w:rsid w:val="00F9298E"/>
    <w:pPr>
      <w:ind w:left="720"/>
      <w:contextualSpacing/>
    </w:pPr>
  </w:style>
  <w:style w:type="paragraph" w:styleId="NormalWeb">
    <w:name w:val="Normal (Web)"/>
    <w:basedOn w:val="Normal"/>
    <w:uiPriority w:val="99"/>
    <w:semiHidden/>
    <w:unhideWhenUsed/>
    <w:rsid w:val="00DD009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microsoft.com/office/2007/relationships/hdphoto" Target="media/hdphoto3.wdp"/><Relationship Id="rId26" Type="http://schemas.microsoft.com/office/2007/relationships/hdphoto" Target="media/hdphoto7.wdp"/><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hyperlink" Target="mailto:Hattar@zu.edu.jo" TargetMode="Externa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mailto:Yogesh.Kumar@sot.pdpu.ac.in" TargetMode="External"/><Relationship Id="rId11" Type="http://schemas.openxmlformats.org/officeDocument/2006/relationships/hyperlink" Target="mailto:muhammadfazal.ijaz@torrens.edu.au" TargetMode="External"/><Relationship Id="rId24" Type="http://schemas.microsoft.com/office/2007/relationships/hdphoto" Target="media/hdphoto6.wdp"/><Relationship Id="rId32" Type="http://schemas.openxmlformats.org/officeDocument/2006/relationships/hyperlink" Target="https://wmo.int/news/media-centre/press-releases" TargetMode="External"/><Relationship Id="rId5" Type="http://schemas.openxmlformats.org/officeDocument/2006/relationships/hyperlink" Target="mailto:apekshakoulo9@gmail.com" TargetMode="External"/><Relationship Id="rId15" Type="http://schemas.openxmlformats.org/officeDocument/2006/relationships/image" Target="media/image3.png"/><Relationship Id="rId23" Type="http://schemas.openxmlformats.org/officeDocument/2006/relationships/image" Target="media/image7.png"/><Relationship Id="rId28" Type="http://schemas.microsoft.com/office/2007/relationships/hdphoto" Target="media/hdphoto8.wdp"/><Relationship Id="rId10" Type="http://schemas.openxmlformats.org/officeDocument/2006/relationships/hyperlink" Target="mailto:muhammad.umair.manzoor@rmit.edu.au" TargetMode="External"/><Relationship Id="rId19" Type="http://schemas.openxmlformats.org/officeDocument/2006/relationships/image" Target="media/image5.png"/><Relationship Id="rId31" Type="http://schemas.openxmlformats.org/officeDocument/2006/relationships/hyperlink" Target="https://www.ncei.noaa.gov/news/global-climate-202506?utm_source=chatgpt.com" TargetMode="External"/><Relationship Id="rId4" Type="http://schemas.openxmlformats.org/officeDocument/2006/relationships/webSettings" Target="webSettings.xml"/><Relationship Id="rId9" Type="http://schemas.openxmlformats.org/officeDocument/2006/relationships/hyperlink" Target="mailto:parvathanenins@gmail.com" TargetMode="External"/><Relationship Id="rId14" Type="http://schemas.openxmlformats.org/officeDocument/2006/relationships/image" Target="media/image2.png"/><Relationship Id="rId22" Type="http://schemas.microsoft.com/office/2007/relationships/hdphoto" Target="media/hdphoto5.wdp"/><Relationship Id="rId27" Type="http://schemas.openxmlformats.org/officeDocument/2006/relationships/image" Target="media/image9.png"/><Relationship Id="rId30" Type="http://schemas.microsoft.com/office/2007/relationships/hdphoto" Target="media/hdphoto9.wdp"/><Relationship Id="rId8" Type="http://schemas.openxmlformats.org/officeDocument/2006/relationships/hyperlink" Target="mailto:zakaria.chemuda@newinti.edu.m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335</TotalTime>
  <Pages>6</Pages>
  <Words>4418</Words>
  <Characters>26464</Characters>
  <Application>Microsoft Office Word</Application>
  <DocSecurity>0</DocSecurity>
  <Lines>801</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Apeksha Koul</cp:lastModifiedBy>
  <cp:revision>45</cp:revision>
  <dcterms:created xsi:type="dcterms:W3CDTF">2025-12-01T05:06:00Z</dcterms:created>
  <dcterms:modified xsi:type="dcterms:W3CDTF">2025-12-10T06:00:00Z</dcterms:modified>
</cp:coreProperties>
</file>