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199C" w14:textId="4224F79B" w:rsidR="00D7522C" w:rsidRPr="00531D5B" w:rsidRDefault="0074434E" w:rsidP="00531D5B">
      <w:pPr>
        <w:pStyle w:val="papertitle"/>
        <w:spacing w:before="100" w:beforeAutospacing="1" w:after="100" w:afterAutospacing="1"/>
        <w:rPr>
          <w:color w:val="000000" w:themeColor="text1"/>
        </w:rPr>
      </w:pPr>
      <w:r w:rsidRPr="00D1700B">
        <w:rPr>
          <w:color w:val="000000" w:themeColor="text1"/>
        </w:rPr>
        <w:t>From Automation to Autonomy: The Role of Agentic AI in Industry 5.0</w:t>
      </w:r>
    </w:p>
    <w:p w14:paraId="6D735D00" w14:textId="5D5DD72C" w:rsidR="00531D5B" w:rsidRPr="00D1700B" w:rsidRDefault="00531D5B" w:rsidP="00CA4392">
      <w:pPr>
        <w:pStyle w:val="Author"/>
        <w:spacing w:before="100" w:beforeAutospacing="1" w:after="100" w:afterAutospacing="1" w:line="120" w:lineRule="auto"/>
        <w:rPr>
          <w:color w:val="000000" w:themeColor="text1"/>
          <w:sz w:val="16"/>
          <w:szCs w:val="16"/>
        </w:rPr>
        <w:sectPr w:rsidR="00531D5B" w:rsidRPr="00D1700B" w:rsidSect="001A3B3D">
          <w:footerReference w:type="first" r:id="rId8"/>
          <w:pgSz w:w="12240" w:h="15840" w:code="1"/>
          <w:pgMar w:top="1080" w:right="893" w:bottom="1440" w:left="893" w:header="720" w:footer="720" w:gutter="0"/>
          <w:cols w:space="720"/>
          <w:titlePg/>
          <w:docGrid w:linePitch="360"/>
        </w:sectPr>
      </w:pPr>
    </w:p>
    <w:tbl>
      <w:tblPr>
        <w:tblStyle w:val="TableGrid"/>
        <w:tblpPr w:leftFromText="180" w:rightFromText="180" w:vertAnchor="text" w:horzAnchor="margin" w:tblpY="149"/>
        <w:tblW w:w="10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665"/>
        <w:gridCol w:w="2013"/>
        <w:gridCol w:w="2854"/>
      </w:tblGrid>
      <w:tr w:rsidR="00531D5B" w14:paraId="7AA0BF00" w14:textId="77777777" w:rsidTr="004A2AF1">
        <w:trPr>
          <w:trHeight w:val="1122"/>
        </w:trPr>
        <w:tc>
          <w:tcPr>
            <w:tcW w:w="2830" w:type="dxa"/>
          </w:tcPr>
          <w:p w14:paraId="2983E7F1" w14:textId="7863EF6B" w:rsidR="00531D5B" w:rsidRPr="009C7FE5" w:rsidRDefault="00531D5B" w:rsidP="009C7FE5">
            <w:pPr>
              <w:pStyle w:val="papertitle"/>
              <w:rPr>
                <w:rFonts w:eastAsia="SimSun"/>
                <w:noProof w:val="0"/>
                <w:sz w:val="16"/>
                <w:szCs w:val="16"/>
              </w:rPr>
            </w:pPr>
            <w:r w:rsidRPr="009C7FE5">
              <w:rPr>
                <w:rFonts w:eastAsia="SimSun"/>
                <w:noProof w:val="0"/>
                <w:sz w:val="16"/>
                <w:szCs w:val="16"/>
              </w:rPr>
              <w:t>Parvathaneni Naga</w:t>
            </w:r>
            <w:r w:rsidR="009C7FE5" w:rsidRPr="009C7FE5">
              <w:rPr>
                <w:rFonts w:eastAsia="SimSun"/>
                <w:noProof w:val="0"/>
                <w:sz w:val="16"/>
                <w:szCs w:val="16"/>
              </w:rPr>
              <w:t xml:space="preserve"> </w:t>
            </w:r>
            <w:r w:rsidRPr="009C7FE5">
              <w:rPr>
                <w:rFonts w:eastAsia="SimSun"/>
                <w:noProof w:val="0"/>
                <w:sz w:val="16"/>
                <w:szCs w:val="16"/>
              </w:rPr>
              <w:t xml:space="preserve">Srinivasu </w:t>
            </w:r>
          </w:p>
          <w:p w14:paraId="4465BFA0" w14:textId="77777777" w:rsidR="00531D5B" w:rsidRPr="009C7FE5" w:rsidRDefault="00531D5B" w:rsidP="009C7FE5">
            <w:pPr>
              <w:rPr>
                <w:sz w:val="16"/>
                <w:szCs w:val="16"/>
              </w:rPr>
            </w:pPr>
            <w:r w:rsidRPr="009C7FE5">
              <w:rPr>
                <w:sz w:val="16"/>
                <w:szCs w:val="16"/>
              </w:rPr>
              <w:t xml:space="preserve">Amrita School of </w:t>
            </w:r>
            <w:proofErr w:type="spellStart"/>
            <w:r w:rsidRPr="009C7FE5">
              <w:rPr>
                <w:sz w:val="16"/>
                <w:szCs w:val="16"/>
              </w:rPr>
              <w:t>Computing,Amrita</w:t>
            </w:r>
            <w:proofErr w:type="spellEnd"/>
            <w:r w:rsidRPr="009C7FE5">
              <w:rPr>
                <w:sz w:val="16"/>
                <w:szCs w:val="16"/>
              </w:rPr>
              <w:t xml:space="preserve"> Vishwa Vidyapeetham, Amaravati, India</w:t>
            </w:r>
          </w:p>
          <w:p w14:paraId="0E752403" w14:textId="77777777" w:rsidR="00531D5B" w:rsidRPr="009C7FE5" w:rsidRDefault="00531D5B" w:rsidP="009C7FE5">
            <w:pPr>
              <w:pStyle w:val="papertitle"/>
              <w:spacing w:after="0"/>
              <w:rPr>
                <w:rFonts w:eastAsia="SimSun"/>
                <w:noProof w:val="0"/>
                <w:sz w:val="16"/>
                <w:szCs w:val="16"/>
              </w:rPr>
            </w:pPr>
            <w:r w:rsidRPr="009C7FE5">
              <w:rPr>
                <w:rFonts w:eastAsia="SimSun"/>
                <w:noProof w:val="0"/>
                <w:sz w:val="16"/>
                <w:szCs w:val="16"/>
              </w:rPr>
              <w:t>parvathanenins@gmail.com</w:t>
            </w:r>
          </w:p>
        </w:tc>
        <w:tc>
          <w:tcPr>
            <w:tcW w:w="2665" w:type="dxa"/>
          </w:tcPr>
          <w:p w14:paraId="3EF3341F"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Abey Jose</w:t>
            </w:r>
          </w:p>
          <w:p w14:paraId="13236979" w14:textId="77777777" w:rsidR="00531D5B" w:rsidRPr="009C7FE5" w:rsidRDefault="00531D5B" w:rsidP="009C7FE5">
            <w:pPr>
              <w:rPr>
                <w:sz w:val="16"/>
                <w:szCs w:val="16"/>
              </w:rPr>
            </w:pPr>
            <w:r w:rsidRPr="009C7FE5">
              <w:rPr>
                <w:sz w:val="16"/>
                <w:szCs w:val="16"/>
              </w:rPr>
              <w:t>School of Allied Health, University of Limerick, Ireland</w:t>
            </w:r>
          </w:p>
          <w:p w14:paraId="50920320"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abey.jose@ul.ie</w:t>
            </w:r>
          </w:p>
        </w:tc>
        <w:tc>
          <w:tcPr>
            <w:tcW w:w="2013" w:type="dxa"/>
          </w:tcPr>
          <w:p w14:paraId="0C8EB6FF"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Ayman Amer</w:t>
            </w:r>
          </w:p>
          <w:p w14:paraId="5A0F1C58"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 xml:space="preserve">Faculty of Engineering, Zarqa Univeristy, Jordan. Aamer@zu.edu.jo  </w:t>
            </w:r>
          </w:p>
        </w:tc>
        <w:tc>
          <w:tcPr>
            <w:tcW w:w="2854" w:type="dxa"/>
          </w:tcPr>
          <w:p w14:paraId="10BF2F4B" w14:textId="77777777" w:rsidR="00531D5B" w:rsidRPr="009C7FE5" w:rsidRDefault="00531D5B" w:rsidP="009C7FE5">
            <w:pPr>
              <w:rPr>
                <w:sz w:val="16"/>
                <w:szCs w:val="16"/>
              </w:rPr>
            </w:pPr>
            <w:r w:rsidRPr="009C7FE5">
              <w:rPr>
                <w:sz w:val="16"/>
                <w:szCs w:val="16"/>
              </w:rPr>
              <w:t xml:space="preserve">Zakaria Che Muda </w:t>
            </w:r>
          </w:p>
          <w:p w14:paraId="11860320" w14:textId="77777777" w:rsidR="00531D5B" w:rsidRPr="009C7FE5" w:rsidRDefault="00531D5B" w:rsidP="009C7FE5">
            <w:pPr>
              <w:rPr>
                <w:sz w:val="16"/>
                <w:szCs w:val="16"/>
              </w:rPr>
            </w:pPr>
            <w:r w:rsidRPr="009C7FE5">
              <w:rPr>
                <w:sz w:val="16"/>
                <w:szCs w:val="16"/>
              </w:rPr>
              <w:t xml:space="preserve">Faculty of Engineering and Quantity Surveying INTI-IU University, Nilai, Malaysia </w:t>
            </w:r>
          </w:p>
          <w:p w14:paraId="5D32A2E9" w14:textId="77777777" w:rsidR="00531D5B" w:rsidRDefault="00531D5B" w:rsidP="009C7FE5">
            <w:pPr>
              <w:rPr>
                <w:sz w:val="18"/>
                <w:szCs w:val="18"/>
              </w:rPr>
            </w:pPr>
            <w:r w:rsidRPr="009C7FE5">
              <w:rPr>
                <w:sz w:val="16"/>
                <w:szCs w:val="16"/>
              </w:rPr>
              <w:t xml:space="preserve"> zakaria.chemuda@newinti.edu.my</w:t>
            </w:r>
          </w:p>
        </w:tc>
      </w:tr>
      <w:tr w:rsidR="00531D5B" w14:paraId="75C2DD3C" w14:textId="77777777" w:rsidTr="004A2AF1">
        <w:trPr>
          <w:trHeight w:val="1136"/>
        </w:trPr>
        <w:tc>
          <w:tcPr>
            <w:tcW w:w="2830" w:type="dxa"/>
          </w:tcPr>
          <w:p w14:paraId="03CC5498"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 xml:space="preserve">Ananth Madireddy </w:t>
            </w:r>
          </w:p>
          <w:p w14:paraId="50D60CC8" w14:textId="77777777" w:rsidR="00531D5B" w:rsidRPr="009C7FE5" w:rsidRDefault="00531D5B" w:rsidP="009C7FE5">
            <w:pPr>
              <w:rPr>
                <w:sz w:val="16"/>
                <w:szCs w:val="16"/>
              </w:rPr>
            </w:pPr>
            <w:r w:rsidRPr="009C7FE5">
              <w:rPr>
                <w:sz w:val="16"/>
                <w:szCs w:val="16"/>
              </w:rPr>
              <w:t>Amrita School of Computing, Amrita Vishwa Vidyapeetham, Amaravati, India</w:t>
            </w:r>
          </w:p>
          <w:p w14:paraId="3EB52C06" w14:textId="77777777" w:rsidR="00531D5B" w:rsidRPr="009C7FE5" w:rsidRDefault="00531D5B" w:rsidP="009C7FE5">
            <w:pPr>
              <w:pStyle w:val="papertitle"/>
              <w:spacing w:after="0"/>
              <w:rPr>
                <w:rFonts w:eastAsia="SimSun"/>
                <w:noProof w:val="0"/>
                <w:sz w:val="16"/>
                <w:szCs w:val="16"/>
              </w:rPr>
            </w:pPr>
            <w:r w:rsidRPr="009C7FE5">
              <w:rPr>
                <w:rFonts w:eastAsia="SimSun"/>
                <w:noProof w:val="0"/>
                <w:sz w:val="16"/>
                <w:szCs w:val="16"/>
              </w:rPr>
              <w:t>m_ananth@av.students.amrita.edu</w:t>
            </w:r>
          </w:p>
        </w:tc>
        <w:tc>
          <w:tcPr>
            <w:tcW w:w="2665" w:type="dxa"/>
          </w:tcPr>
          <w:p w14:paraId="4766B414"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 xml:space="preserve">V Lakshmi Chetana </w:t>
            </w:r>
          </w:p>
          <w:p w14:paraId="4A172B32" w14:textId="77777777" w:rsidR="00531D5B" w:rsidRPr="009C7FE5" w:rsidRDefault="00531D5B" w:rsidP="009C7FE5">
            <w:pPr>
              <w:rPr>
                <w:sz w:val="16"/>
                <w:szCs w:val="16"/>
              </w:rPr>
            </w:pPr>
            <w:r w:rsidRPr="009C7FE5">
              <w:rPr>
                <w:sz w:val="16"/>
                <w:szCs w:val="16"/>
              </w:rPr>
              <w:t>Amrita School of Computing, Amrita Vishwa Vidyapeetham, Amaravati, India</w:t>
            </w:r>
          </w:p>
          <w:p w14:paraId="75E10563" w14:textId="77777777" w:rsidR="00531D5B" w:rsidRPr="001B0DF1" w:rsidRDefault="00531D5B" w:rsidP="009C7FE5">
            <w:pPr>
              <w:rPr>
                <w:sz w:val="16"/>
                <w:szCs w:val="16"/>
              </w:rPr>
            </w:pPr>
            <w:r w:rsidRPr="009C7FE5">
              <w:rPr>
                <w:sz w:val="16"/>
                <w:szCs w:val="16"/>
              </w:rPr>
              <w:t>s_lakshmichetana@av.amrita.edu</w:t>
            </w:r>
          </w:p>
        </w:tc>
        <w:tc>
          <w:tcPr>
            <w:tcW w:w="2013" w:type="dxa"/>
          </w:tcPr>
          <w:p w14:paraId="54989A34"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Yogesh Kumar</w:t>
            </w:r>
          </w:p>
          <w:p w14:paraId="7D60A4D0" w14:textId="77777777" w:rsidR="00531D5B" w:rsidRPr="001B0DF1" w:rsidRDefault="00531D5B" w:rsidP="009C7FE5">
            <w:pPr>
              <w:rPr>
                <w:sz w:val="16"/>
                <w:szCs w:val="16"/>
              </w:rPr>
            </w:pPr>
            <w:r w:rsidRPr="001B0DF1">
              <w:rPr>
                <w:sz w:val="16"/>
                <w:szCs w:val="16"/>
              </w:rPr>
              <w:t>Department of CSE,</w:t>
            </w:r>
          </w:p>
          <w:p w14:paraId="7F9FBD4A" w14:textId="77777777" w:rsidR="00531D5B" w:rsidRPr="001B0DF1" w:rsidRDefault="00531D5B" w:rsidP="009C7FE5">
            <w:pPr>
              <w:rPr>
                <w:sz w:val="16"/>
                <w:szCs w:val="16"/>
              </w:rPr>
            </w:pPr>
            <w:r w:rsidRPr="001B0DF1">
              <w:rPr>
                <w:sz w:val="16"/>
                <w:szCs w:val="16"/>
              </w:rPr>
              <w:t>School of Technology,</w:t>
            </w:r>
          </w:p>
          <w:p w14:paraId="2E2DB84B" w14:textId="77777777" w:rsidR="00531D5B" w:rsidRPr="001B0DF1" w:rsidRDefault="00531D5B" w:rsidP="009C7FE5">
            <w:pPr>
              <w:rPr>
                <w:sz w:val="16"/>
                <w:szCs w:val="16"/>
              </w:rPr>
            </w:pPr>
            <w:r w:rsidRPr="001B0DF1">
              <w:rPr>
                <w:sz w:val="16"/>
                <w:szCs w:val="16"/>
              </w:rPr>
              <w:t>Pandit Deendayal Energy University, Gandhinagar, India</w:t>
            </w:r>
          </w:p>
          <w:p w14:paraId="2B03EB31" w14:textId="77777777" w:rsidR="00531D5B" w:rsidRPr="001B0DF1" w:rsidRDefault="00000000" w:rsidP="009C7FE5">
            <w:pPr>
              <w:rPr>
                <w:sz w:val="16"/>
                <w:szCs w:val="16"/>
              </w:rPr>
            </w:pPr>
            <w:hyperlink r:id="rId9" w:history="1">
              <w:r w:rsidR="00531D5B" w:rsidRPr="001B0DF1">
                <w:rPr>
                  <w:sz w:val="16"/>
                  <w:szCs w:val="16"/>
                </w:rPr>
                <w:t>yogesh.kumar@sot.pdpu.ac.in</w:t>
              </w:r>
            </w:hyperlink>
          </w:p>
        </w:tc>
        <w:tc>
          <w:tcPr>
            <w:tcW w:w="2854" w:type="dxa"/>
          </w:tcPr>
          <w:p w14:paraId="50627763" w14:textId="77777777" w:rsidR="00531D5B" w:rsidRPr="009C7FE5" w:rsidRDefault="00531D5B" w:rsidP="009C7FE5">
            <w:pPr>
              <w:pStyle w:val="papertitle"/>
              <w:rPr>
                <w:rFonts w:eastAsia="SimSun"/>
                <w:noProof w:val="0"/>
                <w:sz w:val="16"/>
                <w:szCs w:val="16"/>
              </w:rPr>
            </w:pPr>
            <w:r w:rsidRPr="009C7FE5">
              <w:rPr>
                <w:rFonts w:eastAsia="SimSun"/>
                <w:noProof w:val="0"/>
                <w:sz w:val="16"/>
                <w:szCs w:val="16"/>
              </w:rPr>
              <w:t>Muhammad Fazal Ijaz</w:t>
            </w:r>
          </w:p>
          <w:p w14:paraId="6C8B00D5" w14:textId="77777777" w:rsidR="00531D5B" w:rsidRPr="0046110F" w:rsidRDefault="00531D5B" w:rsidP="004C58A8">
            <w:pPr>
              <w:rPr>
                <w:sz w:val="16"/>
                <w:szCs w:val="16"/>
              </w:rPr>
            </w:pPr>
            <w:r w:rsidRPr="0046110F">
              <w:rPr>
                <w:sz w:val="16"/>
                <w:szCs w:val="16"/>
              </w:rPr>
              <w:t>Centre for Artificial Intelligence Research and Optimization (AIRO),</w:t>
            </w:r>
          </w:p>
          <w:p w14:paraId="2BABCC7D" w14:textId="77777777" w:rsidR="00531D5B" w:rsidRPr="0046110F" w:rsidRDefault="00531D5B" w:rsidP="004C58A8">
            <w:pPr>
              <w:rPr>
                <w:sz w:val="16"/>
                <w:szCs w:val="16"/>
              </w:rPr>
            </w:pPr>
            <w:r w:rsidRPr="0046110F">
              <w:rPr>
                <w:sz w:val="16"/>
                <w:szCs w:val="16"/>
              </w:rPr>
              <w:t>Design and Creative Technology, Torrens University Australia, Melbourne, Victoria, Australia</w:t>
            </w:r>
          </w:p>
          <w:p w14:paraId="78D09A78" w14:textId="77777777" w:rsidR="00531D5B" w:rsidRPr="001B0DF1" w:rsidRDefault="00531D5B" w:rsidP="004C58A8">
            <w:pPr>
              <w:rPr>
                <w:sz w:val="16"/>
                <w:szCs w:val="16"/>
              </w:rPr>
            </w:pPr>
            <w:r w:rsidRPr="0046110F">
              <w:rPr>
                <w:sz w:val="16"/>
                <w:szCs w:val="16"/>
              </w:rPr>
              <w:t>muhammadfazal.ijaz@torrens.edu.au</w:t>
            </w:r>
          </w:p>
        </w:tc>
      </w:tr>
    </w:tbl>
    <w:p w14:paraId="4BFA336A" w14:textId="710A61EE" w:rsidR="006347CF" w:rsidRPr="00D1700B" w:rsidRDefault="001A3B3D" w:rsidP="00531D5B">
      <w:pPr>
        <w:pStyle w:val="Author"/>
        <w:spacing w:before="100" w:beforeAutospacing="1"/>
        <w:jc w:val="both"/>
        <w:rPr>
          <w:color w:val="000000" w:themeColor="text1"/>
          <w:sz w:val="16"/>
          <w:szCs w:val="16"/>
        </w:rPr>
      </w:pPr>
      <w:r w:rsidRPr="00D1700B">
        <w:rPr>
          <w:i/>
          <w:color w:val="000000" w:themeColor="text1"/>
          <w:sz w:val="18"/>
          <w:szCs w:val="18"/>
        </w:rPr>
        <w:br/>
      </w:r>
    </w:p>
    <w:p w14:paraId="58935029" w14:textId="77777777" w:rsidR="006347CF" w:rsidRPr="00D1700B" w:rsidRDefault="006347CF" w:rsidP="00CA4392">
      <w:pPr>
        <w:pStyle w:val="Author"/>
        <w:spacing w:before="100" w:beforeAutospacing="1"/>
        <w:jc w:val="both"/>
        <w:rPr>
          <w:color w:val="000000" w:themeColor="text1"/>
          <w:sz w:val="16"/>
          <w:szCs w:val="16"/>
        </w:rPr>
        <w:sectPr w:rsidR="006347CF" w:rsidRPr="00D1700B" w:rsidSect="00F847A6">
          <w:type w:val="continuous"/>
          <w:pgSz w:w="12240" w:h="15840" w:code="1"/>
          <w:pgMar w:top="1080" w:right="893" w:bottom="1440" w:left="893" w:header="720" w:footer="720" w:gutter="0"/>
          <w:cols w:num="4" w:space="216"/>
          <w:docGrid w:linePitch="360"/>
        </w:sectPr>
      </w:pPr>
    </w:p>
    <w:p w14:paraId="675DDA22" w14:textId="1B0D46D1" w:rsidR="005B1CDF" w:rsidRDefault="009303D9" w:rsidP="005B1CDF">
      <w:pPr>
        <w:pStyle w:val="Abstract"/>
        <w:rPr>
          <w:spacing w:val="-1"/>
          <w:sz w:val="20"/>
          <w:szCs w:val="20"/>
          <w:lang w:val="en-IN" w:eastAsia="x-none"/>
        </w:rPr>
      </w:pPr>
      <w:r w:rsidRPr="00D1700B">
        <w:rPr>
          <w:i/>
          <w:iCs/>
          <w:color w:val="000000" w:themeColor="text1"/>
        </w:rPr>
        <w:t>Abstract</w:t>
      </w:r>
      <w:r w:rsidRPr="00D1700B">
        <w:rPr>
          <w:color w:val="000000" w:themeColor="text1"/>
        </w:rPr>
        <w:t>—</w:t>
      </w:r>
      <w:r w:rsidR="00A135C6">
        <w:rPr>
          <w:spacing w:val="-1"/>
          <w:sz w:val="20"/>
          <w:szCs w:val="20"/>
          <w:lang w:val="en-IN" w:eastAsia="x-none"/>
        </w:rPr>
        <w:t xml:space="preserve"> </w:t>
      </w:r>
      <w:r w:rsidR="00CE45A6" w:rsidRPr="00CE45A6">
        <w:rPr>
          <w:spacing w:val="-1"/>
          <w:sz w:val="20"/>
          <w:szCs w:val="20"/>
          <w:lang w:val="en-IN" w:eastAsia="x-none"/>
        </w:rPr>
        <w:t>​‍​‌‍​</w:t>
      </w:r>
      <w:r w:rsidR="005B1CDF" w:rsidRPr="00CE45A6">
        <w:rPr>
          <w:spacing w:val="-1"/>
          <w:sz w:val="20"/>
          <w:szCs w:val="20"/>
          <w:lang w:val="en-IN" w:eastAsia="x-none"/>
        </w:rPr>
        <w:t>This​‍​‌‍​‍‌​‍​‌‍​‍‌ research is about Agentic AI (AAI), which is a key component of Industry 5.0, especially for smart, flexible, and human</w:t>
      </w:r>
      <w:r w:rsidR="001419A9">
        <w:rPr>
          <w:spacing w:val="-1"/>
          <w:sz w:val="20"/>
          <w:szCs w:val="20"/>
          <w:lang w:val="en-IN" w:eastAsia="x-none"/>
        </w:rPr>
        <w:t xml:space="preserve"> </w:t>
      </w:r>
      <w:proofErr w:type="spellStart"/>
      <w:r w:rsidR="005B1CDF" w:rsidRPr="00CE45A6">
        <w:rPr>
          <w:spacing w:val="-1"/>
          <w:sz w:val="20"/>
          <w:szCs w:val="20"/>
          <w:lang w:val="en-IN" w:eastAsia="x-none"/>
        </w:rPr>
        <w:t>centered</w:t>
      </w:r>
      <w:proofErr w:type="spellEnd"/>
      <w:r w:rsidR="005B1CDF" w:rsidRPr="00CE45A6">
        <w:rPr>
          <w:spacing w:val="-1"/>
          <w:sz w:val="20"/>
          <w:szCs w:val="20"/>
          <w:lang w:val="en-IN" w:eastAsia="x-none"/>
        </w:rPr>
        <w:t xml:space="preserve"> manufacturing. The paper </w:t>
      </w:r>
      <w:r w:rsidR="001419A9">
        <w:t>presents key concepts and develops a structured framework</w:t>
      </w:r>
      <w:r w:rsidR="005B1CDF" w:rsidRPr="00CE45A6">
        <w:rPr>
          <w:spacing w:val="-1"/>
          <w:sz w:val="20"/>
          <w:szCs w:val="20"/>
          <w:lang w:val="en-IN" w:eastAsia="x-none"/>
        </w:rPr>
        <w:t xml:space="preserve"> that </w:t>
      </w:r>
      <w:r w:rsidR="001419A9">
        <w:rPr>
          <w:spacing w:val="-1"/>
          <w:sz w:val="20"/>
          <w:szCs w:val="20"/>
          <w:lang w:val="en-IN" w:eastAsia="x-none"/>
        </w:rPr>
        <w:t>demonstrate</w:t>
      </w:r>
      <w:r w:rsidR="005B1CDF" w:rsidRPr="00CE45A6">
        <w:rPr>
          <w:spacing w:val="-1"/>
          <w:sz w:val="20"/>
          <w:szCs w:val="20"/>
          <w:lang w:val="en-IN" w:eastAsia="x-none"/>
        </w:rPr>
        <w:t xml:space="preserve">s how AAI can </w:t>
      </w:r>
      <w:r w:rsidR="001419A9">
        <w:rPr>
          <w:spacing w:val="-1"/>
          <w:sz w:val="20"/>
          <w:szCs w:val="20"/>
          <w:lang w:val="en-IN" w:eastAsia="x-none"/>
        </w:rPr>
        <w:t>enhanc</w:t>
      </w:r>
      <w:r w:rsidR="005B1CDF" w:rsidRPr="00CE45A6">
        <w:rPr>
          <w:spacing w:val="-1"/>
          <w:sz w:val="20"/>
          <w:szCs w:val="20"/>
          <w:lang w:val="en-IN" w:eastAsia="x-none"/>
        </w:rPr>
        <w:t xml:space="preserve">e decision-making while </w:t>
      </w:r>
      <w:r w:rsidR="001419A9">
        <w:rPr>
          <w:spacing w:val="-1"/>
          <w:sz w:val="20"/>
          <w:szCs w:val="20"/>
          <w:lang w:val="en-IN" w:eastAsia="x-none"/>
        </w:rPr>
        <w:t>reducing resource consumption</w:t>
      </w:r>
      <w:r w:rsidR="005B1CDF" w:rsidRPr="00CE45A6">
        <w:rPr>
          <w:spacing w:val="-1"/>
          <w:sz w:val="20"/>
          <w:szCs w:val="20"/>
          <w:lang w:val="en-IN" w:eastAsia="x-none"/>
        </w:rPr>
        <w:t xml:space="preserve">, </w:t>
      </w:r>
      <w:r w:rsidR="001419A9">
        <w:rPr>
          <w:spacing w:val="-1"/>
          <w:sz w:val="20"/>
          <w:szCs w:val="20"/>
          <w:lang w:val="en-IN" w:eastAsia="x-none"/>
        </w:rPr>
        <w:t>ultimately leading to</w:t>
      </w:r>
      <w:r w:rsidR="005B1CDF" w:rsidRPr="00CE45A6">
        <w:rPr>
          <w:spacing w:val="-1"/>
          <w:sz w:val="20"/>
          <w:szCs w:val="20"/>
          <w:lang w:val="en-IN" w:eastAsia="x-none"/>
        </w:rPr>
        <w:t xml:space="preserve"> greener factories. Instead of being theoretical, the paper provides a</w:t>
      </w:r>
      <w:r w:rsidR="005B1CDF">
        <w:rPr>
          <w:spacing w:val="-1"/>
          <w:sz w:val="20"/>
          <w:szCs w:val="20"/>
          <w:lang w:val="en-IN" w:eastAsia="x-none"/>
        </w:rPr>
        <w:t xml:space="preserve"> </w:t>
      </w:r>
      <w:r w:rsidR="005B1CDF" w:rsidRPr="00CE45A6">
        <w:rPr>
          <w:spacing w:val="-1"/>
          <w:sz w:val="20"/>
          <w:szCs w:val="20"/>
          <w:lang w:val="en-IN" w:eastAsia="x-none"/>
        </w:rPr>
        <w:t>step-by-step</w:t>
      </w:r>
      <w:r w:rsidR="00EA457C">
        <w:rPr>
          <w:spacing w:val="-1"/>
          <w:sz w:val="20"/>
          <w:szCs w:val="20"/>
          <w:lang w:val="en-IN" w:eastAsia="x-none"/>
        </w:rPr>
        <w:t>,</w:t>
      </w:r>
      <w:r w:rsidR="005B1CDF" w:rsidRPr="00CE45A6">
        <w:rPr>
          <w:spacing w:val="-1"/>
          <w:sz w:val="20"/>
          <w:szCs w:val="20"/>
          <w:lang w:val="en-IN" w:eastAsia="x-none"/>
        </w:rPr>
        <w:t xml:space="preserve"> practical plan for </w:t>
      </w:r>
      <w:r w:rsidR="00EA457C">
        <w:rPr>
          <w:spacing w:val="-1"/>
          <w:sz w:val="20"/>
          <w:szCs w:val="20"/>
          <w:lang w:val="en-IN" w:eastAsia="x-none"/>
        </w:rPr>
        <w:t>implementing</w:t>
      </w:r>
      <w:r w:rsidR="005B1CDF" w:rsidRPr="00CE45A6">
        <w:rPr>
          <w:spacing w:val="-1"/>
          <w:sz w:val="20"/>
          <w:szCs w:val="20"/>
          <w:lang w:val="en-IN" w:eastAsia="x-none"/>
        </w:rPr>
        <w:t xml:space="preserve"> the </w:t>
      </w:r>
      <w:r w:rsidR="001419A9" w:rsidRPr="001419A9">
        <w:rPr>
          <w:spacing w:val="-1"/>
          <w:sz w:val="20"/>
          <w:szCs w:val="20"/>
          <w:lang w:val="en-IN" w:eastAsia="x-none"/>
        </w:rPr>
        <w:t>integration</w:t>
      </w:r>
      <w:r w:rsidR="001419A9">
        <w:rPr>
          <w:spacing w:val="-1"/>
          <w:sz w:val="20"/>
          <w:szCs w:val="20"/>
          <w:lang w:val="en-IN" w:eastAsia="x-none"/>
        </w:rPr>
        <w:t xml:space="preserve"> </w:t>
      </w:r>
      <w:r w:rsidR="005B1CDF" w:rsidRPr="00CE45A6">
        <w:rPr>
          <w:spacing w:val="-1"/>
          <w:sz w:val="20"/>
          <w:szCs w:val="20"/>
          <w:lang w:val="en-IN" w:eastAsia="x-none"/>
        </w:rPr>
        <w:t>of machines, sensors, and digital tools to facilitate smooth data flow.</w:t>
      </w:r>
      <w:r w:rsidR="005B1CDF">
        <w:rPr>
          <w:spacing w:val="-1"/>
          <w:sz w:val="20"/>
          <w:szCs w:val="20"/>
          <w:lang w:val="en-IN" w:eastAsia="x-none"/>
        </w:rPr>
        <w:t xml:space="preserve"> </w:t>
      </w:r>
      <w:r w:rsidR="005B1CDF" w:rsidRPr="00CE45A6">
        <w:rPr>
          <w:spacing w:val="-1"/>
          <w:sz w:val="20"/>
          <w:szCs w:val="20"/>
          <w:lang w:val="en-IN" w:eastAsia="x-none"/>
        </w:rPr>
        <w:t xml:space="preserve">From a system perspective, the paper identifies the essential components that </w:t>
      </w:r>
      <w:r w:rsidR="00EA457C">
        <w:rPr>
          <w:spacing w:val="-1"/>
          <w:sz w:val="20"/>
          <w:szCs w:val="20"/>
          <w:lang w:val="en-IN" w:eastAsia="x-none"/>
        </w:rPr>
        <w:t>enable</w:t>
      </w:r>
      <w:r w:rsidR="005B1CDF" w:rsidRPr="00CE45A6">
        <w:rPr>
          <w:spacing w:val="-1"/>
          <w:sz w:val="20"/>
          <w:szCs w:val="20"/>
          <w:lang w:val="en-IN" w:eastAsia="x-none"/>
        </w:rPr>
        <w:t xml:space="preserve"> the systems to operate autonomously</w:t>
      </w:r>
      <w:r w:rsidR="00EA457C">
        <w:rPr>
          <w:spacing w:val="-1"/>
          <w:sz w:val="20"/>
          <w:szCs w:val="20"/>
          <w:lang w:val="en-IN" w:eastAsia="x-none"/>
        </w:rPr>
        <w:t>,</w:t>
      </w:r>
      <w:r w:rsidR="005B1CDF" w:rsidRPr="00CE45A6">
        <w:rPr>
          <w:spacing w:val="-1"/>
          <w:sz w:val="20"/>
          <w:szCs w:val="20"/>
          <w:lang w:val="en-IN" w:eastAsia="x-none"/>
        </w:rPr>
        <w:t xml:space="preserve"> depending on the current situation. </w:t>
      </w:r>
      <w:r w:rsidR="001419A9">
        <w:t xml:space="preserve">Once deployed, these configurations continuously </w:t>
      </w:r>
      <w:r w:rsidR="005B1CDF" w:rsidRPr="00CE45A6">
        <w:rPr>
          <w:spacing w:val="-1"/>
          <w:sz w:val="20"/>
          <w:szCs w:val="20"/>
          <w:lang w:val="en-IN" w:eastAsia="x-none"/>
        </w:rPr>
        <w:t>monitor</w:t>
      </w:r>
      <w:r w:rsidR="001419A9">
        <w:rPr>
          <w:spacing w:val="-1"/>
          <w:sz w:val="20"/>
          <w:szCs w:val="20"/>
          <w:lang w:val="en-IN" w:eastAsia="x-none"/>
        </w:rPr>
        <w:t xml:space="preserve"> the</w:t>
      </w:r>
      <w:r w:rsidR="005B1CDF" w:rsidRPr="00CE45A6">
        <w:rPr>
          <w:spacing w:val="-1"/>
          <w:sz w:val="20"/>
          <w:szCs w:val="20"/>
          <w:lang w:val="en-IN" w:eastAsia="x-none"/>
        </w:rPr>
        <w:t xml:space="preserve"> factory operations but also </w:t>
      </w:r>
      <w:r w:rsidR="00EA457C">
        <w:rPr>
          <w:spacing w:val="-1"/>
          <w:sz w:val="20"/>
          <w:szCs w:val="20"/>
          <w:lang w:val="en-IN" w:eastAsia="x-none"/>
        </w:rPr>
        <w:t>enable</w:t>
      </w:r>
      <w:r w:rsidR="005B1CDF" w:rsidRPr="00CE45A6">
        <w:rPr>
          <w:spacing w:val="-1"/>
          <w:sz w:val="20"/>
          <w:szCs w:val="20"/>
          <w:lang w:val="en-IN" w:eastAsia="x-none"/>
        </w:rPr>
        <w:t xml:space="preserve"> instant and accurate actions at a very high level</w:t>
      </w:r>
      <w:r w:rsidR="00EA457C">
        <w:rPr>
          <w:spacing w:val="-1"/>
          <w:sz w:val="20"/>
          <w:szCs w:val="20"/>
          <w:lang w:val="en-IN" w:eastAsia="x-none"/>
        </w:rPr>
        <w:t>. This capability</w:t>
      </w:r>
      <w:r w:rsidR="005B1CDF" w:rsidRPr="00CE45A6">
        <w:rPr>
          <w:spacing w:val="-1"/>
          <w:sz w:val="20"/>
          <w:szCs w:val="20"/>
          <w:lang w:val="en-IN" w:eastAsia="x-none"/>
        </w:rPr>
        <w:t xml:space="preserve"> is not limited to defect detection or breakdown prediction</w:t>
      </w:r>
      <w:r w:rsidR="00EA457C">
        <w:rPr>
          <w:spacing w:val="-1"/>
          <w:sz w:val="20"/>
          <w:szCs w:val="20"/>
          <w:lang w:val="en-IN" w:eastAsia="x-none"/>
        </w:rPr>
        <w:t>,</w:t>
      </w:r>
      <w:r w:rsidR="005B1CDF" w:rsidRPr="00CE45A6">
        <w:rPr>
          <w:spacing w:val="-1"/>
          <w:sz w:val="20"/>
          <w:szCs w:val="20"/>
          <w:lang w:val="en-IN" w:eastAsia="x-none"/>
        </w:rPr>
        <w:t xml:space="preserve"> but also </w:t>
      </w:r>
      <w:r w:rsidR="00EA457C">
        <w:rPr>
          <w:spacing w:val="-1"/>
          <w:sz w:val="20"/>
          <w:szCs w:val="20"/>
          <w:lang w:val="en-IN" w:eastAsia="x-none"/>
        </w:rPr>
        <w:t>extends to</w:t>
      </w:r>
      <w:r w:rsidR="005B1CDF" w:rsidRPr="00CE45A6">
        <w:rPr>
          <w:spacing w:val="-1"/>
          <w:sz w:val="20"/>
          <w:szCs w:val="20"/>
          <w:lang w:val="en-IN" w:eastAsia="x-none"/>
        </w:rPr>
        <w:t xml:space="preserve"> upgrading entire workflows.</w:t>
      </w:r>
      <w:r w:rsidR="001419A9">
        <w:rPr>
          <w:spacing w:val="-1"/>
          <w:sz w:val="20"/>
          <w:szCs w:val="20"/>
          <w:lang w:val="en-IN" w:eastAsia="x-none"/>
        </w:rPr>
        <w:t xml:space="preserve"> To assess</w:t>
      </w:r>
      <w:r w:rsidR="005B1CDF" w:rsidRPr="00CE45A6">
        <w:rPr>
          <w:spacing w:val="-1"/>
          <w:sz w:val="20"/>
          <w:szCs w:val="20"/>
          <w:lang w:val="en-IN" w:eastAsia="x-none"/>
        </w:rPr>
        <w:t xml:space="preserve"> the feasibility of this integration, </w:t>
      </w:r>
      <w:r w:rsidR="001419A9">
        <w:rPr>
          <w:spacing w:val="-1"/>
          <w:sz w:val="20"/>
          <w:szCs w:val="20"/>
          <w:lang w:val="en-IN" w:eastAsia="x-none"/>
        </w:rPr>
        <w:t>a</w:t>
      </w:r>
      <w:r w:rsidR="005B1CDF" w:rsidRPr="00CE45A6">
        <w:rPr>
          <w:spacing w:val="-1"/>
          <w:sz w:val="20"/>
          <w:szCs w:val="20"/>
          <w:lang w:val="en-IN" w:eastAsia="x-none"/>
        </w:rPr>
        <w:t xml:space="preserve"> SWOT analysis </w:t>
      </w:r>
      <w:r w:rsidR="001419A9">
        <w:rPr>
          <w:spacing w:val="-1"/>
          <w:sz w:val="20"/>
          <w:szCs w:val="20"/>
          <w:lang w:val="en-IN" w:eastAsia="x-none"/>
        </w:rPr>
        <w:t>has been presented</w:t>
      </w:r>
      <w:r w:rsidR="005B1CDF" w:rsidRPr="00CE45A6">
        <w:rPr>
          <w:spacing w:val="-1"/>
          <w:sz w:val="20"/>
          <w:szCs w:val="20"/>
          <w:lang w:val="en-IN" w:eastAsia="x-none"/>
        </w:rPr>
        <w:t xml:space="preserve">, </w:t>
      </w:r>
      <w:r w:rsidR="001419A9">
        <w:rPr>
          <w:spacing w:val="-1"/>
          <w:sz w:val="20"/>
          <w:szCs w:val="20"/>
          <w:lang w:val="en-IN" w:eastAsia="x-none"/>
        </w:rPr>
        <w:t xml:space="preserve">outlining the </w:t>
      </w:r>
      <w:r w:rsidR="005B1CDF" w:rsidRPr="00CE45A6">
        <w:rPr>
          <w:spacing w:val="-1"/>
          <w:sz w:val="20"/>
          <w:szCs w:val="20"/>
          <w:lang w:val="en-IN" w:eastAsia="x-none"/>
        </w:rPr>
        <w:t>potential benefits a</w:t>
      </w:r>
      <w:r w:rsidR="001419A9">
        <w:rPr>
          <w:spacing w:val="-1"/>
          <w:sz w:val="20"/>
          <w:szCs w:val="20"/>
          <w:lang w:val="en-IN" w:eastAsia="x-none"/>
        </w:rPr>
        <w:t>nd</w:t>
      </w:r>
      <w:r w:rsidR="005B1CDF" w:rsidRPr="00CE45A6">
        <w:rPr>
          <w:spacing w:val="-1"/>
          <w:sz w:val="20"/>
          <w:szCs w:val="20"/>
          <w:lang w:val="en-IN" w:eastAsia="x-none"/>
        </w:rPr>
        <w:t xml:space="preserve"> the most </w:t>
      </w:r>
      <w:r w:rsidR="001419A9">
        <w:rPr>
          <w:spacing w:val="-1"/>
          <w:sz w:val="20"/>
          <w:szCs w:val="20"/>
          <w:lang w:val="en-IN" w:eastAsia="x-none"/>
        </w:rPr>
        <w:t>significant</w:t>
      </w:r>
      <w:r w:rsidR="005B1CDF" w:rsidRPr="00CE45A6">
        <w:rPr>
          <w:spacing w:val="-1"/>
          <w:sz w:val="20"/>
          <w:szCs w:val="20"/>
          <w:lang w:val="en-IN" w:eastAsia="x-none"/>
        </w:rPr>
        <w:t xml:space="preserve"> obstacles related to the utilization of AAI. </w:t>
      </w:r>
      <w:r w:rsidR="001419A9">
        <w:t xml:space="preserve">The analysis </w:t>
      </w:r>
      <w:r w:rsidR="006C130A">
        <w:t>reveals</w:t>
      </w:r>
      <w:r w:rsidR="005B1CDF" w:rsidRPr="00CE45A6">
        <w:rPr>
          <w:spacing w:val="-1"/>
          <w:sz w:val="20"/>
          <w:szCs w:val="20"/>
          <w:lang w:val="en-IN" w:eastAsia="x-none"/>
        </w:rPr>
        <w:t xml:space="preserve"> </w:t>
      </w:r>
      <w:r w:rsidR="001419A9">
        <w:rPr>
          <w:spacing w:val="-1"/>
          <w:sz w:val="20"/>
          <w:szCs w:val="20"/>
          <w:lang w:val="en-IN" w:eastAsia="x-none"/>
        </w:rPr>
        <w:t>that autonomous</w:t>
      </w:r>
      <w:r w:rsidR="005B1CDF" w:rsidRPr="00CE45A6">
        <w:rPr>
          <w:spacing w:val="-1"/>
          <w:sz w:val="20"/>
          <w:szCs w:val="20"/>
          <w:lang w:val="en-IN" w:eastAsia="x-none"/>
        </w:rPr>
        <w:t xml:space="preserve"> systems constitute the core </w:t>
      </w:r>
      <w:r w:rsidR="001419A9">
        <w:rPr>
          <w:spacing w:val="-1"/>
          <w:sz w:val="20"/>
          <w:szCs w:val="20"/>
          <w:lang w:val="en-IN" w:eastAsia="x-none"/>
        </w:rPr>
        <w:t>of</w:t>
      </w:r>
      <w:r w:rsidR="005B1CDF" w:rsidRPr="00CE45A6">
        <w:rPr>
          <w:spacing w:val="-1"/>
          <w:sz w:val="20"/>
          <w:szCs w:val="20"/>
          <w:lang w:val="en-IN" w:eastAsia="x-none"/>
        </w:rPr>
        <w:t xml:space="preserve"> </w:t>
      </w:r>
      <w:r w:rsidR="006C130A">
        <w:rPr>
          <w:spacing w:val="-1"/>
          <w:sz w:val="20"/>
          <w:szCs w:val="20"/>
          <w:lang w:val="en-IN" w:eastAsia="x-none"/>
        </w:rPr>
        <w:t>developing</w:t>
      </w:r>
      <w:r w:rsidR="005B1CDF" w:rsidRPr="00CE45A6">
        <w:rPr>
          <w:spacing w:val="-1"/>
          <w:sz w:val="20"/>
          <w:szCs w:val="20"/>
          <w:lang w:val="en-IN" w:eastAsia="x-none"/>
        </w:rPr>
        <w:t xml:space="preserve"> highly</w:t>
      </w:r>
      <w:r w:rsidR="001419A9">
        <w:rPr>
          <w:spacing w:val="-1"/>
          <w:sz w:val="20"/>
          <w:szCs w:val="20"/>
          <w:lang w:val="en-IN" w:eastAsia="x-none"/>
        </w:rPr>
        <w:t xml:space="preserve"> </w:t>
      </w:r>
      <w:r w:rsidR="005B1CDF" w:rsidRPr="00CE45A6">
        <w:rPr>
          <w:spacing w:val="-1"/>
          <w:sz w:val="20"/>
          <w:szCs w:val="20"/>
          <w:lang w:val="en-IN" w:eastAsia="x-none"/>
        </w:rPr>
        <w:t xml:space="preserve">flexible, efficient, and capable </w:t>
      </w:r>
      <w:r w:rsidR="006C130A">
        <w:rPr>
          <w:spacing w:val="-1"/>
          <w:sz w:val="20"/>
          <w:szCs w:val="20"/>
          <w:lang w:val="en-IN" w:eastAsia="x-none"/>
        </w:rPr>
        <w:t>industrial networks that enable</w:t>
      </w:r>
      <w:r w:rsidR="005B1CDF" w:rsidRPr="00CE45A6">
        <w:rPr>
          <w:spacing w:val="-1"/>
          <w:sz w:val="20"/>
          <w:szCs w:val="20"/>
          <w:lang w:val="en-IN" w:eastAsia="x-none"/>
        </w:rPr>
        <w:t xml:space="preserve"> seamless collaboration.</w:t>
      </w:r>
    </w:p>
    <w:p w14:paraId="3F9CDE0E" w14:textId="1FA711AD" w:rsidR="009303D9" w:rsidRPr="00D1700B" w:rsidRDefault="004D72B5" w:rsidP="005B1CDF">
      <w:pPr>
        <w:pStyle w:val="Abstract"/>
        <w:rPr>
          <w:color w:val="000000" w:themeColor="text1"/>
        </w:rPr>
      </w:pPr>
      <w:r w:rsidRPr="00D1700B">
        <w:rPr>
          <w:color w:val="000000" w:themeColor="text1"/>
        </w:rPr>
        <w:t>Keywords—</w:t>
      </w:r>
      <w:r w:rsidR="00D143D2" w:rsidRPr="00D1700B">
        <w:rPr>
          <w:color w:val="000000" w:themeColor="text1"/>
        </w:rPr>
        <w:t xml:space="preserve"> Adaptive Intelligence, </w:t>
      </w:r>
      <w:r w:rsidR="007041CA" w:rsidRPr="00D1700B">
        <w:rPr>
          <w:color w:val="000000" w:themeColor="text1"/>
        </w:rPr>
        <w:t>Agentic AI</w:t>
      </w:r>
      <w:r w:rsidR="00D7522C" w:rsidRPr="00D1700B">
        <w:rPr>
          <w:color w:val="000000" w:themeColor="text1"/>
        </w:rPr>
        <w:t>,</w:t>
      </w:r>
      <w:r w:rsidR="009303D9" w:rsidRPr="00D1700B">
        <w:rPr>
          <w:color w:val="000000" w:themeColor="text1"/>
        </w:rPr>
        <w:t xml:space="preserve"> </w:t>
      </w:r>
      <w:r w:rsidR="00D143D2" w:rsidRPr="00D1700B">
        <w:rPr>
          <w:color w:val="000000" w:themeColor="text1"/>
        </w:rPr>
        <w:t>Industry 5.0</w:t>
      </w:r>
      <w:r w:rsidR="00D7522C" w:rsidRPr="00D1700B">
        <w:rPr>
          <w:color w:val="000000" w:themeColor="text1"/>
        </w:rPr>
        <w:t>,</w:t>
      </w:r>
      <w:r w:rsidR="009303D9" w:rsidRPr="00D1700B">
        <w:rPr>
          <w:color w:val="000000" w:themeColor="text1"/>
        </w:rPr>
        <w:t xml:space="preserve"> </w:t>
      </w:r>
      <w:r w:rsidR="00D143D2" w:rsidRPr="00D1700B">
        <w:rPr>
          <w:color w:val="000000" w:themeColor="text1"/>
        </w:rPr>
        <w:t xml:space="preserve">Intelligent Manufacturing, </w:t>
      </w:r>
      <w:r w:rsidR="007041CA" w:rsidRPr="00D1700B">
        <w:rPr>
          <w:color w:val="000000" w:themeColor="text1"/>
        </w:rPr>
        <w:t>SWOT Analysis</w:t>
      </w:r>
      <w:r w:rsidR="00D143D2" w:rsidRPr="00D1700B">
        <w:rPr>
          <w:color w:val="000000" w:themeColor="text1"/>
        </w:rPr>
        <w:t>.</w:t>
      </w:r>
    </w:p>
    <w:p w14:paraId="0DB6F576" w14:textId="6E3C95C0" w:rsidR="009303D9" w:rsidRPr="00D1700B" w:rsidRDefault="009303D9" w:rsidP="003777BA">
      <w:pPr>
        <w:pStyle w:val="Heading1"/>
        <w:rPr>
          <w:color w:val="000000" w:themeColor="text1"/>
        </w:rPr>
      </w:pPr>
      <w:r w:rsidRPr="00D1700B">
        <w:rPr>
          <w:color w:val="000000" w:themeColor="text1"/>
        </w:rPr>
        <w:t xml:space="preserve">Introduction </w:t>
      </w:r>
    </w:p>
    <w:p w14:paraId="02552BD2" w14:textId="42FD6BDE" w:rsidR="007E40DE" w:rsidRDefault="00561C38" w:rsidP="007E40DE">
      <w:pPr>
        <w:pStyle w:val="BodyText"/>
      </w:pPr>
      <w:r w:rsidRPr="00561C38">
        <w:t xml:space="preserve">The​‍​‌‍​‍‌​‍​‌‍​‍‌ act of factories shifting from traditional processes to the use of autonomous machines is largely visible in factory operations. The equipment, which is a mere tool in the traditional setup, now </w:t>
      </w:r>
      <w:r w:rsidR="000A21EC">
        <w:rPr>
          <w:lang w:val="en-US"/>
        </w:rPr>
        <w:t>operates independently</w:t>
      </w:r>
      <w:r w:rsidRPr="00561C38">
        <w:t xml:space="preserve">, guided by live data and intelligent systems, without </w:t>
      </w:r>
      <w:r w:rsidR="000A21EC">
        <w:rPr>
          <w:lang w:val="en-US"/>
        </w:rPr>
        <w:t xml:space="preserve">requiring </w:t>
      </w:r>
      <w:r w:rsidRPr="00561C38">
        <w:t>human intervention</w:t>
      </w:r>
      <w:r w:rsidR="00426247">
        <w:rPr>
          <w:lang w:val="en-US"/>
        </w:rPr>
        <w:t xml:space="preserve"> with talent management [1]</w:t>
      </w:r>
      <w:r w:rsidRPr="00561C38">
        <w:t>. Older setups might have seemed fast, but they were not reliable , based on fixed methods. Everything is n</w:t>
      </w:r>
      <w:r w:rsidR="00E6057F">
        <w:rPr>
          <w:lang w:val="en-US"/>
        </w:rPr>
        <w:t xml:space="preserve">ow </w:t>
      </w:r>
      <w:r w:rsidRPr="00561C38">
        <w:t>fast, flexible, responsive, and dominated by constant feedback</w:t>
      </w:r>
      <w:r w:rsidR="00E6057F">
        <w:rPr>
          <w:lang w:val="en-US"/>
        </w:rPr>
        <w:t xml:space="preserve"> [2]</w:t>
      </w:r>
      <w:r w:rsidRPr="00561C38">
        <w:t xml:space="preserve">. There is </w:t>
      </w:r>
      <w:r w:rsidR="00391B19">
        <w:rPr>
          <w:lang w:val="en-US"/>
        </w:rPr>
        <w:t>considerable</w:t>
      </w:r>
      <w:r w:rsidRPr="00561C38">
        <w:t xml:space="preserve"> interest in </w:t>
      </w:r>
      <w:r w:rsidR="00391B19">
        <w:rPr>
          <w:lang w:val="en-US"/>
        </w:rPr>
        <w:t>environmental conservation</w:t>
      </w:r>
      <w:r w:rsidRPr="00561C38">
        <w:t xml:space="preserve">, and </w:t>
      </w:r>
      <w:r w:rsidR="00391B19">
        <w:rPr>
          <w:lang w:val="en-US"/>
        </w:rPr>
        <w:t>people</w:t>
      </w:r>
      <w:r w:rsidRPr="00561C38">
        <w:t xml:space="preserve"> work harder </w:t>
      </w:r>
      <w:r w:rsidRPr="00561C38">
        <w:t>to save the environment</w:t>
      </w:r>
      <w:r w:rsidR="00391B19">
        <w:rPr>
          <w:lang w:val="en-US"/>
        </w:rPr>
        <w:t>,</w:t>
      </w:r>
      <w:r w:rsidRPr="00561C38">
        <w:t xml:space="preserve"> even when it is </w:t>
      </w:r>
      <w:r w:rsidR="00391B19">
        <w:rPr>
          <w:lang w:val="en-US"/>
        </w:rPr>
        <w:t>challenging</w:t>
      </w:r>
      <w:r w:rsidRPr="00561C38">
        <w:t xml:space="preserve">. The use of humans in combination with smart systems as a workforce is the norm, and </w:t>
      </w:r>
      <w:r w:rsidR="00391B19">
        <w:rPr>
          <w:lang w:val="en-US"/>
        </w:rPr>
        <w:t>in most cases</w:t>
      </w:r>
      <w:r w:rsidRPr="00561C38">
        <w:t>, people can adapt faster than the systems. Tailor-made solutions are getting common very quickly, thus, the updates are very fast, but the resources are being used in a more efficient manner which is very similar to the old way of making, just much more precise this ​‍​‌‍​‍‌​‍​‌‍​‍‌time</w:t>
      </w:r>
      <w:r>
        <w:t>[</w:t>
      </w:r>
      <w:r w:rsidR="00E6057F">
        <w:rPr>
          <w:lang w:val="en-US"/>
        </w:rPr>
        <w:t>3</w:t>
      </w:r>
      <w:r>
        <w:t>]</w:t>
      </w:r>
      <w:r w:rsidRPr="00561C38">
        <w:t>.</w:t>
      </w:r>
    </w:p>
    <w:p w14:paraId="6A7BEC0C" w14:textId="4FFD939E" w:rsidR="00891D14" w:rsidRPr="001B7555" w:rsidRDefault="00065257" w:rsidP="00891D14">
      <w:pPr>
        <w:pStyle w:val="BodyText"/>
        <w:rPr>
          <w:lang w:val="en-IN"/>
        </w:rPr>
      </w:pPr>
      <w:r>
        <w:t xml:space="preserve">The increasing complexity of global manufacturing frameworks has </w:t>
      </w:r>
      <w:r>
        <w:rPr>
          <w:lang w:val="en-US"/>
        </w:rPr>
        <w:t>necessitated the development of</w:t>
      </w:r>
      <w:r>
        <w:t xml:space="preserve"> solutions </w:t>
      </w:r>
      <w:r>
        <w:rPr>
          <w:lang w:val="en-US"/>
        </w:rPr>
        <w:t>that go beyond</w:t>
      </w:r>
      <w:r>
        <w:t xml:space="preserve"> automation</w:t>
      </w:r>
      <w:r>
        <w:rPr>
          <w:lang w:val="en-US"/>
        </w:rPr>
        <w:t>,</w:t>
      </w:r>
      <w:r>
        <w:t xml:space="preserve"> </w:t>
      </w:r>
      <w:r>
        <w:rPr>
          <w:lang w:val="en-US"/>
        </w:rPr>
        <w:t>focusing</w:t>
      </w:r>
      <w:r>
        <w:t xml:space="preserve"> on efficiency and productivity. </w:t>
      </w:r>
      <w:r w:rsidR="00891D14" w:rsidRPr="001B7555">
        <w:rPr>
          <w:lang w:val="en-IN"/>
        </w:rPr>
        <w:t xml:space="preserve"> An old AI could only do the same tasks until someone helps. Now, these smarter models are able to change very quickly, changing their plans when the things change or when they get the new information [4]. I have seen simulations in which the system changes as people move, as if it predicts what will they do next. Since it always looks at its surroundings, it moves tasks at the same time, and it does not ask to figure out what is next, but it keeps everything going even if users are tired, looking for something to do during difficult calls ​‍​‌‍​‍‌​‍​‌‍​‍‌[5].</w:t>
      </w:r>
    </w:p>
    <w:p w14:paraId="39E2F059" w14:textId="792157E8" w:rsidR="00065257" w:rsidRDefault="00891D14" w:rsidP="00065257">
      <w:pPr>
        <w:pStyle w:val="BodyText"/>
      </w:pPr>
      <w:r w:rsidRPr="00891D14">
        <w:t xml:space="preserve">The use of AAI following the rules of Industry 5.0 changes the essential operational metrics, which have the deepest impact. There are production systems that can change as well as be capable of </w:t>
      </w:r>
      <w:proofErr w:type="spellStart"/>
      <w:r w:rsidRPr="00891D14">
        <w:t>self adjustment</w:t>
      </w:r>
      <w:proofErr w:type="spellEnd"/>
      <w:r w:rsidRPr="00891D14">
        <w:t xml:space="preserve"> to the variations in raw material, machine output, and consumer demand when AAI is incorporated [6]. AAI improves workflows and manages robotic work in real time. Such flexibility allows customers to access the most crucial parts of the market in a more convenient </w:t>
      </w:r>
      <w:proofErr w:type="spellStart"/>
      <w:r w:rsidRPr="00891D14">
        <w:t>way.</w:t>
      </w:r>
      <w:r w:rsidR="00065257">
        <w:t>That</w:t>
      </w:r>
      <w:proofErr w:type="spellEnd"/>
      <w:r w:rsidR="00065257">
        <w:t xml:space="preserve">, in turn, makes it feasible to personalize things on a broad scale with considerable agility. The new value thresholds in adaptability include </w:t>
      </w:r>
      <w:r w:rsidR="00065257">
        <w:rPr>
          <w:lang w:val="en-US"/>
        </w:rPr>
        <w:t>reduced</w:t>
      </w:r>
      <w:r w:rsidR="00065257">
        <w:t xml:space="preserve"> </w:t>
      </w:r>
      <w:r w:rsidR="000A21EC">
        <w:rPr>
          <w:lang w:val="en-US"/>
        </w:rPr>
        <w:t>resource waste</w:t>
      </w:r>
      <w:r w:rsidR="00065257">
        <w:t xml:space="preserve">, </w:t>
      </w:r>
      <w:r w:rsidR="00065257">
        <w:rPr>
          <w:lang w:val="en-US"/>
        </w:rPr>
        <w:t>minimized</w:t>
      </w:r>
      <w:r w:rsidR="00065257">
        <w:t xml:space="preserve"> downtime th</w:t>
      </w:r>
      <w:r w:rsidR="000A21EC">
        <w:rPr>
          <w:lang w:val="en-US"/>
        </w:rPr>
        <w:t>rough</w:t>
      </w:r>
      <w:r w:rsidR="00065257">
        <w:t xml:space="preserve"> predictive maintenance, and </w:t>
      </w:r>
      <w:r w:rsidR="00065257">
        <w:rPr>
          <w:lang w:val="en-US"/>
        </w:rPr>
        <w:t>innovative</w:t>
      </w:r>
      <w:r w:rsidR="00065257">
        <w:t xml:space="preserve"> ways to generate revenue through customized and on-demand services.</w:t>
      </w:r>
    </w:p>
    <w:p w14:paraId="47EEA5E7" w14:textId="75E1F35A" w:rsidR="005004E1" w:rsidRDefault="0089693D" w:rsidP="005004E1">
      <w:pPr>
        <w:pStyle w:val="BodyText"/>
      </w:pPr>
      <w:r>
        <w:t xml:space="preserve">Using AAI in accordance with the </w:t>
      </w:r>
      <w:r w:rsidR="00EA457C">
        <w:rPr>
          <w:lang w:val="en-US"/>
        </w:rPr>
        <w:t>principle</w:t>
      </w:r>
      <w:r>
        <w:t xml:space="preserve">s of Industry 5.0 also </w:t>
      </w:r>
      <w:r w:rsidR="00EA457C">
        <w:rPr>
          <w:lang w:val="en-US"/>
        </w:rPr>
        <w:t>alter</w:t>
      </w:r>
      <w:proofErr w:type="spellStart"/>
      <w:r>
        <w:t>s</w:t>
      </w:r>
      <w:proofErr w:type="spellEnd"/>
      <w:r>
        <w:t xml:space="preserve"> the most </w:t>
      </w:r>
      <w:r w:rsidR="00EA457C">
        <w:rPr>
          <w:lang w:val="en-US"/>
        </w:rPr>
        <w:t>critical</w:t>
      </w:r>
      <w:r>
        <w:t xml:space="preserve"> operational indicators</w:t>
      </w:r>
      <w:r w:rsidR="007E69CE">
        <w:rPr>
          <w:lang w:val="en-US"/>
        </w:rPr>
        <w:t xml:space="preserve"> </w:t>
      </w:r>
      <w:r w:rsidR="00C41467">
        <w:t>[7]</w:t>
      </w:r>
      <w:r>
        <w:t xml:space="preserve">. </w:t>
      </w:r>
      <w:r w:rsidR="00EA457C">
        <w:rPr>
          <w:lang w:val="en-US"/>
        </w:rPr>
        <w:t>T</w:t>
      </w:r>
      <w:r w:rsidR="00C75786">
        <w:t xml:space="preserve">he production systems </w:t>
      </w:r>
      <w:r w:rsidR="00EA457C">
        <w:rPr>
          <w:lang w:val="en-US"/>
        </w:rPr>
        <w:t>become</w:t>
      </w:r>
      <w:r w:rsidR="00C75786">
        <w:t xml:space="preserve"> more </w:t>
      </w:r>
      <w:proofErr w:type="spellStart"/>
      <w:r w:rsidR="00C75786">
        <w:t>f</w:t>
      </w:r>
      <w:r w:rsidR="00EA457C">
        <w:rPr>
          <w:lang w:val="en-US"/>
        </w:rPr>
        <w:t>lexibl</w:t>
      </w:r>
      <w:proofErr w:type="spellEnd"/>
      <w:r w:rsidR="00C75786">
        <w:t xml:space="preserve">e and can change more </w:t>
      </w:r>
      <w:proofErr w:type="spellStart"/>
      <w:r w:rsidR="00C75786">
        <w:t>eas</w:t>
      </w:r>
      <w:r w:rsidR="00EA457C">
        <w:rPr>
          <w:lang w:val="en-US"/>
        </w:rPr>
        <w:t>il</w:t>
      </w:r>
      <w:proofErr w:type="spellEnd"/>
      <w:r w:rsidR="00C75786">
        <w:t>y if the material, machine</w:t>
      </w:r>
      <w:r w:rsidR="00EA457C">
        <w:rPr>
          <w:lang w:val="en-US"/>
        </w:rPr>
        <w:t>,</w:t>
      </w:r>
      <w:r w:rsidR="00C75786">
        <w:t xml:space="preserve"> and </w:t>
      </w:r>
      <w:proofErr w:type="spellStart"/>
      <w:r w:rsidR="00C75786">
        <w:t>c</w:t>
      </w:r>
      <w:r w:rsidR="00EA457C">
        <w:rPr>
          <w:lang w:val="en-US"/>
        </w:rPr>
        <w:t>usto</w:t>
      </w:r>
      <w:r w:rsidR="00C75786">
        <w:t>mer</w:t>
      </w:r>
      <w:proofErr w:type="spellEnd"/>
      <w:r w:rsidR="00C75786">
        <w:t xml:space="preserve"> </w:t>
      </w:r>
      <w:r w:rsidR="00EA457C">
        <w:rPr>
          <w:lang w:val="en-US"/>
        </w:rPr>
        <w:t xml:space="preserve">requirements </w:t>
      </w:r>
      <w:r w:rsidR="00C75786">
        <w:lastRenderedPageBreak/>
        <w:t xml:space="preserve">change. </w:t>
      </w:r>
      <w:r w:rsidR="00EA457C">
        <w:rPr>
          <w:lang w:val="en-US"/>
        </w:rPr>
        <w:t>T</w:t>
      </w:r>
      <w:r w:rsidR="00C75786">
        <w:t xml:space="preserve">he AAI </w:t>
      </w:r>
      <w:r w:rsidR="00EA457C">
        <w:rPr>
          <w:lang w:val="en-US"/>
        </w:rPr>
        <w:t>enhances</w:t>
      </w:r>
      <w:r w:rsidR="00C75786">
        <w:t xml:space="preserve"> workflows and organize</w:t>
      </w:r>
      <w:r w:rsidR="00EA457C">
        <w:rPr>
          <w:lang w:val="en-US"/>
        </w:rPr>
        <w:t>s</w:t>
      </w:r>
      <w:r w:rsidR="00C75786">
        <w:t xml:space="preserve"> work robotic</w:t>
      </w:r>
      <w:r w:rsidR="00EA457C">
        <w:rPr>
          <w:lang w:val="en-US"/>
        </w:rPr>
        <w:t>ally</w:t>
      </w:r>
      <w:r w:rsidR="00C75786">
        <w:t xml:space="preserve"> in real</w:t>
      </w:r>
      <w:r w:rsidR="00EA457C">
        <w:rPr>
          <w:lang w:val="en-US"/>
        </w:rPr>
        <w:t>-</w:t>
      </w:r>
      <w:r w:rsidR="00C75786">
        <w:t xml:space="preserve">time. </w:t>
      </w:r>
      <w:r w:rsidR="00EA457C">
        <w:rPr>
          <w:lang w:val="en-US"/>
        </w:rPr>
        <w:t>T</w:t>
      </w:r>
      <w:r w:rsidR="00C75786">
        <w:t xml:space="preserve">his style of flexibility </w:t>
      </w:r>
      <w:r w:rsidR="00EA457C">
        <w:rPr>
          <w:lang w:val="en-US"/>
        </w:rPr>
        <w:t xml:space="preserve">enables </w:t>
      </w:r>
      <w:r w:rsidR="00C75786">
        <w:t xml:space="preserve">people </w:t>
      </w:r>
      <w:r w:rsidR="00EA457C">
        <w:rPr>
          <w:lang w:val="en-US"/>
        </w:rPr>
        <w:t>to</w:t>
      </w:r>
      <w:r w:rsidR="00C75786">
        <w:t xml:space="preserve"> interact </w:t>
      </w:r>
      <w:r w:rsidR="00EA457C">
        <w:rPr>
          <w:lang w:val="en-US"/>
        </w:rPr>
        <w:t xml:space="preserve">more effectively </w:t>
      </w:r>
      <w:r w:rsidR="00C75786">
        <w:t>with the most important part of the market. That make</w:t>
      </w:r>
      <w:r w:rsidR="00EA457C">
        <w:rPr>
          <w:lang w:val="en-US"/>
        </w:rPr>
        <w:t>s</w:t>
      </w:r>
      <w:r w:rsidR="00C75786">
        <w:t xml:space="preserve"> it easy to </w:t>
      </w:r>
      <w:proofErr w:type="spellStart"/>
      <w:r w:rsidR="00EA457C">
        <w:rPr>
          <w:lang w:val="en-US"/>
        </w:rPr>
        <w:t>creat</w:t>
      </w:r>
      <w:proofErr w:type="spellEnd"/>
      <w:r w:rsidR="00C75786">
        <w:t>e personal things for more people, and mak</w:t>
      </w:r>
      <w:r w:rsidR="00EA457C">
        <w:rPr>
          <w:lang w:val="en-US"/>
        </w:rPr>
        <w:t>es</w:t>
      </w:r>
      <w:r w:rsidR="00C75786">
        <w:t xml:space="preserve"> it eas</w:t>
      </w:r>
      <w:r w:rsidR="00EA457C">
        <w:rPr>
          <w:lang w:val="en-US"/>
        </w:rPr>
        <w:t>ier</w:t>
      </w:r>
      <w:r w:rsidR="00C75786">
        <w:t xml:space="preserve"> to do </w:t>
      </w:r>
      <w:r w:rsidR="00EA457C">
        <w:rPr>
          <w:lang w:val="en-US"/>
        </w:rPr>
        <w:t>so</w:t>
      </w:r>
      <w:r w:rsidR="00C75786">
        <w:t xml:space="preserve">. The new threshold of value </w:t>
      </w:r>
      <w:r w:rsidR="00EA457C">
        <w:rPr>
          <w:lang w:val="en-US"/>
        </w:rPr>
        <w:t>for</w:t>
      </w:r>
      <w:r w:rsidR="00C75786">
        <w:t xml:space="preserve"> adaptability </w:t>
      </w:r>
      <w:r w:rsidR="00EA457C">
        <w:rPr>
          <w:lang w:val="en-US"/>
        </w:rPr>
        <w:t>is</w:t>
      </w:r>
      <w:r w:rsidR="00C75786">
        <w:t xml:space="preserve"> </w:t>
      </w:r>
      <w:r w:rsidR="00EA457C">
        <w:rPr>
          <w:lang w:val="en-US"/>
        </w:rPr>
        <w:t>reduced</w:t>
      </w:r>
      <w:r w:rsidR="00C75786">
        <w:t xml:space="preserve"> waste of resources, less time lost </w:t>
      </w:r>
      <w:r w:rsidR="00EA457C">
        <w:rPr>
          <w:lang w:val="en-US"/>
        </w:rPr>
        <w:t>due to</w:t>
      </w:r>
      <w:r w:rsidR="00C75786">
        <w:t xml:space="preserve"> predictive ma</w:t>
      </w:r>
      <w:r w:rsidR="00EA457C">
        <w:rPr>
          <w:lang w:val="en-US"/>
        </w:rPr>
        <w:t>intenance,</w:t>
      </w:r>
      <w:r w:rsidR="00C75786">
        <w:t xml:space="preserve"> and new ideas to </w:t>
      </w:r>
      <w:r w:rsidR="00EA457C">
        <w:rPr>
          <w:lang w:val="en-US"/>
        </w:rPr>
        <w:t>generate income on a</w:t>
      </w:r>
      <w:r w:rsidR="00C75786">
        <w:t xml:space="preserve"> personal and </w:t>
      </w:r>
      <w:r w:rsidR="00EA457C">
        <w:rPr>
          <w:lang w:val="en-US"/>
        </w:rPr>
        <w:t>as-needed basis</w:t>
      </w:r>
      <w:r w:rsidR="00C75786">
        <w:t xml:space="preserve">. It does so by increasing the </w:t>
      </w:r>
      <w:r w:rsidR="00EA457C">
        <w:rPr>
          <w:lang w:val="en-US"/>
        </w:rPr>
        <w:t>system's flexibility</w:t>
      </w:r>
      <w:r w:rsidR="00C75786">
        <w:t xml:space="preserve">, allowing it to adapt to shifts in material availability, machine productivity, and consumer preferences. </w:t>
      </w:r>
      <w:r w:rsidR="005004E1">
        <w:t>By introducing AAI, work processes become more efficient and the robotic work is guided in real time</w:t>
      </w:r>
      <w:r w:rsidR="007E69CE">
        <w:rPr>
          <w:lang w:val="en-US"/>
        </w:rPr>
        <w:t xml:space="preserve"> even in </w:t>
      </w:r>
      <w:r w:rsidR="007E69CE">
        <w:rPr>
          <w:color w:val="000000"/>
          <w:shd w:val="clear" w:color="auto" w:fill="FFFFFF"/>
        </w:rPr>
        <w:t>ambient intelligence systems </w:t>
      </w:r>
      <w:r w:rsidR="007E69CE">
        <w:rPr>
          <w:color w:val="000000"/>
          <w:shd w:val="clear" w:color="auto" w:fill="FFFFFF"/>
          <w:lang w:val="en-US"/>
        </w:rPr>
        <w:t>[8]</w:t>
      </w:r>
      <w:r w:rsidR="005004E1">
        <w:t>.</w:t>
      </w:r>
    </w:p>
    <w:p w14:paraId="7F541E10" w14:textId="5199176E" w:rsidR="00A37581" w:rsidRDefault="005004E1" w:rsidP="005004E1">
      <w:pPr>
        <w:pStyle w:val="BodyText"/>
        <w:ind w:firstLine="0"/>
        <w:rPr>
          <w:color w:val="000000" w:themeColor="text1"/>
          <w:lang w:val="en-US"/>
        </w:rPr>
      </w:pPr>
      <w:r>
        <w:t xml:space="preserve">   Such flexibility guarantees a more efficient interaction with the main customer segments. As a result, one can scale personalization and still keep a high level of agility[2]</w:t>
      </w:r>
      <w:r w:rsidR="00C75786">
        <w:t>The new operational thresholds include: reduced resource wastage, minimized downtime through predictive maintenance, and innovative revenue streams via tailored, immediate services</w:t>
      </w:r>
      <w:r w:rsidR="00A37581" w:rsidRPr="00A37581">
        <w:rPr>
          <w:color w:val="000000" w:themeColor="text1"/>
          <w:lang w:val="en-US"/>
        </w:rPr>
        <w:t xml:space="preserve">. A comprehensive overview of </w:t>
      </w:r>
      <w:r w:rsidR="00B06C85">
        <w:rPr>
          <w:color w:val="000000" w:themeColor="text1"/>
          <w:lang w:val="en-US"/>
        </w:rPr>
        <w:t>such</w:t>
      </w:r>
      <w:r w:rsidR="00A37581" w:rsidRPr="00A37581">
        <w:rPr>
          <w:color w:val="000000" w:themeColor="text1"/>
          <w:lang w:val="en-US"/>
        </w:rPr>
        <w:t xml:space="preserve"> major and minor domains </w:t>
      </w:r>
      <w:r w:rsidR="00B06C85">
        <w:rPr>
          <w:color w:val="000000" w:themeColor="text1"/>
          <w:lang w:val="en-US"/>
        </w:rPr>
        <w:t>under the</w:t>
      </w:r>
      <w:r w:rsidR="00A37581" w:rsidRPr="00A37581">
        <w:rPr>
          <w:color w:val="000000" w:themeColor="text1"/>
          <w:lang w:val="en-US"/>
        </w:rPr>
        <w:t xml:space="preserve"> AAI in Industry 5.0 is presented in Figure 1.</w:t>
      </w:r>
    </w:p>
    <w:p w14:paraId="420363F9" w14:textId="22471B86" w:rsidR="004F09C2" w:rsidRPr="00EF7BDF" w:rsidRDefault="004F09C2" w:rsidP="007A69D4">
      <w:pPr>
        <w:pStyle w:val="BodyText"/>
        <w:tabs>
          <w:tab w:val="clear" w:pos="288"/>
          <w:tab w:val="left" w:pos="0"/>
        </w:tabs>
        <w:ind w:firstLine="0"/>
        <w:rPr>
          <w:color w:val="000000" w:themeColor="text1"/>
          <w:lang w:val="en-US"/>
        </w:rPr>
      </w:pPr>
      <w:r w:rsidRPr="00EF7BDF">
        <w:rPr>
          <w:noProof/>
          <w:color w:val="000000" w:themeColor="text1"/>
          <w:lang w:val="en-US"/>
        </w:rPr>
        <w:drawing>
          <wp:inline distT="0" distB="0" distL="0" distR="0" wp14:anchorId="1CF79A4E" wp14:editId="3B589C02">
            <wp:extent cx="3195955" cy="2883309"/>
            <wp:effectExtent l="0" t="0" r="0" b="0"/>
            <wp:docPr id="74263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39608" name="Picture 742639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6632" cy="2883920"/>
                    </a:xfrm>
                    <a:prstGeom prst="rect">
                      <a:avLst/>
                    </a:prstGeom>
                  </pic:spPr>
                </pic:pic>
              </a:graphicData>
            </a:graphic>
          </wp:inline>
        </w:drawing>
      </w:r>
    </w:p>
    <w:p w14:paraId="53BFCFCA" w14:textId="7F1471CE" w:rsidR="007077A6" w:rsidRPr="00EF7BDF" w:rsidRDefault="007E0AA6" w:rsidP="007077A6">
      <w:pPr>
        <w:pStyle w:val="figurecaption"/>
        <w:ind w:left="0" w:firstLine="0"/>
        <w:rPr>
          <w:color w:val="000000" w:themeColor="text1"/>
        </w:rPr>
      </w:pPr>
      <w:r>
        <w:rPr>
          <w:color w:val="000000" w:themeColor="text1"/>
        </w:rPr>
        <w:t>Figure</w:t>
      </w:r>
      <w:r w:rsidR="007A69D4" w:rsidRPr="00EF7BDF">
        <w:rPr>
          <w:color w:val="000000" w:themeColor="text1"/>
        </w:rPr>
        <w:t xml:space="preserve"> representing various domains in </w:t>
      </w:r>
      <w:r w:rsidR="00ED55CE" w:rsidRPr="00EF7BDF">
        <w:rPr>
          <w:color w:val="000000" w:themeColor="text1"/>
        </w:rPr>
        <w:t>Industry 5.0 through AAI.</w:t>
      </w:r>
    </w:p>
    <w:p w14:paraId="454CAE77" w14:textId="77777777" w:rsidR="00065257" w:rsidRPr="006867F2" w:rsidRDefault="00065257" w:rsidP="00065257">
      <w:pPr>
        <w:pStyle w:val="BodyText"/>
        <w:rPr>
          <w:color w:val="000000" w:themeColor="text1"/>
        </w:rPr>
      </w:pPr>
      <w:r w:rsidRPr="006867F2">
        <w:rPr>
          <w:color w:val="000000" w:themeColor="text1"/>
        </w:rPr>
        <w:t>The following are the contributions of the current study.</w:t>
      </w:r>
    </w:p>
    <w:p w14:paraId="29CDEF09" w14:textId="77777777" w:rsidR="00065257" w:rsidRDefault="00065257" w:rsidP="00065257">
      <w:pPr>
        <w:pStyle w:val="bulletlist"/>
        <w:tabs>
          <w:tab w:val="clear" w:pos="648"/>
        </w:tabs>
        <w:ind w:left="576" w:hanging="288"/>
        <w:rPr>
          <w:color w:val="000000" w:themeColor="text1"/>
        </w:rPr>
      </w:pPr>
      <w:r w:rsidRPr="006867F2">
        <w:rPr>
          <w:color w:val="000000" w:themeColor="text1"/>
        </w:rPr>
        <w:t xml:space="preserve">The study presents the role of the AAI framework in Industry 5.0, highlighting its </w:t>
      </w:r>
      <w:r w:rsidRPr="006867F2">
        <w:rPr>
          <w:color w:val="000000" w:themeColor="text1"/>
          <w:lang w:val="en-US"/>
        </w:rPr>
        <w:t>fundamental</w:t>
      </w:r>
      <w:r w:rsidRPr="006867F2">
        <w:rPr>
          <w:color w:val="000000" w:themeColor="text1"/>
        </w:rPr>
        <w:t xml:space="preserve"> architectural components and </w:t>
      </w:r>
      <w:r w:rsidRPr="006867F2">
        <w:rPr>
          <w:color w:val="000000" w:themeColor="text1"/>
          <w:lang w:val="en-US"/>
        </w:rPr>
        <w:t>how they</w:t>
      </w:r>
      <w:r w:rsidRPr="006867F2">
        <w:rPr>
          <w:color w:val="000000" w:themeColor="text1"/>
        </w:rPr>
        <w:t xml:space="preserve"> are </w:t>
      </w:r>
      <w:r w:rsidRPr="006867F2">
        <w:rPr>
          <w:color w:val="000000" w:themeColor="text1"/>
          <w:lang w:val="en-US"/>
        </w:rPr>
        <w:t xml:space="preserve">being </w:t>
      </w:r>
      <w:r w:rsidRPr="006867F2">
        <w:rPr>
          <w:color w:val="000000" w:themeColor="text1"/>
        </w:rPr>
        <w:t>integrated</w:t>
      </w:r>
      <w:r w:rsidRPr="006867F2">
        <w:rPr>
          <w:color w:val="000000" w:themeColor="text1"/>
          <w:lang w:val="en-US"/>
        </w:rPr>
        <w:t xml:space="preserve"> seamlessly for human-centric models</w:t>
      </w:r>
      <w:r w:rsidRPr="006867F2">
        <w:rPr>
          <w:color w:val="000000" w:themeColor="text1"/>
        </w:rPr>
        <w:t>.</w:t>
      </w:r>
    </w:p>
    <w:p w14:paraId="5C580402" w14:textId="77777777" w:rsidR="00065257" w:rsidRPr="00581146" w:rsidRDefault="00065257" w:rsidP="00065257">
      <w:pPr>
        <w:pStyle w:val="bulletlist"/>
        <w:tabs>
          <w:tab w:val="clear" w:pos="648"/>
        </w:tabs>
        <w:ind w:left="576" w:hanging="288"/>
        <w:rPr>
          <w:color w:val="000000" w:themeColor="text1"/>
        </w:rPr>
      </w:pPr>
      <w:r>
        <w:rPr>
          <w:color w:val="000000" w:themeColor="text1"/>
          <w:lang w:val="en-US"/>
        </w:rPr>
        <w:t xml:space="preserve">The study examines the key components of the AAI </w:t>
      </w:r>
      <w:r w:rsidRPr="00581146">
        <w:rPr>
          <w:color w:val="000000" w:themeColor="text1"/>
          <w:lang w:val="en-US"/>
        </w:rPr>
        <w:t xml:space="preserve">environment and </w:t>
      </w:r>
      <w:r>
        <w:rPr>
          <w:color w:val="000000" w:themeColor="text1"/>
          <w:lang w:val="en-US"/>
        </w:rPr>
        <w:t>outline</w:t>
      </w:r>
      <w:r w:rsidRPr="00581146">
        <w:rPr>
          <w:color w:val="000000" w:themeColor="text1"/>
          <w:lang w:val="en-US"/>
        </w:rPr>
        <w:t xml:space="preserve">s the </w:t>
      </w:r>
      <w:r>
        <w:rPr>
          <w:color w:val="000000" w:themeColor="text1"/>
          <w:lang w:val="en-US"/>
        </w:rPr>
        <w:t>decision-making</w:t>
      </w:r>
      <w:r w:rsidRPr="00581146">
        <w:rPr>
          <w:color w:val="000000" w:themeColor="text1"/>
          <w:lang w:val="en-US"/>
        </w:rPr>
        <w:t xml:space="preserve"> process and communication mechanism</w:t>
      </w:r>
      <w:r>
        <w:rPr>
          <w:color w:val="000000" w:themeColor="text1"/>
          <w:lang w:val="en-US"/>
        </w:rPr>
        <w:t>s</w:t>
      </w:r>
      <w:r w:rsidRPr="00581146">
        <w:rPr>
          <w:color w:val="000000" w:themeColor="text1"/>
          <w:lang w:val="en-US"/>
        </w:rPr>
        <w:t xml:space="preserve"> among the</w:t>
      </w:r>
      <w:r>
        <w:rPr>
          <w:color w:val="000000" w:themeColor="text1"/>
          <w:lang w:val="en-US"/>
        </w:rPr>
        <w:t>se</w:t>
      </w:r>
      <w:r w:rsidRPr="00581146">
        <w:rPr>
          <w:color w:val="000000" w:themeColor="text1"/>
          <w:lang w:val="en-US"/>
        </w:rPr>
        <w:t xml:space="preserve"> components. </w:t>
      </w:r>
    </w:p>
    <w:p w14:paraId="379EB577" w14:textId="77777777" w:rsidR="00065257" w:rsidRPr="00581146" w:rsidRDefault="00065257" w:rsidP="00065257">
      <w:pPr>
        <w:pStyle w:val="bulletlist"/>
        <w:tabs>
          <w:tab w:val="clear" w:pos="648"/>
        </w:tabs>
        <w:ind w:left="576" w:hanging="288"/>
        <w:rPr>
          <w:color w:val="000000" w:themeColor="text1"/>
        </w:rPr>
      </w:pPr>
      <w:r w:rsidRPr="00581146">
        <w:rPr>
          <w:color w:val="000000" w:themeColor="text1"/>
          <w:lang w:val="en-US"/>
        </w:rPr>
        <w:t>Strengths, weaknesses, opportunities, and threats associated with Agentic AI in Industry 5.0 are discussed, which would assist in developing the future perspective models.</w:t>
      </w:r>
    </w:p>
    <w:p w14:paraId="5EA46FEB" w14:textId="77777777" w:rsidR="00065257" w:rsidRPr="001753DF" w:rsidRDefault="00065257" w:rsidP="00065257">
      <w:pPr>
        <w:pStyle w:val="BodyText"/>
        <w:rPr>
          <w:color w:val="000000" w:themeColor="text1"/>
        </w:rPr>
      </w:pPr>
      <w:r w:rsidRPr="00F31295">
        <w:rPr>
          <w:color w:val="000000" w:themeColor="text1"/>
        </w:rPr>
        <w:t xml:space="preserve">The </w:t>
      </w:r>
      <w:r w:rsidRPr="00F31295">
        <w:rPr>
          <w:color w:val="000000" w:themeColor="text1"/>
          <w:lang w:val="en-US"/>
        </w:rPr>
        <w:t>overall</w:t>
      </w:r>
      <w:r w:rsidRPr="00F31295">
        <w:rPr>
          <w:color w:val="000000" w:themeColor="text1"/>
        </w:rPr>
        <w:t xml:space="preserve"> manuscript </w:t>
      </w:r>
      <w:r w:rsidRPr="00AB1102">
        <w:rPr>
          <w:color w:val="000000" w:themeColor="text1"/>
        </w:rPr>
        <w:t xml:space="preserve">is arranged as follows, </w:t>
      </w:r>
      <w:r>
        <w:rPr>
          <w:color w:val="000000" w:themeColor="text1"/>
          <w:lang w:val="en-US"/>
        </w:rPr>
        <w:t>Section</w:t>
      </w:r>
      <w:r w:rsidRPr="00AB1102">
        <w:rPr>
          <w:color w:val="000000" w:themeColor="text1"/>
          <w:lang w:val="en-US"/>
        </w:rPr>
        <w:t xml:space="preserve"> 2 presents the B</w:t>
      </w:r>
      <w:proofErr w:type="spellStart"/>
      <w:r w:rsidRPr="00AB1102">
        <w:rPr>
          <w:color w:val="000000" w:themeColor="text1"/>
        </w:rPr>
        <w:t>ackground</w:t>
      </w:r>
      <w:proofErr w:type="spellEnd"/>
      <w:r w:rsidRPr="00AB1102">
        <w:rPr>
          <w:color w:val="000000" w:themeColor="text1"/>
          <w:lang w:val="en-US"/>
        </w:rPr>
        <w:t xml:space="preserve"> of the AAI technology in Industry 5.0</w:t>
      </w:r>
      <w:r>
        <w:rPr>
          <w:color w:val="000000" w:themeColor="text1"/>
          <w:lang w:val="en-US"/>
        </w:rPr>
        <w:t>,</w:t>
      </w:r>
      <w:r w:rsidRPr="00AB1102">
        <w:rPr>
          <w:color w:val="000000" w:themeColor="text1"/>
          <w:lang w:val="en-US"/>
        </w:rPr>
        <w:t xml:space="preserve"> and</w:t>
      </w:r>
      <w:r>
        <w:rPr>
          <w:color w:val="000000" w:themeColor="text1"/>
          <w:lang w:val="en-US"/>
        </w:rPr>
        <w:t xml:space="preserve"> the </w:t>
      </w:r>
      <w:r w:rsidRPr="00AB1102">
        <w:rPr>
          <w:color w:val="000000" w:themeColor="text1"/>
          <w:lang w:val="en-US"/>
        </w:rPr>
        <w:t>fundamental architecture</w:t>
      </w:r>
      <w:r>
        <w:rPr>
          <w:color w:val="000000" w:themeColor="text1"/>
          <w:lang w:val="en-US"/>
        </w:rPr>
        <w:t>,</w:t>
      </w:r>
      <w:r w:rsidRPr="00AB1102">
        <w:rPr>
          <w:color w:val="000000" w:themeColor="text1"/>
          <w:lang w:val="en-US"/>
        </w:rPr>
        <w:t xml:space="preserve"> along with </w:t>
      </w:r>
      <w:r>
        <w:rPr>
          <w:color w:val="000000" w:themeColor="text1"/>
          <w:lang w:val="en-US"/>
        </w:rPr>
        <w:t xml:space="preserve">the </w:t>
      </w:r>
      <w:r w:rsidRPr="00AB1102">
        <w:rPr>
          <w:color w:val="000000" w:themeColor="text1"/>
        </w:rPr>
        <w:t>working mechanism</w:t>
      </w:r>
      <w:r w:rsidRPr="00AB1102">
        <w:rPr>
          <w:color w:val="000000" w:themeColor="text1"/>
          <w:lang w:val="en-US"/>
        </w:rPr>
        <w:t xml:space="preserve"> is discussed in </w:t>
      </w:r>
      <w:r>
        <w:rPr>
          <w:color w:val="000000" w:themeColor="text1"/>
          <w:lang w:val="en-US"/>
        </w:rPr>
        <w:t>Section</w:t>
      </w:r>
      <w:r w:rsidRPr="001753DF">
        <w:rPr>
          <w:color w:val="000000" w:themeColor="text1"/>
        </w:rPr>
        <w:t xml:space="preserve"> 3</w:t>
      </w:r>
      <w:r w:rsidRPr="001753DF">
        <w:rPr>
          <w:color w:val="000000" w:themeColor="text1"/>
          <w:lang w:val="en-US"/>
        </w:rPr>
        <w:t>.</w:t>
      </w:r>
      <w:r w:rsidRPr="001753DF">
        <w:rPr>
          <w:color w:val="000000" w:themeColor="text1"/>
        </w:rPr>
        <w:t xml:space="preserve"> Section 4 </w:t>
      </w:r>
      <w:r>
        <w:rPr>
          <w:color w:val="000000" w:themeColor="text1"/>
          <w:lang w:val="en-US"/>
        </w:rPr>
        <w:t>discusses</w:t>
      </w:r>
      <w:r w:rsidRPr="001753DF">
        <w:rPr>
          <w:color w:val="000000" w:themeColor="text1"/>
          <w:lang w:val="en-US"/>
        </w:rPr>
        <w:t xml:space="preserve"> the</w:t>
      </w:r>
      <w:r w:rsidRPr="001753DF">
        <w:rPr>
          <w:color w:val="000000" w:themeColor="text1"/>
        </w:rPr>
        <w:t xml:space="preserve"> SWOT analysis </w:t>
      </w:r>
      <w:r w:rsidRPr="001753DF">
        <w:rPr>
          <w:color w:val="000000" w:themeColor="text1"/>
          <w:lang w:val="en-US"/>
        </w:rPr>
        <w:t>on integrating the AAI in Industry 5.0</w:t>
      </w:r>
      <w:r w:rsidRPr="001753DF">
        <w:rPr>
          <w:color w:val="000000" w:themeColor="text1"/>
        </w:rPr>
        <w:t xml:space="preserve"> technology. Section 5 </w:t>
      </w:r>
      <w:r w:rsidRPr="001753DF">
        <w:rPr>
          <w:color w:val="000000" w:themeColor="text1"/>
          <w:lang w:val="en-US"/>
        </w:rPr>
        <w:t>presents</w:t>
      </w:r>
      <w:r w:rsidRPr="001753DF">
        <w:rPr>
          <w:color w:val="000000" w:themeColor="text1"/>
        </w:rPr>
        <w:t xml:space="preserve"> the conclusion and future research </w:t>
      </w:r>
      <w:r w:rsidRPr="001753DF">
        <w:rPr>
          <w:color w:val="000000" w:themeColor="text1"/>
          <w:lang w:val="en-US"/>
        </w:rPr>
        <w:t>scope in the field of AAI.</w:t>
      </w:r>
      <w:r w:rsidRPr="001753DF">
        <w:rPr>
          <w:color w:val="000000" w:themeColor="text1"/>
        </w:rPr>
        <w:t xml:space="preserve"> </w:t>
      </w:r>
    </w:p>
    <w:p w14:paraId="720297B8" w14:textId="7A7F2276" w:rsidR="007A69D4" w:rsidRDefault="0092295B" w:rsidP="006B6B66">
      <w:pPr>
        <w:pStyle w:val="Heading1"/>
        <w:rPr>
          <w:color w:val="000000" w:themeColor="text1"/>
        </w:rPr>
      </w:pPr>
      <w:r w:rsidRPr="001753DF">
        <w:rPr>
          <w:color w:val="000000" w:themeColor="text1"/>
        </w:rPr>
        <w:t>Background</w:t>
      </w:r>
    </w:p>
    <w:p w14:paraId="4EE1ABB8" w14:textId="77777777" w:rsidR="00065257" w:rsidRPr="00D63EB1" w:rsidRDefault="00065257" w:rsidP="00065257">
      <w:pPr>
        <w:pStyle w:val="BodyText"/>
        <w:rPr>
          <w:color w:val="000000" w:themeColor="text1"/>
          <w:lang w:val="en-US"/>
        </w:rPr>
      </w:pPr>
      <w:r w:rsidRPr="00D31B89">
        <w:rPr>
          <w:color w:val="000000" w:themeColor="text1"/>
        </w:rPr>
        <w:t xml:space="preserve">The major components of AAI architecture </w:t>
      </w:r>
      <w:r>
        <w:rPr>
          <w:color w:val="000000" w:themeColor="text1"/>
        </w:rPr>
        <w:t>include the sensing, cognitive, adaptation, interaction, and governance layers</w:t>
      </w:r>
      <w:r>
        <w:rPr>
          <w:color w:val="000000" w:themeColor="text1"/>
          <w:lang w:val="en-US"/>
        </w:rPr>
        <w:t xml:space="preserve">. Each layer has well-defined responsibilities concerning the autonomy, </w:t>
      </w:r>
      <w:r w:rsidRPr="00D31B89">
        <w:rPr>
          <w:color w:val="000000" w:themeColor="text1"/>
          <w:lang w:val="en-US"/>
        </w:rPr>
        <w:t>human-centricity, resilience, and sustainability</w:t>
      </w:r>
      <w:r>
        <w:rPr>
          <w:color w:val="000000" w:themeColor="text1"/>
          <w:lang w:val="en-US"/>
        </w:rPr>
        <w:t xml:space="preserve"> [7] in Industry 5.0. The roles and responsibilities of each layer </w:t>
      </w:r>
      <w:r w:rsidRPr="00D63EB1">
        <w:rPr>
          <w:color w:val="000000" w:themeColor="text1"/>
          <w:lang w:val="en-US"/>
        </w:rPr>
        <w:t xml:space="preserve">are listed below.  </w:t>
      </w:r>
    </w:p>
    <w:p w14:paraId="08E71F3C" w14:textId="45799703" w:rsidR="00891D14" w:rsidRPr="00891D14" w:rsidRDefault="00891D14" w:rsidP="002032E6">
      <w:pPr>
        <w:pStyle w:val="bulletlist"/>
      </w:pPr>
      <w:r>
        <w:t>Sensing</w:t>
      </w:r>
      <w:r w:rsidRPr="00D63EB1">
        <w:t xml:space="preserve"> layer forms the foundation </w:t>
      </w:r>
      <w:r>
        <w:rPr>
          <w:lang w:val="en-US"/>
        </w:rPr>
        <w:t>for</w:t>
      </w:r>
      <w:r w:rsidRPr="00D63EB1">
        <w:t xml:space="preserve"> the AAI framework in Industry 5.0 </w:t>
      </w:r>
      <w:r>
        <w:rPr>
          <w:lang w:val="en-US"/>
        </w:rPr>
        <w:t xml:space="preserve">settings </w:t>
      </w:r>
      <w:r w:rsidRPr="00D63EB1">
        <w:t xml:space="preserve">by enabling continuous interaction </w:t>
      </w:r>
      <w:r>
        <w:rPr>
          <w:lang w:val="en-US"/>
        </w:rPr>
        <w:t>between</w:t>
      </w:r>
      <w:r w:rsidRPr="00D63EB1">
        <w:t xml:space="preserve"> the physical and digital </w:t>
      </w:r>
      <w:r>
        <w:t>environments</w:t>
      </w:r>
      <w:r w:rsidRPr="00D63EB1">
        <w:t xml:space="preserve">. It integrates </w:t>
      </w:r>
      <w:r>
        <w:rPr>
          <w:lang w:val="en-US"/>
        </w:rPr>
        <w:t xml:space="preserve">various </w:t>
      </w:r>
      <w:r w:rsidRPr="00D63EB1">
        <w:t xml:space="preserve">IoT devices, </w:t>
      </w:r>
      <w:r>
        <w:rPr>
          <w:lang w:val="en-US"/>
        </w:rPr>
        <w:t xml:space="preserve">sensors, </w:t>
      </w:r>
      <w:r w:rsidRPr="00D63EB1">
        <w:t>cyber-physical systems, and human-centric sensors to capture real-time data on</w:t>
      </w:r>
      <w:r>
        <w:rPr>
          <w:lang w:val="en-US"/>
        </w:rPr>
        <w:t xml:space="preserve"> the states of the</w:t>
      </w:r>
      <w:r w:rsidRPr="00D63EB1">
        <w:t xml:space="preserve"> machine</w:t>
      </w:r>
      <w:r>
        <w:rPr>
          <w:lang w:val="en-US"/>
        </w:rPr>
        <w:t>s</w:t>
      </w:r>
      <w:r w:rsidRPr="00D63EB1">
        <w:t>,</w:t>
      </w:r>
      <w:r>
        <w:rPr>
          <w:lang w:val="en-US"/>
        </w:rPr>
        <w:t xml:space="preserve"> working conditions,</w:t>
      </w:r>
      <w:r w:rsidRPr="00D63EB1">
        <w:t xml:space="preserve"> environmental conditions, dynamics </w:t>
      </w:r>
      <w:r>
        <w:rPr>
          <w:lang w:val="en-US"/>
        </w:rPr>
        <w:t xml:space="preserve">of the </w:t>
      </w:r>
      <w:r w:rsidRPr="00D63EB1">
        <w:t xml:space="preserve">supply chain, and </w:t>
      </w:r>
      <w:r>
        <w:rPr>
          <w:lang w:val="en-US"/>
        </w:rPr>
        <w:t xml:space="preserve">the safety of the </w:t>
      </w:r>
      <w:r w:rsidRPr="00D63EB1">
        <w:t>worker</w:t>
      </w:r>
      <w:r>
        <w:rPr>
          <w:lang w:val="en-US"/>
        </w:rPr>
        <w:t>s[8]</w:t>
      </w:r>
      <w:r w:rsidRPr="00D63EB1">
        <w:t xml:space="preserve">. </w:t>
      </w:r>
      <w:r>
        <w:t>The</w:t>
      </w:r>
      <w:r>
        <w:rPr>
          <w:lang w:val="en-US"/>
        </w:rPr>
        <w:t xml:space="preserve"> </w:t>
      </w:r>
      <w:r w:rsidRPr="00D63EB1">
        <w:t>primary responsibility is to ensure</w:t>
      </w:r>
      <w:r>
        <w:rPr>
          <w:lang w:val="en-US"/>
        </w:rPr>
        <w:t xml:space="preserve"> that the</w:t>
      </w:r>
      <w:r w:rsidRPr="00D63EB1">
        <w:t xml:space="preserve"> </w:t>
      </w:r>
      <w:r>
        <w:t>context-aware</w:t>
      </w:r>
      <w:r>
        <w:rPr>
          <w:lang w:val="en-US"/>
        </w:rPr>
        <w:t xml:space="preserve"> information</w:t>
      </w:r>
      <w:r w:rsidRPr="00D63EB1">
        <w:t xml:space="preserve">, </w:t>
      </w:r>
      <w:r>
        <w:t>provides</w:t>
      </w:r>
      <w:r w:rsidRPr="00D63EB1">
        <w:t xml:space="preserve"> accurate, timely, and multi-modal data streams that </w:t>
      </w:r>
      <w:r>
        <w:rPr>
          <w:lang w:val="en-US"/>
        </w:rPr>
        <w:t>would assist the</w:t>
      </w:r>
      <w:r w:rsidRPr="00D63EB1">
        <w:t xml:space="preserve"> high-level reasoning and decision-making layers. </w:t>
      </w:r>
      <w:r w:rsidR="00EE1EA2" w:rsidRPr="00EE1EA2">
        <w:t>By incorporating human input</w:t>
      </w:r>
      <w:r w:rsidRPr="00D63EB1">
        <w:t xml:space="preserve">, such as stress, or ergonomics monitoring, the layer </w:t>
      </w:r>
      <w:r>
        <w:t>that’s supports operational efficiency and</w:t>
      </w:r>
      <w:r w:rsidRPr="00D63EB1">
        <w:t xml:space="preserve"> aligns with the human vision of Industry 5.0</w:t>
      </w:r>
      <w:r>
        <w:t xml:space="preserve"> [4]</w:t>
      </w:r>
      <w:r w:rsidRPr="00D63EB1">
        <w:t xml:space="preserve">. </w:t>
      </w:r>
      <w:r w:rsidRPr="00C75786">
        <w:rPr>
          <w:color w:val="000000" w:themeColor="text1"/>
        </w:rPr>
        <w:t>The sensing layer acts as critical entry point supporting security while maintaining accurate data flow, consistent performance, enabl</w:t>
      </w:r>
      <w:r>
        <w:rPr>
          <w:color w:val="000000" w:themeColor="text1"/>
        </w:rPr>
        <w:t>e</w:t>
      </w:r>
      <w:r w:rsidRPr="00C75786">
        <w:rPr>
          <w:color w:val="000000" w:themeColor="text1"/>
        </w:rPr>
        <w:t xml:space="preserve"> smooth connection between varied industrial setups</w:t>
      </w:r>
      <w:r>
        <w:rPr>
          <w:color w:val="000000" w:themeColor="text1"/>
        </w:rPr>
        <w:t>[6]</w:t>
      </w:r>
      <w:r w:rsidRPr="00C75786">
        <w:rPr>
          <w:color w:val="000000" w:themeColor="text1"/>
        </w:rPr>
        <w:t>.</w:t>
      </w:r>
    </w:p>
    <w:p w14:paraId="1302972D" w14:textId="09516D03" w:rsidR="002032E6" w:rsidRDefault="002032E6" w:rsidP="00DD0344">
      <w:pPr>
        <w:pStyle w:val="bulletlist"/>
      </w:pPr>
      <w:r>
        <w:t xml:space="preserve">​‍​‌‍​‍‌​‍​‌‍ </w:t>
      </w:r>
      <w:r w:rsidR="00891D14">
        <w:t xml:space="preserve">‌‍ cognitive layer is smart </w:t>
      </w:r>
      <w:proofErr w:type="spellStart"/>
      <w:r w:rsidR="00891D14">
        <w:t>center</w:t>
      </w:r>
      <w:proofErr w:type="spellEnd"/>
      <w:r w:rsidR="00891D14">
        <w:t xml:space="preserve"> of the AAI system, which converts sensor data into valuable insights for making decisions. The system does not rely on goal</w:t>
      </w:r>
      <w:r w:rsidR="007372BA">
        <w:rPr>
          <w:lang w:val="en-US"/>
        </w:rPr>
        <w:t>-</w:t>
      </w:r>
      <w:r w:rsidR="00891D14">
        <w:t xml:space="preserve">setting tools alone but rather on reasoning based on context and using adaptable planning methods that allow the system to </w:t>
      </w:r>
      <w:r w:rsidR="00EE1EA2" w:rsidRPr="00EE1EA2">
        <w:t>move beyond fixed rule-based systems and adapt dynamically</w:t>
      </w:r>
      <w:r w:rsidR="00EE1EA2">
        <w:rPr>
          <w:lang w:val="en-US"/>
        </w:rPr>
        <w:t xml:space="preserve"> </w:t>
      </w:r>
      <w:r w:rsidR="00891D14">
        <w:t>to a changing factory environment[3]. Moreover, in the context of Industry 5.0, it facilitates the integration of high performance with human aspects, thus, enabling machines to consider employee well-being and stability versus productivity. Hence, this layer provides the logical basis for self-governed actions, thus, converting simple inputs into thoughtful, context-aware ​‍​‌‍​‍‌​‍​‌‍​‍‌outputs.</w:t>
      </w:r>
    </w:p>
    <w:p w14:paraId="6E610667" w14:textId="02868757" w:rsidR="002032E6" w:rsidRDefault="002032E6" w:rsidP="002032E6">
      <w:pPr>
        <w:pStyle w:val="bulletlist"/>
      </w:pPr>
      <w:r>
        <w:t>The adaptation layer essentially keeps the AAI system going by employing smart algorithms, experience</w:t>
      </w:r>
      <w:r w:rsidR="000A21EC">
        <w:rPr>
          <w:lang w:val="en-US"/>
        </w:rPr>
        <w:t>-</w:t>
      </w:r>
      <w:r>
        <w:t>based learning, or real</w:t>
      </w:r>
      <w:r w:rsidR="000A21EC">
        <w:rPr>
          <w:lang w:val="en-US"/>
        </w:rPr>
        <w:t>-</w:t>
      </w:r>
      <w:r>
        <w:t xml:space="preserve">time feedback to change agent actions </w:t>
      </w:r>
      <w:r w:rsidR="007372BA">
        <w:rPr>
          <w:lang w:val="en-US"/>
        </w:rPr>
        <w:t>t</w:t>
      </w:r>
      <w:proofErr w:type="spellStart"/>
      <w:r w:rsidR="006C109F" w:rsidRPr="006C109F">
        <w:t>hat</w:t>
      </w:r>
      <w:proofErr w:type="spellEnd"/>
      <w:r w:rsidR="006C109F" w:rsidRPr="006C109F">
        <w:t xml:space="preserve"> will happen in part when production changes or </w:t>
      </w:r>
      <w:r w:rsidR="007372BA">
        <w:rPr>
          <w:lang w:val="en-US"/>
        </w:rPr>
        <w:t xml:space="preserve">the </w:t>
      </w:r>
      <w:r w:rsidR="006C109F" w:rsidRPr="006C109F">
        <w:t>usage patterns vary. Agents are not going to be fixed, instead they are slowly getting more in line with new inputs</w:t>
      </w:r>
      <w:r w:rsidR="006C109F">
        <w:t xml:space="preserve"> </w:t>
      </w:r>
      <w:r w:rsidR="006C109F" w:rsidRPr="006C109F">
        <w:t>or changed conditions by continuous adjustments.</w:t>
      </w:r>
    </w:p>
    <w:p w14:paraId="67002EFD" w14:textId="13AE78B2" w:rsidR="003D3F85" w:rsidRPr="003D3F85" w:rsidRDefault="003D3F85" w:rsidP="00A135C6">
      <w:pPr>
        <w:pStyle w:val="bulletlist"/>
        <w:rPr>
          <w:color w:val="000000" w:themeColor="text1"/>
        </w:rPr>
      </w:pPr>
      <w:r w:rsidRPr="00A135C6">
        <w:rPr>
          <w:color w:val="000000" w:themeColor="text1"/>
        </w:rPr>
        <w:t>Hence</w:t>
      </w:r>
      <w:r w:rsidR="00E6057F">
        <w:rPr>
          <w:color w:val="000000" w:themeColor="text1"/>
          <w:lang w:val="en-US"/>
        </w:rPr>
        <w:t>,</w:t>
      </w:r>
      <w:r w:rsidR="002032E6">
        <w:rPr>
          <w:color w:val="000000" w:themeColor="text1"/>
        </w:rPr>
        <w:t xml:space="preserve"> </w:t>
      </w:r>
      <w:r w:rsidRPr="00A135C6">
        <w:rPr>
          <w:color w:val="000000" w:themeColor="text1"/>
        </w:rPr>
        <w:t xml:space="preserve">the operation gets stronger under pressure while the efficiency increases over time. In Industry5.0 </w:t>
      </w:r>
      <w:r w:rsidRPr="00A135C6">
        <w:rPr>
          <w:color w:val="000000" w:themeColor="text1"/>
        </w:rPr>
        <w:lastRenderedPageBreak/>
        <w:t>ecosystems, this dynamic layer is instrumental in enabling customized production, prediction-based maintenance, or eco-friendly material handling. This element better connects the system with the company and users’ needs by employing devices that facilitate continuous updating and fine-tuning. Consequently, the AAI configuration is stable, flexible, and ready for future ​‍​‌‍​‍‌​‍​‌‍​‍‌challenges</w:t>
      </w:r>
      <w:r w:rsidR="00C41467" w:rsidRPr="00A135C6">
        <w:rPr>
          <w:color w:val="000000" w:themeColor="text1"/>
        </w:rPr>
        <w:t>[9]</w:t>
      </w:r>
      <w:r w:rsidRPr="00A135C6">
        <w:rPr>
          <w:color w:val="000000" w:themeColor="text1"/>
        </w:rPr>
        <w:t>.</w:t>
      </w:r>
    </w:p>
    <w:p w14:paraId="701E49DE" w14:textId="0D6698C5" w:rsidR="00A2274D" w:rsidRPr="00A135C6" w:rsidRDefault="00A2274D" w:rsidP="00A135C6">
      <w:pPr>
        <w:pStyle w:val="bulletlist"/>
        <w:rPr>
          <w:color w:val="000000" w:themeColor="text1"/>
        </w:rPr>
      </w:pPr>
      <w:r w:rsidRPr="00A135C6">
        <w:rPr>
          <w:color w:val="000000" w:themeColor="text1"/>
        </w:rPr>
        <w:t xml:space="preserve">​‍​‌‍​‍‌​‍​‌‍​The interaction layer acts as the interface between agents, humans, and other external systems that are located at the production line, thus, it is responsible for a smooth communication and cooperation among them in Industry 5.0 ecosystems. The </w:t>
      </w:r>
      <w:r w:rsidR="00EA457C">
        <w:rPr>
          <w:color w:val="000000" w:themeColor="text1"/>
          <w:lang w:val="en-US"/>
        </w:rPr>
        <w:t>primary</w:t>
      </w:r>
      <w:r w:rsidRPr="00A135C6">
        <w:rPr>
          <w:color w:val="000000" w:themeColor="text1"/>
        </w:rPr>
        <w:t xml:space="preserve"> function of the interaction layer is t</w:t>
      </w:r>
      <w:r w:rsidR="00EA457C">
        <w:rPr>
          <w:color w:val="000000" w:themeColor="text1"/>
          <w:lang w:val="en-US"/>
        </w:rPr>
        <w:t>o facilitate</w:t>
      </w:r>
      <w:r w:rsidRPr="00A135C6">
        <w:rPr>
          <w:color w:val="000000" w:themeColor="text1"/>
        </w:rPr>
        <w:t xml:space="preserve"> human-AI collaboration</w:t>
      </w:r>
      <w:r w:rsidR="00EA457C">
        <w:rPr>
          <w:color w:val="000000" w:themeColor="text1"/>
          <w:lang w:val="en-US"/>
        </w:rPr>
        <w:t>, enabling</w:t>
      </w:r>
      <w:r w:rsidRPr="00A135C6">
        <w:rPr>
          <w:color w:val="000000" w:themeColor="text1"/>
        </w:rPr>
        <w:t xml:space="preserve"> agents </w:t>
      </w:r>
      <w:r w:rsidR="00EA457C">
        <w:rPr>
          <w:color w:val="000000" w:themeColor="text1"/>
          <w:lang w:val="en-US"/>
        </w:rPr>
        <w:t>to</w:t>
      </w:r>
      <w:r w:rsidRPr="00A135C6">
        <w:rPr>
          <w:color w:val="000000" w:themeColor="text1"/>
        </w:rPr>
        <w:t xml:space="preserve"> support human decision-making in a </w:t>
      </w:r>
      <w:r w:rsidR="00EA457C">
        <w:rPr>
          <w:color w:val="000000" w:themeColor="text1"/>
          <w:lang w:val="en-US"/>
        </w:rPr>
        <w:t>manner</w:t>
      </w:r>
      <w:r w:rsidRPr="00A135C6">
        <w:rPr>
          <w:color w:val="000000" w:themeColor="text1"/>
        </w:rPr>
        <w:t xml:space="preserve"> that </w:t>
      </w:r>
      <w:r w:rsidR="00EA457C">
        <w:rPr>
          <w:color w:val="000000" w:themeColor="text1"/>
          <w:lang w:val="en-US"/>
        </w:rPr>
        <w:t>remains</w:t>
      </w:r>
      <w:r w:rsidRPr="00A135C6">
        <w:rPr>
          <w:color w:val="000000" w:themeColor="text1"/>
        </w:rPr>
        <w:t xml:space="preserve"> transparent, trustworthy, and practical. Furthermore, this layer provides the functionalities of multi-agent coordination thus, a distributed agent system can negotiate internally, knowledge transformation, and by interacting in manufacturing, logistics, energy optimization, or any other domains, collaboratively solve complex problems that span multiple domains. The interaction layer is </w:t>
      </w:r>
      <w:r w:rsidR="007A3627">
        <w:rPr>
          <w:color w:val="000000" w:themeColor="text1"/>
        </w:rPr>
        <w:t>the component responsible for ensuring that both humans and machines</w:t>
      </w:r>
      <w:r w:rsidRPr="00A135C6">
        <w:rPr>
          <w:color w:val="000000" w:themeColor="text1"/>
        </w:rPr>
        <w:t xml:space="preserve"> will have more meaningful, context-aware ​‍​‌‍​‍‌​‍​‌‍​‍‌interactions</w:t>
      </w:r>
      <w:r w:rsidR="00A135C6" w:rsidRPr="00A135C6">
        <w:rPr>
          <w:color w:val="000000" w:themeColor="text1"/>
        </w:rPr>
        <w:t xml:space="preserve">. The diagram denoting all the aforementioned layers in the AAI model is presented in Figure 2. </w:t>
      </w:r>
    </w:p>
    <w:p w14:paraId="4E515D93" w14:textId="77777777" w:rsidR="00A135C6" w:rsidRPr="00442419" w:rsidRDefault="00A135C6" w:rsidP="00A135C6">
      <w:pPr>
        <w:pStyle w:val="BodyText"/>
        <w:tabs>
          <w:tab w:val="clear" w:pos="288"/>
          <w:tab w:val="left" w:pos="0"/>
        </w:tabs>
        <w:ind w:firstLine="0"/>
        <w:rPr>
          <w:color w:val="000000" w:themeColor="text1"/>
          <w:lang w:val="en-US"/>
        </w:rPr>
      </w:pPr>
      <w:r>
        <w:rPr>
          <w:noProof/>
          <w:color w:val="000000" w:themeColor="text1"/>
          <w:lang w:val="en-US"/>
        </w:rPr>
        <w:drawing>
          <wp:inline distT="0" distB="0" distL="0" distR="0" wp14:anchorId="1992BD17" wp14:editId="2D6CE191">
            <wp:extent cx="3195955" cy="1784985"/>
            <wp:effectExtent l="0" t="0" r="0" b="0"/>
            <wp:docPr id="921351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51595" name="Picture 9213515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5955" cy="1784985"/>
                    </a:xfrm>
                    <a:prstGeom prst="rect">
                      <a:avLst/>
                    </a:prstGeom>
                  </pic:spPr>
                </pic:pic>
              </a:graphicData>
            </a:graphic>
          </wp:inline>
        </w:drawing>
      </w:r>
    </w:p>
    <w:p w14:paraId="583DF6DC" w14:textId="03185F10" w:rsidR="00A135C6" w:rsidRPr="00A135C6" w:rsidRDefault="00A135C6" w:rsidP="00A135C6">
      <w:pPr>
        <w:pStyle w:val="figurecaption"/>
        <w:ind w:left="0" w:firstLine="0"/>
        <w:rPr>
          <w:color w:val="000000" w:themeColor="text1"/>
        </w:rPr>
      </w:pPr>
      <w:r>
        <w:rPr>
          <w:color w:val="000000" w:themeColor="text1"/>
        </w:rPr>
        <w:t>Layered architecture</w:t>
      </w:r>
      <w:r w:rsidRPr="00442419">
        <w:rPr>
          <w:color w:val="000000" w:themeColor="text1"/>
        </w:rPr>
        <w:t xml:space="preserve"> of </w:t>
      </w:r>
      <w:r>
        <w:rPr>
          <w:color w:val="000000" w:themeColor="text1"/>
        </w:rPr>
        <w:t xml:space="preserve">the </w:t>
      </w:r>
      <w:r w:rsidRPr="00442419">
        <w:rPr>
          <w:color w:val="000000" w:themeColor="text1"/>
        </w:rPr>
        <w:t xml:space="preserve">AAI model in </w:t>
      </w:r>
      <w:r>
        <w:rPr>
          <w:color w:val="000000" w:themeColor="text1"/>
        </w:rPr>
        <w:t xml:space="preserve">Industry 5.0 settings. </w:t>
      </w:r>
      <w:r w:rsidRPr="00442419">
        <w:rPr>
          <w:color w:val="000000" w:themeColor="text1"/>
        </w:rPr>
        <w:t xml:space="preserve"> </w:t>
      </w:r>
    </w:p>
    <w:p w14:paraId="19AD911E" w14:textId="6B096DFC" w:rsidR="00A2274D" w:rsidRDefault="00A2274D" w:rsidP="00A2274D">
      <w:pPr>
        <w:pStyle w:val="bulletlist"/>
      </w:pPr>
      <w:r>
        <w:rPr>
          <w:rStyle w:val="apple-tab-span"/>
          <w:color w:val="000000"/>
          <w:sz w:val="14"/>
          <w:szCs w:val="14"/>
        </w:rPr>
        <w:tab/>
      </w:r>
      <w:r>
        <w:t xml:space="preserve">The governance layer </w:t>
      </w:r>
      <w:r w:rsidR="00E6057F">
        <w:rPr>
          <w:lang w:val="en-US"/>
        </w:rPr>
        <w:t>oversees</w:t>
      </w:r>
      <w:r>
        <w:t xml:space="preserve"> multiple activities in AAI settings and </w:t>
      </w:r>
      <w:r w:rsidR="00E6057F">
        <w:rPr>
          <w:lang w:val="en-US"/>
        </w:rPr>
        <w:t>serve</w:t>
      </w:r>
      <w:r>
        <w:t xml:space="preserve">s as a regulatory backbone for the AAI framework, ensuring that autonomous operations </w:t>
      </w:r>
      <w:r w:rsidR="00E6057F">
        <w:rPr>
          <w:lang w:val="en-US"/>
        </w:rPr>
        <w:t>remain</w:t>
      </w:r>
      <w:r>
        <w:t xml:space="preserve"> aligned with the human</w:t>
      </w:r>
      <w:r w:rsidR="00E6057F">
        <w:rPr>
          <w:lang w:val="en-US"/>
        </w:rPr>
        <w:t>-</w:t>
      </w:r>
      <w:r>
        <w:t>centric, ethical, and sustainable principles of Industry 5.0. Its key job is to make sure that agents are trustworthy, open, and accountable by using tools like explainability, auditability, and compliance monitoring. This layer also ensures safety, cybersecurity, privacy-preserving controls, and safeguards human operators and sensitive industrial data. The layer ensures autonomous decision-making concerning societal values, environmental goals, and worker well-being</w:t>
      </w:r>
      <w:r w:rsidR="00C41467">
        <w:t>[4]</w:t>
      </w:r>
      <w:r>
        <w:t xml:space="preserve">. It is the moderator </w:t>
      </w:r>
      <w:r w:rsidR="00EA457C">
        <w:rPr>
          <w:lang w:val="en-US"/>
        </w:rPr>
        <w:t>who ensures</w:t>
      </w:r>
      <w:r>
        <w:t xml:space="preserve"> that autonomy is responsible and  </w:t>
      </w:r>
      <w:r w:rsidR="00EA457C">
        <w:rPr>
          <w:lang w:val="en-US"/>
        </w:rPr>
        <w:t xml:space="preserve">that </w:t>
      </w:r>
      <w:r>
        <w:t>there is a balance between innovation, resilience, and ethical oversight in Industry 5.0 ecosystems.</w:t>
      </w:r>
    </w:p>
    <w:p w14:paraId="3EF35B8D" w14:textId="0610B532" w:rsidR="009303D9" w:rsidRPr="00442419" w:rsidRDefault="00F6077F" w:rsidP="006B6B66">
      <w:pPr>
        <w:pStyle w:val="Heading1"/>
        <w:rPr>
          <w:color w:val="000000" w:themeColor="text1"/>
        </w:rPr>
      </w:pPr>
      <w:r w:rsidRPr="00442419">
        <w:rPr>
          <w:color w:val="000000" w:themeColor="text1"/>
        </w:rPr>
        <w:t xml:space="preserve">Working Mechanism of </w:t>
      </w:r>
      <w:r w:rsidR="00F110E1">
        <w:rPr>
          <w:color w:val="000000" w:themeColor="text1"/>
        </w:rPr>
        <w:t>aai</w:t>
      </w:r>
    </w:p>
    <w:p w14:paraId="1CD457A6" w14:textId="4E5133CE" w:rsidR="00297C72" w:rsidRDefault="00297C72" w:rsidP="00297C72">
      <w:pPr>
        <w:pStyle w:val="BodyText"/>
        <w:rPr>
          <w:color w:val="000000" w:themeColor="text1"/>
        </w:rPr>
      </w:pPr>
      <w:r w:rsidRPr="00297C72">
        <w:rPr>
          <w:color w:val="000000" w:themeColor="text1"/>
        </w:rPr>
        <w:t xml:space="preserve">Initially, each department </w:t>
      </w:r>
      <w:r w:rsidR="00EA457C">
        <w:rPr>
          <w:color w:val="000000" w:themeColor="text1"/>
          <w:lang w:val="en-US"/>
        </w:rPr>
        <w:t>within</w:t>
      </w:r>
      <w:r w:rsidRPr="00297C72">
        <w:rPr>
          <w:color w:val="000000" w:themeColor="text1"/>
        </w:rPr>
        <w:t xml:space="preserve"> the AAI structure, as de</w:t>
      </w:r>
      <w:r w:rsidR="00EA457C">
        <w:rPr>
          <w:color w:val="000000" w:themeColor="text1"/>
          <w:lang w:val="en-US"/>
        </w:rPr>
        <w:t>pict</w:t>
      </w:r>
      <w:r w:rsidRPr="00297C72">
        <w:rPr>
          <w:color w:val="000000" w:themeColor="text1"/>
        </w:rPr>
        <w:t xml:space="preserve">ed in the figure, </w:t>
      </w:r>
      <w:r w:rsidR="00EA457C">
        <w:rPr>
          <w:color w:val="000000" w:themeColor="text1"/>
          <w:lang w:val="en-US"/>
        </w:rPr>
        <w:t>represent</w:t>
      </w:r>
      <w:r w:rsidRPr="00297C72">
        <w:rPr>
          <w:color w:val="000000" w:themeColor="text1"/>
        </w:rPr>
        <w:t xml:space="preserve">s an abstraction of the AI model's functioning in </w:t>
      </w:r>
      <w:r w:rsidR="001760E6">
        <w:rPr>
          <w:color w:val="000000" w:themeColor="text1"/>
          <w:lang w:val="en-US"/>
        </w:rPr>
        <w:t>Industry 4</w:t>
      </w:r>
      <w:r w:rsidRPr="00297C72">
        <w:rPr>
          <w:color w:val="000000" w:themeColor="text1"/>
        </w:rPr>
        <w:t xml:space="preserve">.0, which </w:t>
      </w:r>
      <w:r w:rsidR="001760E6">
        <w:rPr>
          <w:color w:val="000000" w:themeColor="text1"/>
          <w:lang w:val="en-US"/>
        </w:rPr>
        <w:t>aims to achieve</w:t>
      </w:r>
      <w:r w:rsidRPr="00297C72">
        <w:rPr>
          <w:color w:val="000000" w:themeColor="text1"/>
        </w:rPr>
        <w:t xml:space="preserve"> a higher, more intelligent level of productivity. Each layer is a repository of functions that </w:t>
      </w:r>
      <w:proofErr w:type="spellStart"/>
      <w:r w:rsidR="00EA457C">
        <w:rPr>
          <w:color w:val="000000" w:themeColor="text1"/>
          <w:lang w:val="en-US"/>
        </w:rPr>
        <w:t>originat</w:t>
      </w:r>
      <w:proofErr w:type="spellEnd"/>
      <w:r w:rsidRPr="00297C72">
        <w:rPr>
          <w:color w:val="000000" w:themeColor="text1"/>
        </w:rPr>
        <w:t xml:space="preserve">e from different disciplines and complement </w:t>
      </w:r>
      <w:r w:rsidR="00EA457C">
        <w:rPr>
          <w:color w:val="000000" w:themeColor="text1"/>
          <w:lang w:val="en-US"/>
        </w:rPr>
        <w:t>one an</w:t>
      </w:r>
      <w:r w:rsidRPr="00297C72">
        <w:rPr>
          <w:color w:val="000000" w:themeColor="text1"/>
        </w:rPr>
        <w:t xml:space="preserve">other to form a continuous loop of sensing, thinking, adapting, communicating, and managing. The layers would not function sequentially but rather interactively, </w:t>
      </w:r>
      <w:r w:rsidR="001760E6">
        <w:rPr>
          <w:color w:val="000000" w:themeColor="text1"/>
          <w:lang w:val="en-US"/>
        </w:rPr>
        <w:t>implying</w:t>
      </w:r>
      <w:r w:rsidRPr="00297C72">
        <w:rPr>
          <w:color w:val="000000" w:themeColor="text1"/>
        </w:rPr>
        <w:t xml:space="preserve"> that they would jointly </w:t>
      </w:r>
      <w:r w:rsidR="001760E6">
        <w:rPr>
          <w:color w:val="000000" w:themeColor="text1"/>
          <w:lang w:val="en-US"/>
        </w:rPr>
        <w:t>m</w:t>
      </w:r>
      <w:proofErr w:type="spellStart"/>
      <w:r w:rsidRPr="00297C72">
        <w:rPr>
          <w:color w:val="000000" w:themeColor="text1"/>
        </w:rPr>
        <w:t>ake</w:t>
      </w:r>
      <w:proofErr w:type="spellEnd"/>
      <w:r w:rsidRPr="00297C72">
        <w:rPr>
          <w:color w:val="000000" w:themeColor="text1"/>
        </w:rPr>
        <w:t xml:space="preserve"> decisions, distribute roles, and determine the division of tasks to </w:t>
      </w:r>
      <w:proofErr w:type="spellStart"/>
      <w:r w:rsidR="001760E6">
        <w:rPr>
          <w:color w:val="000000" w:themeColor="text1"/>
          <w:lang w:val="en-US"/>
        </w:rPr>
        <w:t>ensur</w:t>
      </w:r>
      <w:proofErr w:type="spellEnd"/>
      <w:r w:rsidRPr="00297C72">
        <w:rPr>
          <w:color w:val="000000" w:themeColor="text1"/>
        </w:rPr>
        <w:t>e that industrial processes are not only efficient and robust but also human-centric [</w:t>
      </w:r>
      <w:r w:rsidR="00E6057F">
        <w:rPr>
          <w:color w:val="000000" w:themeColor="text1"/>
          <w:lang w:val="en-US"/>
        </w:rPr>
        <w:t>9</w:t>
      </w:r>
      <w:r w:rsidRPr="00297C72">
        <w:rPr>
          <w:color w:val="000000" w:themeColor="text1"/>
        </w:rPr>
        <w:t>].</w:t>
      </w:r>
    </w:p>
    <w:p w14:paraId="5521D29F" w14:textId="51154C76" w:rsidR="00C80C36" w:rsidRPr="00297C72" w:rsidRDefault="00297C72" w:rsidP="00297C72">
      <w:pPr>
        <w:pStyle w:val="BodyText"/>
        <w:rPr>
          <w:b/>
          <w:bCs/>
          <w:i/>
          <w:iCs/>
          <w:color w:val="000000" w:themeColor="text1"/>
        </w:rPr>
      </w:pPr>
      <w:r>
        <w:rPr>
          <w:b/>
          <w:bCs/>
          <w:i/>
          <w:iCs/>
          <w:color w:val="000000" w:themeColor="text1"/>
        </w:rPr>
        <w:t xml:space="preserve">A. </w:t>
      </w:r>
      <w:r w:rsidR="00C80C36" w:rsidRPr="00297C72">
        <w:rPr>
          <w:i/>
          <w:iCs/>
          <w:color w:val="000000" w:themeColor="text1"/>
        </w:rPr>
        <w:t>Collaborative Dynamics Among Layer</w:t>
      </w:r>
      <w:r w:rsidR="00C80C36" w:rsidRPr="00297C72">
        <w:rPr>
          <w:b/>
          <w:bCs/>
          <w:i/>
          <w:iCs/>
          <w:color w:val="000000" w:themeColor="text1"/>
        </w:rPr>
        <w:t>s</w:t>
      </w:r>
    </w:p>
    <w:p w14:paraId="6481BD1A" w14:textId="2D8CE4A2" w:rsidR="00297C72" w:rsidRPr="00297C72" w:rsidRDefault="00297C72" w:rsidP="00297C72">
      <w:pPr>
        <w:pStyle w:val="BodyText"/>
        <w:rPr>
          <w:color w:val="000000" w:themeColor="text1"/>
          <w:lang w:val="en-IN"/>
        </w:rPr>
      </w:pPr>
      <w:r w:rsidRPr="00297C72">
        <w:rPr>
          <w:color w:val="000000" w:themeColor="text1"/>
          <w:lang w:val="en-IN"/>
        </w:rPr>
        <w:t xml:space="preserve">In the Agentic AI framework for Industry 5.0, the communication among the sensing, cognitive, governance, and interaction layers is a well-organized and </w:t>
      </w:r>
      <w:r w:rsidR="001760E6">
        <w:rPr>
          <w:color w:val="000000" w:themeColor="text1"/>
          <w:lang w:val="en-IN"/>
        </w:rPr>
        <w:t>dynamic</w:t>
      </w:r>
      <w:r w:rsidRPr="00297C72">
        <w:rPr>
          <w:color w:val="000000" w:themeColor="text1"/>
          <w:lang w:val="en-IN"/>
        </w:rPr>
        <w:t xml:space="preserve"> data flow that </w:t>
      </w:r>
      <w:r w:rsidR="001760E6">
        <w:rPr>
          <w:color w:val="000000" w:themeColor="text1"/>
          <w:lang w:val="en-IN"/>
        </w:rPr>
        <w:t>ensur</w:t>
      </w:r>
      <w:r w:rsidRPr="00297C72">
        <w:rPr>
          <w:color w:val="000000" w:themeColor="text1"/>
          <w:lang w:val="en-IN"/>
        </w:rPr>
        <w:t>es both effectiveness and human-centric results. The sensing layer monitor</w:t>
      </w:r>
      <w:r w:rsidR="00804654">
        <w:rPr>
          <w:color w:val="000000" w:themeColor="text1"/>
          <w:lang w:val="en-IN"/>
        </w:rPr>
        <w:t>s</w:t>
      </w:r>
      <w:r w:rsidRPr="00297C72">
        <w:rPr>
          <w:color w:val="000000" w:themeColor="text1"/>
          <w:lang w:val="en-IN"/>
        </w:rPr>
        <w:t xml:space="preserve"> and receiv</w:t>
      </w:r>
      <w:r w:rsidR="00804654">
        <w:rPr>
          <w:color w:val="000000" w:themeColor="text1"/>
          <w:lang w:val="en-IN"/>
        </w:rPr>
        <w:t>es</w:t>
      </w:r>
      <w:r w:rsidRPr="00297C72">
        <w:rPr>
          <w:color w:val="000000" w:themeColor="text1"/>
          <w:lang w:val="en-IN"/>
        </w:rPr>
        <w:t xml:space="preserve"> data from different IoT-enabled machines, sensor-equipped areas, and human-centric operators. Eventually, the cognitive layer receives the data and through a combination of reasoning, inference, and predictive analytics, it locates the patterns in the data and generates decision alternatives. When the data has been </w:t>
      </w:r>
      <w:proofErr w:type="spellStart"/>
      <w:r w:rsidRPr="00297C72">
        <w:rPr>
          <w:color w:val="000000" w:themeColor="text1"/>
          <w:lang w:val="en-IN"/>
        </w:rPr>
        <w:t>analyzed</w:t>
      </w:r>
      <w:proofErr w:type="spellEnd"/>
      <w:r w:rsidRPr="00297C72">
        <w:rPr>
          <w:color w:val="000000" w:themeColor="text1"/>
          <w:lang w:val="en-IN"/>
        </w:rPr>
        <w:t>, the adaptation layer would be the one to determine the strategy priorities, identify the workflows, and allocate the resources to the system thus, satisfying the real-time needs of a flexible and resilient way of doing ​‍​‌‍​‍‌​‍​‌‍​‍‌tasks.</w:t>
      </w:r>
    </w:p>
    <w:p w14:paraId="21ECA798" w14:textId="405A6453" w:rsidR="006C109F" w:rsidRDefault="006C109F" w:rsidP="00090033">
      <w:pPr>
        <w:pStyle w:val="BodyText"/>
      </w:pPr>
      <w:r>
        <w:t xml:space="preserve">The governance layer is essential for the coordination of different activities. In essence, it would monitor and grant the decisions made in different levels that are in accordance with ethical standards, environmentally safe practices, and company regulations. On the other hand, the interface layer </w:t>
      </w:r>
      <w:r w:rsidR="00EE1EA2">
        <w:rPr>
          <w:lang w:val="en-US"/>
        </w:rPr>
        <w:t>serves a</w:t>
      </w:r>
      <w:proofErr w:type="spellStart"/>
      <w:r>
        <w:t>s</w:t>
      </w:r>
      <w:proofErr w:type="spellEnd"/>
      <w:r>
        <w:t xml:space="preserve"> a connecting link that joins the AI ecosystem with the out</w:t>
      </w:r>
      <w:r w:rsidR="00EE1EA2">
        <w:rPr>
          <w:lang w:val="en-US"/>
        </w:rPr>
        <w:t>side</w:t>
      </w:r>
      <w:r>
        <w:t xml:space="preserve"> world</w:t>
      </w:r>
      <w:r w:rsidR="00EE1EA2">
        <w:rPr>
          <w:lang w:val="en-US"/>
        </w:rPr>
        <w:t>, allowing</w:t>
      </w:r>
      <w:r>
        <w:t xml:space="preserve"> human users, devices, or industrial systems </w:t>
      </w:r>
      <w:r w:rsidR="00EE1EA2">
        <w:rPr>
          <w:lang w:val="en-US"/>
        </w:rPr>
        <w:t>to</w:t>
      </w:r>
      <w:r>
        <w:t xml:space="preserve"> interact with each other without difficulty</w:t>
      </w:r>
      <w:r w:rsidR="00EE1EA2">
        <w:rPr>
          <w:lang w:val="en-US"/>
        </w:rPr>
        <w:t xml:space="preserve"> </w:t>
      </w:r>
      <w:r>
        <w:t>[4]. Moreover, it contributes to making the outputs more comprehensible, thus laying the ground for the feedback to come from the sensing layer, which constitutes the closed feedback loop.</w:t>
      </w:r>
      <w:r w:rsidR="00EE1EA2">
        <w:rPr>
          <w:lang w:val="en-US"/>
        </w:rPr>
        <w:t xml:space="preserve"> </w:t>
      </w:r>
      <w:r>
        <w:t>AAI in Industry 5.0, via this complex and multi layered communication network, is still capable of making independent decisions which are in line with the law of the land, with each layer being the specialist in its functions and at the same time, being able to cooperate with the other layers in performing tasks that are transparent, adaptive, and human aligned.</w:t>
      </w:r>
    </w:p>
    <w:p w14:paraId="1D3F6D45" w14:textId="639D3AFB" w:rsidR="00DE0158" w:rsidRPr="00DE0158" w:rsidRDefault="00DE0158" w:rsidP="006C109F">
      <w:pPr>
        <w:pStyle w:val="BodyText"/>
        <w:rPr>
          <w:color w:val="000000" w:themeColor="text1"/>
        </w:rPr>
      </w:pPr>
      <w:r w:rsidRPr="00DE0158">
        <w:rPr>
          <w:color w:val="000000" w:themeColor="text1"/>
        </w:rPr>
        <w:t>It's​‍​‌‍​‍‌​‍​‌‍​‍‌ quite vital that the AAI's cognitive and sensing layers communicate with each other because they're the ones that actually convert the raw environmental inputs into the outcomes that can be executed. The sensing layer is always open to receive different streams of data from the machines, sensors, and human inputs, and then it sends them in real-time to the cognitive layer. The reasoning engines and predictive models of high sophistication take the information to uncover the patterns, to detect the anomalies, and to come up with the insights that are aware of the context.</w:t>
      </w:r>
      <w:r w:rsidR="00E6057F">
        <w:rPr>
          <w:color w:val="000000" w:themeColor="text1"/>
          <w:lang w:val="en-US"/>
        </w:rPr>
        <w:t xml:space="preserve"> </w:t>
      </w:r>
      <w:r w:rsidRPr="00DE0158">
        <w:rPr>
          <w:color w:val="000000" w:themeColor="text1"/>
        </w:rPr>
        <w:t xml:space="preserve">The uninterrupted flow of information is what makes it possible for the cognitive layer to get accurate and timely contextual information from the environment, thus allowing it to make the decisions that are followed by the </w:t>
      </w:r>
      <w:r w:rsidRPr="00DE0158">
        <w:rPr>
          <w:color w:val="000000" w:themeColor="text1"/>
        </w:rPr>
        <w:lastRenderedPageBreak/>
        <w:t>processes of adaptation, governance, and interaction at different levels of the system. The communication between the components of each layer is shown in Figure ​‍​‌‍​‍‌​‍​‌‍​‍‌3.</w:t>
      </w:r>
    </w:p>
    <w:p w14:paraId="7BFBE1DC" w14:textId="6B9EDBB0" w:rsidR="00C3491D" w:rsidRDefault="00C3491D" w:rsidP="00C3491D">
      <w:pPr>
        <w:pStyle w:val="tablehead"/>
        <w:numPr>
          <w:ilvl w:val="0"/>
          <w:numId w:val="9"/>
        </w:numPr>
        <w:rPr>
          <w:color w:val="000000" w:themeColor="text1"/>
        </w:rPr>
      </w:pPr>
      <w:r w:rsidRPr="002C05F9">
        <w:rPr>
          <w:color w:val="000000" w:themeColor="text1"/>
        </w:rPr>
        <w:t xml:space="preserve">Algorithm for communication </w:t>
      </w:r>
      <w:r w:rsidR="00FA73A2">
        <w:rPr>
          <w:color w:val="000000" w:themeColor="text1"/>
        </w:rPr>
        <w:t>between</w:t>
      </w:r>
      <w:r w:rsidRPr="002C05F9">
        <w:rPr>
          <w:color w:val="000000" w:themeColor="text1"/>
        </w:rPr>
        <w:t xml:space="preserve"> </w:t>
      </w:r>
      <w:r w:rsidR="00FA73A2">
        <w:rPr>
          <w:color w:val="000000" w:themeColor="text1"/>
        </w:rPr>
        <w:t xml:space="preserve">the </w:t>
      </w:r>
      <w:r w:rsidRPr="002C05F9">
        <w:rPr>
          <w:color w:val="000000" w:themeColor="text1"/>
        </w:rPr>
        <w:t>perception layer and the cognitive layer.</w:t>
      </w:r>
    </w:p>
    <w:tbl>
      <w:tblPr>
        <w:tblStyle w:val="TableGrid"/>
        <w:tblW w:w="4900" w:type="dxa"/>
        <w:tblBorders>
          <w:insideH w:val="none" w:sz="0" w:space="0" w:color="auto"/>
          <w:insideV w:val="none" w:sz="0" w:space="0" w:color="auto"/>
        </w:tblBorders>
        <w:tblLook w:val="04A0" w:firstRow="1" w:lastRow="0" w:firstColumn="1" w:lastColumn="0" w:noHBand="0" w:noVBand="1"/>
      </w:tblPr>
      <w:tblGrid>
        <w:gridCol w:w="271"/>
        <w:gridCol w:w="264"/>
        <w:gridCol w:w="177"/>
        <w:gridCol w:w="389"/>
        <w:gridCol w:w="620"/>
        <w:gridCol w:w="2937"/>
        <w:gridCol w:w="242"/>
      </w:tblGrid>
      <w:tr w:rsidR="00A135C6" w:rsidRPr="00133FA3" w14:paraId="5B3EC56E" w14:textId="77777777" w:rsidTr="00A135C6">
        <w:tc>
          <w:tcPr>
            <w:tcW w:w="4900" w:type="dxa"/>
            <w:gridSpan w:val="7"/>
            <w:tcBorders>
              <w:top w:val="single" w:sz="4" w:space="0" w:color="auto"/>
              <w:bottom w:val="single" w:sz="4" w:space="0" w:color="auto"/>
            </w:tcBorders>
            <w:shd w:val="clear" w:color="auto" w:fill="D9D9D9" w:themeFill="background1" w:themeFillShade="D9"/>
          </w:tcPr>
          <w:p w14:paraId="168A85E1" w14:textId="3F9B9144" w:rsidR="00A135C6" w:rsidRPr="00133FA3" w:rsidRDefault="00A135C6" w:rsidP="00093E4E">
            <w:pPr>
              <w:pStyle w:val="BodyText"/>
              <w:spacing w:after="0"/>
              <w:ind w:firstLine="0"/>
              <w:rPr>
                <w:color w:val="000000" w:themeColor="text1"/>
                <w:lang w:val="en-US"/>
              </w:rPr>
            </w:pPr>
            <w:r w:rsidRPr="00133FA3">
              <w:rPr>
                <w:color w:val="000000" w:themeColor="text1"/>
                <w:lang w:val="en-US"/>
              </w:rPr>
              <w:t xml:space="preserve">Algorithm 1: Communication </w:t>
            </w:r>
            <w:r>
              <w:rPr>
                <w:color w:val="000000" w:themeColor="text1"/>
                <w:lang w:val="en-US"/>
              </w:rPr>
              <w:t>between</w:t>
            </w:r>
            <w:r w:rsidRPr="00133FA3">
              <w:rPr>
                <w:color w:val="000000" w:themeColor="text1"/>
                <w:lang w:val="en-US"/>
              </w:rPr>
              <w:t xml:space="preserve"> senso layer and the cognitive layer</w:t>
            </w:r>
          </w:p>
        </w:tc>
      </w:tr>
      <w:tr w:rsidR="00A135C6" w:rsidRPr="00133FA3" w14:paraId="46E8CF9C" w14:textId="77777777" w:rsidTr="00A135C6">
        <w:tc>
          <w:tcPr>
            <w:tcW w:w="4900" w:type="dxa"/>
            <w:gridSpan w:val="7"/>
            <w:tcBorders>
              <w:top w:val="single" w:sz="4" w:space="0" w:color="auto"/>
            </w:tcBorders>
          </w:tcPr>
          <w:p w14:paraId="1228EBC0"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Input: </w:t>
            </w:r>
            <w:r w:rsidRPr="00133FA3">
              <w:rPr>
                <w:color w:val="000000" w:themeColor="text1"/>
                <w:lang w:val="en-US"/>
              </w:rPr>
              <w:t xml:space="preserve">Raw data </w:t>
            </w:r>
            <m:oMath>
              <m:r>
                <w:rPr>
                  <w:rFonts w:ascii="Cambria Math" w:hAnsi="Cambria Math"/>
                  <w:color w:val="000000" w:themeColor="text1"/>
                  <w:lang w:val="en-US"/>
                </w:rPr>
                <m:t>D</m:t>
              </m:r>
            </m:oMath>
            <w:r w:rsidRPr="00133FA3">
              <w:rPr>
                <w:color w:val="000000" w:themeColor="text1"/>
                <w:lang w:val="en-US"/>
              </w:rPr>
              <w:t xml:space="preserve"> from sensors, and other IoT devices.</w:t>
            </w:r>
          </w:p>
        </w:tc>
      </w:tr>
      <w:tr w:rsidR="00A135C6" w:rsidRPr="00133FA3" w14:paraId="162CBD91" w14:textId="77777777" w:rsidTr="00A135C6">
        <w:tc>
          <w:tcPr>
            <w:tcW w:w="712" w:type="dxa"/>
            <w:gridSpan w:val="3"/>
          </w:tcPr>
          <w:p w14:paraId="6C71699D" w14:textId="77777777" w:rsidR="00A135C6" w:rsidRPr="00133FA3" w:rsidRDefault="00A135C6" w:rsidP="00093E4E">
            <w:pPr>
              <w:pStyle w:val="BodyText"/>
              <w:spacing w:after="0"/>
              <w:ind w:firstLine="0"/>
              <w:rPr>
                <w:b/>
                <w:bCs/>
                <w:color w:val="000000" w:themeColor="text1"/>
                <w:lang w:val="en-US"/>
              </w:rPr>
            </w:pPr>
          </w:p>
        </w:tc>
        <w:tc>
          <w:tcPr>
            <w:tcW w:w="4188" w:type="dxa"/>
            <w:gridSpan w:val="4"/>
          </w:tcPr>
          <w:p w14:paraId="55ED92FC" w14:textId="77777777" w:rsidR="00A135C6" w:rsidRPr="00133FA3" w:rsidRDefault="00000000" w:rsidP="00093E4E">
            <w:pPr>
              <w:pStyle w:val="BodyText"/>
              <w:spacing w:after="0"/>
              <w:ind w:firstLine="0"/>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b</m:t>
                  </m:r>
                </m:sub>
              </m:sSub>
              <m:r>
                <w:rPr>
                  <w:rFonts w:ascii="Cambria Math" w:hAnsi="Cambria Math"/>
                  <w:color w:val="000000" w:themeColor="text1"/>
                  <w:lang w:val="en-US"/>
                </w:rPr>
                <m:t>←KnowledgeBase</m:t>
              </m:r>
            </m:oMath>
            <w:r w:rsidR="00A135C6" w:rsidRPr="00133FA3">
              <w:rPr>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d</m:t>
                  </m:r>
                </m:sub>
              </m:sSub>
              <m:r>
                <w:rPr>
                  <w:rFonts w:ascii="Cambria Math" w:hAnsi="Cambria Math"/>
                  <w:color w:val="000000" w:themeColor="text1"/>
                  <w:lang w:val="en-US"/>
                </w:rPr>
                <m:t>←HistoricData</m:t>
              </m:r>
            </m:oMath>
          </w:p>
        </w:tc>
      </w:tr>
      <w:tr w:rsidR="00A135C6" w:rsidRPr="00133FA3" w14:paraId="09BF803F" w14:textId="77777777" w:rsidTr="00A135C6">
        <w:tc>
          <w:tcPr>
            <w:tcW w:w="4900" w:type="dxa"/>
            <w:gridSpan w:val="7"/>
          </w:tcPr>
          <w:p w14:paraId="4D712C5B"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Output: </w:t>
            </w:r>
            <w:r w:rsidRPr="00133FA3">
              <w:rPr>
                <w:color w:val="000000" w:themeColor="text1"/>
                <w:lang w:val="en-US"/>
              </w:rPr>
              <w:t xml:space="preserve">Actionable insights </w:t>
            </w:r>
            <m:oMath>
              <m:r>
                <w:rPr>
                  <w:rFonts w:ascii="Cambria Math" w:hAnsi="Cambria Math"/>
                  <w:color w:val="000000" w:themeColor="text1"/>
                  <w:lang w:val="en-US"/>
                </w:rPr>
                <m:t xml:space="preserve">I </m:t>
              </m:r>
            </m:oMath>
            <w:r w:rsidRPr="00133FA3">
              <w:rPr>
                <w:color w:val="000000" w:themeColor="text1"/>
                <w:lang w:val="en-US"/>
              </w:rPr>
              <w:t>for decision-making.</w:t>
            </w:r>
          </w:p>
        </w:tc>
      </w:tr>
      <w:tr w:rsidR="00A135C6" w:rsidRPr="00133FA3" w14:paraId="41FAD0BF" w14:textId="77777777" w:rsidTr="00A135C6">
        <w:tc>
          <w:tcPr>
            <w:tcW w:w="4900" w:type="dxa"/>
            <w:gridSpan w:val="7"/>
          </w:tcPr>
          <w:p w14:paraId="12A7948E" w14:textId="77777777" w:rsidR="00A135C6" w:rsidRPr="00133FA3" w:rsidRDefault="00A135C6" w:rsidP="00093E4E">
            <w:pPr>
              <w:pStyle w:val="BodyText"/>
              <w:spacing w:after="0"/>
              <w:ind w:firstLine="0"/>
              <w:rPr>
                <w:color w:val="000000" w:themeColor="text1"/>
                <w:lang w:val="en-US"/>
              </w:rPr>
            </w:pPr>
            <w:r w:rsidRPr="00133FA3">
              <w:rPr>
                <w:b/>
                <w:bCs/>
                <w:color w:val="000000" w:themeColor="text1"/>
                <w:lang w:val="en-US"/>
              </w:rPr>
              <w:t xml:space="preserve">Initialize </w:t>
            </w:r>
            <w:r w:rsidRPr="00133FA3">
              <w:rPr>
                <w:color w:val="000000" w:themeColor="text1"/>
                <w:lang w:val="en-US"/>
              </w:rPr>
              <w:t xml:space="preserve">Sensing Layer </w:t>
            </w:r>
            <m:oMath>
              <m:r>
                <w:rPr>
                  <w:rFonts w:ascii="Cambria Math" w:hAnsi="Cambria Math"/>
                  <w:color w:val="000000" w:themeColor="text1"/>
                  <w:lang w:val="en-US"/>
                </w:rPr>
                <m:t>S</m:t>
              </m:r>
            </m:oMath>
            <w:r w:rsidRPr="00133FA3">
              <w:rPr>
                <w:color w:val="000000" w:themeColor="text1"/>
                <w:lang w:val="en-US"/>
              </w:rPr>
              <w:t xml:space="preserve"> and Cognitive Layer </w:t>
            </w:r>
            <m:oMath>
              <m:r>
                <w:rPr>
                  <w:rFonts w:ascii="Cambria Math" w:hAnsi="Cambria Math"/>
                  <w:color w:val="000000" w:themeColor="text1"/>
                  <w:lang w:val="en-US"/>
                </w:rPr>
                <m:t>C</m:t>
              </m:r>
            </m:oMath>
          </w:p>
        </w:tc>
      </w:tr>
      <w:tr w:rsidR="00A135C6" w:rsidRPr="00133FA3" w14:paraId="673045D7" w14:textId="77777777" w:rsidTr="00A135C6">
        <w:tc>
          <w:tcPr>
            <w:tcW w:w="271" w:type="dxa"/>
          </w:tcPr>
          <w:p w14:paraId="4E26FBF7" w14:textId="77777777" w:rsidR="00A135C6" w:rsidRPr="00133FA3" w:rsidRDefault="00A135C6" w:rsidP="00093E4E">
            <w:pPr>
              <w:pStyle w:val="BodyText"/>
              <w:spacing w:after="0"/>
              <w:ind w:firstLine="0"/>
              <w:rPr>
                <w:color w:val="000000" w:themeColor="text1"/>
                <w:lang w:val="en-US"/>
              </w:rPr>
            </w:pPr>
          </w:p>
        </w:tc>
        <w:tc>
          <w:tcPr>
            <w:tcW w:w="4387" w:type="dxa"/>
            <w:gridSpan w:val="5"/>
          </w:tcPr>
          <w:p w14:paraId="489CFEA2" w14:textId="77777777" w:rsidR="00A135C6" w:rsidRPr="00133FA3" w:rsidRDefault="00A135C6" w:rsidP="00093E4E">
            <w:pPr>
              <w:pStyle w:val="BodyText"/>
              <w:spacing w:after="0"/>
              <w:ind w:firstLine="0"/>
              <w:rPr>
                <w:color w:val="000000" w:themeColor="text1"/>
                <w:lang w:val="en-US"/>
              </w:rPr>
            </w:pPr>
            <w:r w:rsidRPr="00133FA3">
              <w:rPr>
                <w:b/>
                <w:bCs/>
                <w:color w:val="000000" w:themeColor="text1"/>
                <w:lang w:val="en-US"/>
              </w:rPr>
              <w:t>while</w:t>
            </w:r>
            <w:r w:rsidRPr="00133FA3">
              <w:rPr>
                <w:color w:val="000000" w:themeColor="text1"/>
                <w:lang w:val="en-US"/>
              </w:rPr>
              <w:t xml:space="preserve"> </w:t>
            </w:r>
            <w:r>
              <w:rPr>
                <w:color w:val="000000" w:themeColor="text1"/>
                <w:lang w:val="en-US"/>
              </w:rPr>
              <w:t xml:space="preserve">the </w:t>
            </w:r>
            <w:r w:rsidRPr="00133FA3">
              <w:rPr>
                <w:color w:val="000000" w:themeColor="text1"/>
                <w:lang w:val="en-US"/>
              </w:rPr>
              <w:t>system is active</w:t>
            </w:r>
            <w:r>
              <w:rPr>
                <w:color w:val="000000" w:themeColor="text1"/>
                <w:lang w:val="en-US"/>
              </w:rPr>
              <w:t>,</w:t>
            </w:r>
            <w:r w:rsidRPr="00133FA3">
              <w:rPr>
                <w:color w:val="000000" w:themeColor="text1"/>
                <w:lang w:val="en-US"/>
              </w:rPr>
              <w:t xml:space="preserve"> </w:t>
            </w:r>
            <w:r w:rsidRPr="00133FA3">
              <w:rPr>
                <w:b/>
                <w:bCs/>
                <w:color w:val="000000" w:themeColor="text1"/>
                <w:lang w:val="en-US"/>
              </w:rPr>
              <w:t>do</w:t>
            </w:r>
          </w:p>
        </w:tc>
        <w:tc>
          <w:tcPr>
            <w:tcW w:w="242" w:type="dxa"/>
          </w:tcPr>
          <w:p w14:paraId="49E166C4" w14:textId="77777777" w:rsidR="00A135C6" w:rsidRPr="00133FA3" w:rsidRDefault="00A135C6" w:rsidP="00093E4E">
            <w:pPr>
              <w:pStyle w:val="BodyText"/>
              <w:spacing w:after="0"/>
              <w:ind w:firstLine="0"/>
              <w:rPr>
                <w:color w:val="000000" w:themeColor="text1"/>
                <w:lang w:val="en-US"/>
              </w:rPr>
            </w:pPr>
          </w:p>
        </w:tc>
      </w:tr>
      <w:tr w:rsidR="00A135C6" w:rsidRPr="00133FA3" w14:paraId="6EEB3391" w14:textId="77777777" w:rsidTr="00A135C6">
        <w:tc>
          <w:tcPr>
            <w:tcW w:w="535" w:type="dxa"/>
            <w:gridSpan w:val="2"/>
          </w:tcPr>
          <w:p w14:paraId="41F444BD" w14:textId="77777777" w:rsidR="00A135C6" w:rsidRPr="00133FA3" w:rsidRDefault="00A135C6" w:rsidP="00093E4E">
            <w:pPr>
              <w:pStyle w:val="BodyText"/>
              <w:spacing w:after="0"/>
              <w:ind w:firstLine="0"/>
              <w:rPr>
                <w:color w:val="000000" w:themeColor="text1"/>
                <w:lang w:val="en-US"/>
              </w:rPr>
            </w:pPr>
          </w:p>
        </w:tc>
        <w:tc>
          <w:tcPr>
            <w:tcW w:w="4365" w:type="dxa"/>
            <w:gridSpan w:val="5"/>
          </w:tcPr>
          <w:p w14:paraId="52FDD542" w14:textId="77777777" w:rsidR="00A135C6" w:rsidRPr="00133FA3" w:rsidRDefault="00A135C6" w:rsidP="00093E4E">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D←S.collectdata(environment)</m:t>
                </m:r>
              </m:oMath>
            </m:oMathPara>
          </w:p>
        </w:tc>
      </w:tr>
      <w:tr w:rsidR="00A135C6" w:rsidRPr="00133FA3" w14:paraId="3C9E016E" w14:textId="77777777" w:rsidTr="00A135C6">
        <w:tc>
          <w:tcPr>
            <w:tcW w:w="271" w:type="dxa"/>
          </w:tcPr>
          <w:p w14:paraId="502645C6" w14:textId="77777777" w:rsidR="00A135C6" w:rsidRPr="00133FA3" w:rsidRDefault="00A135C6" w:rsidP="00093E4E">
            <w:pPr>
              <w:pStyle w:val="BodyText"/>
              <w:spacing w:after="0"/>
              <w:ind w:firstLine="0"/>
              <w:rPr>
                <w:color w:val="000000" w:themeColor="text1"/>
                <w:lang w:val="en-US"/>
              </w:rPr>
            </w:pPr>
          </w:p>
        </w:tc>
        <w:tc>
          <w:tcPr>
            <w:tcW w:w="264" w:type="dxa"/>
          </w:tcPr>
          <w:p w14:paraId="674F9FC2" w14:textId="77777777" w:rsidR="00A135C6" w:rsidRPr="00133FA3" w:rsidRDefault="00A135C6" w:rsidP="00093E4E">
            <w:pPr>
              <w:pStyle w:val="BodyText"/>
              <w:spacing w:after="0"/>
              <w:ind w:firstLine="0"/>
              <w:rPr>
                <w:b/>
                <w:bCs/>
                <w:color w:val="000000" w:themeColor="text1"/>
                <w:lang w:val="en-US"/>
              </w:rPr>
            </w:pPr>
          </w:p>
        </w:tc>
        <w:tc>
          <w:tcPr>
            <w:tcW w:w="4365" w:type="dxa"/>
            <w:gridSpan w:val="5"/>
          </w:tcPr>
          <w:p w14:paraId="74B0C5B7" w14:textId="77777777" w:rsidR="00A135C6" w:rsidRPr="00133FA3" w:rsidRDefault="00A135C6" w:rsidP="00093E4E">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D'←S.preprocess(D)</m:t>
                </m:r>
              </m:oMath>
            </m:oMathPara>
          </w:p>
        </w:tc>
      </w:tr>
      <w:tr w:rsidR="00A135C6" w:rsidRPr="00133FA3" w14:paraId="72783438" w14:textId="77777777" w:rsidTr="00A135C6">
        <w:tc>
          <w:tcPr>
            <w:tcW w:w="535" w:type="dxa"/>
            <w:gridSpan w:val="2"/>
          </w:tcPr>
          <w:p w14:paraId="14A9ADDC" w14:textId="77777777" w:rsidR="00A135C6" w:rsidRPr="00133FA3" w:rsidRDefault="00A135C6" w:rsidP="00093E4E">
            <w:pPr>
              <w:pStyle w:val="BodyText"/>
              <w:spacing w:after="0"/>
              <w:ind w:firstLine="0"/>
              <w:rPr>
                <w:color w:val="000000" w:themeColor="text1"/>
                <w:lang w:val="en-US"/>
              </w:rPr>
            </w:pPr>
          </w:p>
        </w:tc>
        <w:tc>
          <w:tcPr>
            <w:tcW w:w="4123" w:type="dxa"/>
            <w:gridSpan w:val="4"/>
          </w:tcPr>
          <w:p w14:paraId="4C7F7CAE" w14:textId="77777777" w:rsidR="00A135C6" w:rsidRPr="00133FA3" w:rsidRDefault="00A135C6" w:rsidP="00093E4E">
            <w:pPr>
              <w:pStyle w:val="BodyText"/>
              <w:spacing w:after="0"/>
              <w:ind w:firstLine="0"/>
              <w:jc w:val="left"/>
              <w:rPr>
                <w:color w:val="000000" w:themeColor="text1"/>
                <w:lang w:val="en-US"/>
              </w:rPr>
            </w:pPr>
            <w:r w:rsidRPr="00133FA3">
              <w:rPr>
                <w:b/>
                <w:bCs/>
                <w:color w:val="000000" w:themeColor="text1"/>
                <w:lang w:val="en-US"/>
              </w:rPr>
              <w:t xml:space="preserve">Transmit </w:t>
            </w:r>
            <m:oMath>
              <m:r>
                <w:rPr>
                  <w:rFonts w:ascii="Cambria Math" w:hAnsi="Cambria Math"/>
                  <w:color w:val="000000" w:themeColor="text1"/>
                  <w:lang w:val="en-US"/>
                </w:rPr>
                <m:t>D'→C</m:t>
              </m:r>
            </m:oMath>
          </w:p>
        </w:tc>
        <w:tc>
          <w:tcPr>
            <w:tcW w:w="242" w:type="dxa"/>
          </w:tcPr>
          <w:p w14:paraId="51DEFC0C" w14:textId="77777777" w:rsidR="00A135C6" w:rsidRPr="00133FA3" w:rsidRDefault="00A135C6" w:rsidP="00093E4E">
            <w:pPr>
              <w:pStyle w:val="BodyText"/>
              <w:spacing w:after="0"/>
              <w:ind w:firstLine="0"/>
              <w:rPr>
                <w:color w:val="000000" w:themeColor="text1"/>
                <w:lang w:val="en-US"/>
              </w:rPr>
            </w:pPr>
          </w:p>
        </w:tc>
      </w:tr>
      <w:tr w:rsidR="00A135C6" w:rsidRPr="00133FA3" w14:paraId="16D663F2" w14:textId="77777777" w:rsidTr="00A135C6">
        <w:tc>
          <w:tcPr>
            <w:tcW w:w="535" w:type="dxa"/>
            <w:gridSpan w:val="2"/>
          </w:tcPr>
          <w:p w14:paraId="08783CB6" w14:textId="77777777" w:rsidR="00A135C6" w:rsidRPr="00133FA3" w:rsidRDefault="00A135C6" w:rsidP="00093E4E">
            <w:pPr>
              <w:pStyle w:val="BodyText"/>
              <w:spacing w:after="0"/>
              <w:ind w:firstLine="0"/>
              <w:rPr>
                <w:color w:val="000000" w:themeColor="text1"/>
                <w:lang w:val="en-US"/>
              </w:rPr>
            </w:pPr>
          </w:p>
        </w:tc>
        <w:tc>
          <w:tcPr>
            <w:tcW w:w="4365" w:type="dxa"/>
            <w:gridSpan w:val="5"/>
          </w:tcPr>
          <w:p w14:paraId="07BDC90B"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C∙FuseData(</m:t>
                </m:r>
                <m:sSup>
                  <m:sSupPr>
                    <m:ctrlPr>
                      <w:rPr>
                        <w:rFonts w:ascii="Cambria Math" w:hAnsi="Cambria Math"/>
                        <w:i/>
                        <w:color w:val="000000" w:themeColor="text1"/>
                        <w:lang w:val="en-US"/>
                      </w:rPr>
                    </m:ctrlPr>
                  </m:sSupPr>
                  <m:e>
                    <m:r>
                      <w:rPr>
                        <w:rFonts w:ascii="Cambria Math" w:hAnsi="Cambria Math"/>
                        <w:color w:val="000000" w:themeColor="text1"/>
                        <w:lang w:val="en-US"/>
                      </w:rPr>
                      <m:t>D</m:t>
                    </m:r>
                  </m:e>
                  <m:sup>
                    <m:r>
                      <w:rPr>
                        <w:rFonts w:ascii="Cambria Math" w:hAnsi="Cambria Math"/>
                        <w:color w:val="000000" w:themeColor="text1"/>
                        <w:lang w:val="en-US"/>
                      </w:rPr>
                      <m:t>'</m:t>
                    </m:r>
                  </m:sup>
                </m:sSup>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b</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d</m:t>
                    </m:r>
                  </m:sub>
                </m:sSub>
                <m:r>
                  <w:rPr>
                    <w:rFonts w:ascii="Cambria Math" w:hAnsi="Cambria Math"/>
                    <w:color w:val="000000" w:themeColor="text1"/>
                    <w:lang w:val="en-US"/>
                  </w:rPr>
                  <m:t>)</m:t>
                </m:r>
              </m:oMath>
            </m:oMathPara>
          </w:p>
        </w:tc>
      </w:tr>
      <w:tr w:rsidR="00A135C6" w:rsidRPr="00133FA3" w14:paraId="4CD7886B" w14:textId="77777777" w:rsidTr="00A135C6">
        <w:tc>
          <w:tcPr>
            <w:tcW w:w="535" w:type="dxa"/>
            <w:gridSpan w:val="2"/>
          </w:tcPr>
          <w:p w14:paraId="39C4F030" w14:textId="77777777" w:rsidR="00A135C6" w:rsidRPr="00133FA3" w:rsidRDefault="00A135C6" w:rsidP="00093E4E">
            <w:pPr>
              <w:pStyle w:val="BodyText"/>
              <w:spacing w:after="0"/>
              <w:ind w:firstLine="0"/>
              <w:rPr>
                <w:color w:val="000000" w:themeColor="text1"/>
                <w:lang w:val="en-US"/>
              </w:rPr>
            </w:pPr>
          </w:p>
        </w:tc>
        <w:tc>
          <w:tcPr>
            <w:tcW w:w="4123" w:type="dxa"/>
            <w:gridSpan w:val="4"/>
          </w:tcPr>
          <w:p w14:paraId="533F40E5"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Features←C.ExtractFeatures(D')</m:t>
                </m:r>
              </m:oMath>
            </m:oMathPara>
          </w:p>
        </w:tc>
        <w:tc>
          <w:tcPr>
            <w:tcW w:w="242" w:type="dxa"/>
          </w:tcPr>
          <w:p w14:paraId="3CA97AC4" w14:textId="77777777" w:rsidR="00A135C6" w:rsidRPr="00133FA3" w:rsidRDefault="00A135C6" w:rsidP="00093E4E">
            <w:pPr>
              <w:pStyle w:val="BodyText"/>
              <w:spacing w:after="0"/>
              <w:ind w:firstLine="0"/>
              <w:rPr>
                <w:color w:val="000000" w:themeColor="text1"/>
                <w:lang w:val="en-US"/>
              </w:rPr>
            </w:pPr>
          </w:p>
        </w:tc>
      </w:tr>
      <w:tr w:rsidR="00A135C6" w:rsidRPr="00133FA3" w14:paraId="1C20CDC4" w14:textId="77777777" w:rsidTr="00A135C6">
        <w:tc>
          <w:tcPr>
            <w:tcW w:w="535" w:type="dxa"/>
            <w:gridSpan w:val="2"/>
          </w:tcPr>
          <w:p w14:paraId="03995B33" w14:textId="77777777" w:rsidR="00A135C6" w:rsidRPr="00133FA3" w:rsidRDefault="00A135C6" w:rsidP="00093E4E">
            <w:pPr>
              <w:pStyle w:val="BodyText"/>
              <w:spacing w:after="0"/>
              <w:ind w:firstLine="0"/>
              <w:rPr>
                <w:color w:val="000000" w:themeColor="text1"/>
                <w:lang w:val="en-US"/>
              </w:rPr>
            </w:pPr>
          </w:p>
        </w:tc>
        <w:tc>
          <w:tcPr>
            <w:tcW w:w="4123" w:type="dxa"/>
            <w:gridSpan w:val="4"/>
          </w:tcPr>
          <w:p w14:paraId="2D4C5D57"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Predictions←C.ApplyModels(Features)</m:t>
                </m:r>
              </m:oMath>
            </m:oMathPara>
          </w:p>
        </w:tc>
        <w:tc>
          <w:tcPr>
            <w:tcW w:w="242" w:type="dxa"/>
          </w:tcPr>
          <w:p w14:paraId="65A593B7" w14:textId="77777777" w:rsidR="00A135C6" w:rsidRPr="00133FA3" w:rsidRDefault="00A135C6" w:rsidP="00093E4E">
            <w:pPr>
              <w:pStyle w:val="BodyText"/>
              <w:spacing w:after="0"/>
              <w:ind w:firstLine="0"/>
              <w:rPr>
                <w:color w:val="000000" w:themeColor="text1"/>
                <w:lang w:val="en-US"/>
              </w:rPr>
            </w:pPr>
          </w:p>
        </w:tc>
      </w:tr>
      <w:tr w:rsidR="00A135C6" w:rsidRPr="00133FA3" w14:paraId="760A137D" w14:textId="77777777" w:rsidTr="00A135C6">
        <w:tc>
          <w:tcPr>
            <w:tcW w:w="535" w:type="dxa"/>
            <w:gridSpan w:val="2"/>
          </w:tcPr>
          <w:p w14:paraId="31829C77" w14:textId="77777777" w:rsidR="00A135C6" w:rsidRPr="00133FA3" w:rsidRDefault="00A135C6" w:rsidP="00093E4E">
            <w:pPr>
              <w:pStyle w:val="BodyText"/>
              <w:spacing w:after="0"/>
              <w:ind w:firstLine="0"/>
              <w:rPr>
                <w:color w:val="000000" w:themeColor="text1"/>
                <w:lang w:val="en-US"/>
              </w:rPr>
            </w:pPr>
          </w:p>
        </w:tc>
        <w:tc>
          <w:tcPr>
            <w:tcW w:w="4123" w:type="dxa"/>
            <w:gridSpan w:val="4"/>
          </w:tcPr>
          <w:p w14:paraId="7AB946E9"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I←C.GenerateInsights(Predictions)</m:t>
                </m:r>
              </m:oMath>
            </m:oMathPara>
          </w:p>
        </w:tc>
        <w:tc>
          <w:tcPr>
            <w:tcW w:w="242" w:type="dxa"/>
          </w:tcPr>
          <w:p w14:paraId="30E25600" w14:textId="77777777" w:rsidR="00A135C6" w:rsidRPr="00133FA3" w:rsidRDefault="00A135C6" w:rsidP="00093E4E">
            <w:pPr>
              <w:pStyle w:val="BodyText"/>
              <w:spacing w:after="0"/>
              <w:ind w:firstLine="0"/>
              <w:rPr>
                <w:color w:val="000000" w:themeColor="text1"/>
                <w:lang w:val="en-US"/>
              </w:rPr>
            </w:pPr>
          </w:p>
        </w:tc>
      </w:tr>
      <w:tr w:rsidR="00A135C6" w:rsidRPr="00133FA3" w14:paraId="1C1B5AC6" w14:textId="77777777" w:rsidTr="00A135C6">
        <w:tc>
          <w:tcPr>
            <w:tcW w:w="535" w:type="dxa"/>
            <w:gridSpan w:val="2"/>
          </w:tcPr>
          <w:p w14:paraId="7B9AAC46" w14:textId="77777777" w:rsidR="00A135C6" w:rsidRPr="00133FA3" w:rsidRDefault="00A135C6" w:rsidP="00093E4E">
            <w:pPr>
              <w:pStyle w:val="BodyText"/>
              <w:spacing w:after="0"/>
              <w:ind w:firstLine="0"/>
              <w:rPr>
                <w:color w:val="000000" w:themeColor="text1"/>
                <w:lang w:val="en-US"/>
              </w:rPr>
            </w:pPr>
          </w:p>
        </w:tc>
        <w:tc>
          <w:tcPr>
            <w:tcW w:w="4123" w:type="dxa"/>
            <w:gridSpan w:val="4"/>
          </w:tcPr>
          <w:p w14:paraId="77D00205" w14:textId="77777777" w:rsidR="00A135C6" w:rsidRPr="00133FA3" w:rsidRDefault="00A135C6" w:rsidP="00093E4E">
            <w:pPr>
              <w:pStyle w:val="BodyText"/>
              <w:spacing w:after="0"/>
              <w:ind w:firstLine="0"/>
              <w:rPr>
                <w:color w:val="000000" w:themeColor="text1"/>
                <w:lang w:val="en-US"/>
              </w:rPr>
            </w:pPr>
            <w:r w:rsidRPr="00133FA3">
              <w:rPr>
                <w:b/>
                <w:bCs/>
                <w:color w:val="000000" w:themeColor="text1"/>
                <w:lang w:val="en-US"/>
              </w:rPr>
              <w:t>Send</w:t>
            </w:r>
            <w:r w:rsidRPr="00133FA3">
              <w:rPr>
                <w:color w:val="000000" w:themeColor="text1"/>
                <w:lang w:val="en-US"/>
              </w:rPr>
              <w:t xml:space="preserve"> </w:t>
            </w:r>
            <m:oMath>
              <m:r>
                <w:rPr>
                  <w:rFonts w:ascii="Cambria Math" w:hAnsi="Cambria Math"/>
                  <w:color w:val="000000" w:themeColor="text1"/>
                  <w:lang w:val="en-US"/>
                </w:rPr>
                <m:t>I→Adaptation Layer for execution</m:t>
              </m:r>
            </m:oMath>
          </w:p>
        </w:tc>
        <w:tc>
          <w:tcPr>
            <w:tcW w:w="242" w:type="dxa"/>
          </w:tcPr>
          <w:p w14:paraId="01EA7F1E" w14:textId="77777777" w:rsidR="00A135C6" w:rsidRPr="00133FA3" w:rsidRDefault="00A135C6" w:rsidP="00093E4E">
            <w:pPr>
              <w:pStyle w:val="BodyText"/>
              <w:spacing w:after="0"/>
              <w:ind w:firstLine="0"/>
              <w:rPr>
                <w:color w:val="000000" w:themeColor="text1"/>
                <w:lang w:val="en-US"/>
              </w:rPr>
            </w:pPr>
          </w:p>
        </w:tc>
      </w:tr>
      <w:tr w:rsidR="00A135C6" w:rsidRPr="00133FA3" w14:paraId="09AC3114" w14:textId="77777777" w:rsidTr="00A135C6">
        <w:tc>
          <w:tcPr>
            <w:tcW w:w="712" w:type="dxa"/>
            <w:gridSpan w:val="3"/>
          </w:tcPr>
          <w:p w14:paraId="60760C3C" w14:textId="77777777" w:rsidR="00A135C6" w:rsidRPr="00133FA3" w:rsidRDefault="00A135C6" w:rsidP="00093E4E">
            <w:pPr>
              <w:pStyle w:val="BodyText"/>
              <w:spacing w:after="0"/>
              <w:ind w:firstLine="0"/>
              <w:rPr>
                <w:color w:val="000000" w:themeColor="text1"/>
                <w:lang w:val="en-US"/>
              </w:rPr>
            </w:pPr>
          </w:p>
        </w:tc>
        <w:tc>
          <w:tcPr>
            <w:tcW w:w="389" w:type="dxa"/>
          </w:tcPr>
          <w:p w14:paraId="2BC05462" w14:textId="77777777" w:rsidR="00A135C6" w:rsidRPr="00133FA3" w:rsidRDefault="00A135C6" w:rsidP="00093E4E">
            <w:pPr>
              <w:pStyle w:val="BodyText"/>
              <w:spacing w:after="0"/>
              <w:ind w:firstLine="0"/>
              <w:rPr>
                <w:color w:val="000000" w:themeColor="text1"/>
                <w:lang w:val="en-US"/>
              </w:rPr>
            </w:pPr>
          </w:p>
        </w:tc>
        <w:tc>
          <w:tcPr>
            <w:tcW w:w="3799" w:type="dxa"/>
            <w:gridSpan w:val="3"/>
          </w:tcPr>
          <w:p w14:paraId="0C71ED60" w14:textId="77777777" w:rsidR="00A135C6" w:rsidRPr="00133FA3" w:rsidRDefault="00A135C6" w:rsidP="00093E4E">
            <w:pPr>
              <w:pStyle w:val="BodyText"/>
              <w:spacing w:after="0"/>
              <w:ind w:firstLine="0"/>
              <w:rPr>
                <w:color w:val="000000" w:themeColor="text1"/>
                <w:lang w:val="en-US"/>
              </w:rPr>
            </w:pPr>
            <w:r w:rsidRPr="00133FA3">
              <w:rPr>
                <w:b/>
                <w:bCs/>
                <w:color w:val="000000" w:themeColor="text1"/>
                <w:lang w:val="en-US"/>
              </w:rPr>
              <w:t xml:space="preserve">if </w:t>
            </w:r>
            <w:r w:rsidRPr="00133FA3">
              <w:rPr>
                <w:color w:val="000000" w:themeColor="text1"/>
                <w:lang w:val="en-US"/>
              </w:rPr>
              <w:t xml:space="preserve">Feedback </w:t>
            </w:r>
            <w:r>
              <w:rPr>
                <w:color w:val="000000" w:themeColor="text1"/>
                <w:lang w:val="en-US"/>
              </w:rPr>
              <w:t xml:space="preserve">is </w:t>
            </w:r>
            <w:r w:rsidRPr="00133FA3">
              <w:rPr>
                <w:color w:val="000000" w:themeColor="text1"/>
                <w:lang w:val="en-US"/>
              </w:rPr>
              <w:t>available</w:t>
            </w:r>
            <w:r>
              <w:rPr>
                <w:color w:val="000000" w:themeColor="text1"/>
                <w:lang w:val="en-US"/>
              </w:rPr>
              <w:t>,</w:t>
            </w:r>
            <w:r w:rsidRPr="00133FA3">
              <w:rPr>
                <w:b/>
                <w:bCs/>
                <w:color w:val="000000" w:themeColor="text1"/>
                <w:lang w:val="en-US"/>
              </w:rPr>
              <w:t xml:space="preserve"> then</w:t>
            </w:r>
          </w:p>
        </w:tc>
      </w:tr>
      <w:tr w:rsidR="00A135C6" w:rsidRPr="00133FA3" w14:paraId="4EE5E62C" w14:textId="77777777" w:rsidTr="00A135C6">
        <w:tc>
          <w:tcPr>
            <w:tcW w:w="712" w:type="dxa"/>
            <w:gridSpan w:val="3"/>
          </w:tcPr>
          <w:p w14:paraId="2DE37E65" w14:textId="77777777" w:rsidR="00A135C6" w:rsidRPr="00133FA3" w:rsidRDefault="00A135C6" w:rsidP="00093E4E">
            <w:pPr>
              <w:pStyle w:val="BodyText"/>
              <w:spacing w:after="0"/>
              <w:ind w:firstLine="0"/>
              <w:rPr>
                <w:color w:val="000000" w:themeColor="text1"/>
                <w:lang w:val="en-US"/>
              </w:rPr>
            </w:pPr>
          </w:p>
        </w:tc>
        <w:tc>
          <w:tcPr>
            <w:tcW w:w="1009" w:type="dxa"/>
            <w:gridSpan w:val="2"/>
          </w:tcPr>
          <w:p w14:paraId="0B74B007" w14:textId="77777777" w:rsidR="00A135C6" w:rsidRPr="00133FA3" w:rsidRDefault="00A135C6" w:rsidP="00093E4E">
            <w:pPr>
              <w:pStyle w:val="BodyText"/>
              <w:spacing w:after="0"/>
              <w:ind w:firstLine="0"/>
              <w:rPr>
                <w:b/>
                <w:bCs/>
                <w:color w:val="000000" w:themeColor="text1"/>
                <w:lang w:val="en-US"/>
              </w:rPr>
            </w:pPr>
          </w:p>
        </w:tc>
        <w:tc>
          <w:tcPr>
            <w:tcW w:w="2937" w:type="dxa"/>
          </w:tcPr>
          <w:p w14:paraId="1691AD06"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Update </w:t>
            </w:r>
            <m:oMath>
              <m:r>
                <w:rPr>
                  <w:rFonts w:ascii="Cambria Math" w:hAnsi="Cambria Math"/>
                  <w:color w:val="000000" w:themeColor="text1"/>
                  <w:lang w:val="en-US"/>
                </w:rPr>
                <m:t>(S,C)</m:t>
              </m:r>
            </m:oMath>
          </w:p>
        </w:tc>
        <w:tc>
          <w:tcPr>
            <w:tcW w:w="242" w:type="dxa"/>
          </w:tcPr>
          <w:p w14:paraId="6DA786A9" w14:textId="77777777" w:rsidR="00A135C6" w:rsidRPr="00133FA3" w:rsidRDefault="00A135C6" w:rsidP="00093E4E">
            <w:pPr>
              <w:pStyle w:val="BodyText"/>
              <w:spacing w:after="0"/>
              <w:ind w:firstLine="0"/>
              <w:rPr>
                <w:color w:val="000000" w:themeColor="text1"/>
                <w:lang w:val="en-US"/>
              </w:rPr>
            </w:pPr>
          </w:p>
        </w:tc>
      </w:tr>
      <w:tr w:rsidR="00A135C6" w:rsidRPr="00133FA3" w14:paraId="75B892C1" w14:textId="77777777" w:rsidTr="00A135C6">
        <w:tc>
          <w:tcPr>
            <w:tcW w:w="712" w:type="dxa"/>
            <w:gridSpan w:val="3"/>
          </w:tcPr>
          <w:p w14:paraId="64BC0BA9" w14:textId="77777777" w:rsidR="00A135C6" w:rsidRPr="00133FA3" w:rsidRDefault="00A135C6" w:rsidP="00093E4E">
            <w:pPr>
              <w:pStyle w:val="BodyText"/>
              <w:spacing w:after="0"/>
              <w:ind w:firstLine="0"/>
              <w:rPr>
                <w:color w:val="000000" w:themeColor="text1"/>
                <w:lang w:val="en-US"/>
              </w:rPr>
            </w:pPr>
          </w:p>
        </w:tc>
        <w:tc>
          <w:tcPr>
            <w:tcW w:w="389" w:type="dxa"/>
          </w:tcPr>
          <w:p w14:paraId="1D183EE5" w14:textId="77777777" w:rsidR="00A135C6" w:rsidRPr="00133FA3" w:rsidRDefault="00A135C6" w:rsidP="00093E4E">
            <w:pPr>
              <w:pStyle w:val="BodyText"/>
              <w:spacing w:after="0"/>
              <w:ind w:firstLine="0"/>
              <w:rPr>
                <w:color w:val="000000" w:themeColor="text1"/>
                <w:lang w:val="en-US"/>
              </w:rPr>
            </w:pPr>
          </w:p>
        </w:tc>
        <w:tc>
          <w:tcPr>
            <w:tcW w:w="3799" w:type="dxa"/>
            <w:gridSpan w:val="3"/>
          </w:tcPr>
          <w:p w14:paraId="46318B44"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end if</w:t>
            </w:r>
          </w:p>
        </w:tc>
      </w:tr>
      <w:tr w:rsidR="00A135C6" w:rsidRPr="00133FA3" w14:paraId="721DD461" w14:textId="77777777" w:rsidTr="00A135C6">
        <w:tc>
          <w:tcPr>
            <w:tcW w:w="535" w:type="dxa"/>
            <w:gridSpan w:val="2"/>
          </w:tcPr>
          <w:p w14:paraId="44E2FB43" w14:textId="77777777" w:rsidR="00A135C6" w:rsidRPr="00133FA3" w:rsidRDefault="00A135C6" w:rsidP="00093E4E">
            <w:pPr>
              <w:pStyle w:val="BodyText"/>
              <w:spacing w:after="0"/>
              <w:ind w:firstLine="0"/>
              <w:rPr>
                <w:color w:val="000000" w:themeColor="text1"/>
                <w:lang w:val="en-US"/>
              </w:rPr>
            </w:pPr>
          </w:p>
        </w:tc>
        <w:tc>
          <w:tcPr>
            <w:tcW w:w="1186" w:type="dxa"/>
            <w:gridSpan w:val="3"/>
          </w:tcPr>
          <w:p w14:paraId="52CE0AA3"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end while </w:t>
            </w:r>
          </w:p>
        </w:tc>
        <w:tc>
          <w:tcPr>
            <w:tcW w:w="2937" w:type="dxa"/>
          </w:tcPr>
          <w:p w14:paraId="457AEC20" w14:textId="77777777" w:rsidR="00A135C6" w:rsidRPr="00133FA3" w:rsidRDefault="00A135C6" w:rsidP="00093E4E">
            <w:pPr>
              <w:pStyle w:val="BodyText"/>
              <w:spacing w:after="0"/>
              <w:ind w:firstLine="0"/>
              <w:rPr>
                <w:b/>
                <w:bCs/>
                <w:color w:val="000000" w:themeColor="text1"/>
                <w:lang w:val="en-US"/>
              </w:rPr>
            </w:pPr>
          </w:p>
        </w:tc>
        <w:tc>
          <w:tcPr>
            <w:tcW w:w="242" w:type="dxa"/>
          </w:tcPr>
          <w:p w14:paraId="17C16A75" w14:textId="77777777" w:rsidR="00A135C6" w:rsidRPr="00133FA3" w:rsidRDefault="00A135C6" w:rsidP="00093E4E">
            <w:pPr>
              <w:pStyle w:val="BodyText"/>
              <w:spacing w:after="0"/>
              <w:ind w:firstLine="0"/>
              <w:rPr>
                <w:color w:val="000000" w:themeColor="text1"/>
                <w:lang w:val="en-US"/>
              </w:rPr>
            </w:pPr>
          </w:p>
        </w:tc>
      </w:tr>
      <w:tr w:rsidR="00090033" w:rsidRPr="00133FA3" w14:paraId="0F848DF6" w14:textId="77777777" w:rsidTr="00A135C6">
        <w:tc>
          <w:tcPr>
            <w:tcW w:w="535" w:type="dxa"/>
            <w:gridSpan w:val="2"/>
          </w:tcPr>
          <w:p w14:paraId="12B10A9D" w14:textId="77777777" w:rsidR="00090033" w:rsidRPr="00133FA3" w:rsidRDefault="00090033" w:rsidP="00093E4E">
            <w:pPr>
              <w:pStyle w:val="BodyText"/>
              <w:spacing w:after="0"/>
              <w:ind w:firstLine="0"/>
              <w:rPr>
                <w:color w:val="000000" w:themeColor="text1"/>
                <w:lang w:val="en-US"/>
              </w:rPr>
            </w:pPr>
          </w:p>
        </w:tc>
        <w:tc>
          <w:tcPr>
            <w:tcW w:w="1186" w:type="dxa"/>
            <w:gridSpan w:val="3"/>
          </w:tcPr>
          <w:p w14:paraId="2CF0ECB2" w14:textId="77777777" w:rsidR="00090033" w:rsidRPr="00133FA3" w:rsidRDefault="00090033" w:rsidP="00093E4E">
            <w:pPr>
              <w:pStyle w:val="BodyText"/>
              <w:spacing w:after="0"/>
              <w:ind w:firstLine="0"/>
              <w:rPr>
                <w:b/>
                <w:bCs/>
                <w:color w:val="000000" w:themeColor="text1"/>
                <w:lang w:val="en-US"/>
              </w:rPr>
            </w:pPr>
          </w:p>
        </w:tc>
        <w:tc>
          <w:tcPr>
            <w:tcW w:w="2937" w:type="dxa"/>
          </w:tcPr>
          <w:p w14:paraId="31B54354" w14:textId="77777777" w:rsidR="00090033" w:rsidRPr="00133FA3" w:rsidRDefault="00090033" w:rsidP="00093E4E">
            <w:pPr>
              <w:pStyle w:val="BodyText"/>
              <w:spacing w:after="0"/>
              <w:ind w:firstLine="0"/>
              <w:rPr>
                <w:b/>
                <w:bCs/>
                <w:color w:val="000000" w:themeColor="text1"/>
                <w:lang w:val="en-US"/>
              </w:rPr>
            </w:pPr>
          </w:p>
        </w:tc>
        <w:tc>
          <w:tcPr>
            <w:tcW w:w="242" w:type="dxa"/>
          </w:tcPr>
          <w:p w14:paraId="11E4BF1E" w14:textId="77777777" w:rsidR="00090033" w:rsidRPr="00133FA3" w:rsidRDefault="00090033" w:rsidP="00093E4E">
            <w:pPr>
              <w:pStyle w:val="BodyText"/>
              <w:spacing w:after="0"/>
              <w:ind w:firstLine="0"/>
              <w:rPr>
                <w:color w:val="000000" w:themeColor="text1"/>
                <w:lang w:val="en-US"/>
              </w:rPr>
            </w:pPr>
          </w:p>
        </w:tc>
      </w:tr>
    </w:tbl>
    <w:p w14:paraId="47FE25C5" w14:textId="4E20A1D0" w:rsidR="00C3491D" w:rsidRDefault="00C3491D" w:rsidP="00B961CD">
      <w:pPr>
        <w:pStyle w:val="BodyText"/>
        <w:ind w:firstLine="0"/>
        <w:rPr>
          <w:color w:val="000000" w:themeColor="text1"/>
        </w:rPr>
      </w:pPr>
    </w:p>
    <w:p w14:paraId="0EA08305" w14:textId="4DA94CB3" w:rsidR="00E44333" w:rsidRDefault="00A240D0" w:rsidP="00A240D0">
      <w:pPr>
        <w:pStyle w:val="BodyText"/>
        <w:jc w:val="center"/>
        <w:rPr>
          <w:color w:val="000000" w:themeColor="text1"/>
        </w:rPr>
      </w:pPr>
      <w:r>
        <w:rPr>
          <w:noProof/>
          <w:color w:val="000000" w:themeColor="text1"/>
        </w:rPr>
        <w:drawing>
          <wp:inline distT="0" distB="0" distL="0" distR="0" wp14:anchorId="423477F9" wp14:editId="59DEF430">
            <wp:extent cx="2872055" cy="1836174"/>
            <wp:effectExtent l="0" t="0" r="0" b="0"/>
            <wp:docPr id="1878444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44569" name="Picture 187844456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0051" cy="1847679"/>
                    </a:xfrm>
                    <a:prstGeom prst="rect">
                      <a:avLst/>
                    </a:prstGeom>
                  </pic:spPr>
                </pic:pic>
              </a:graphicData>
            </a:graphic>
          </wp:inline>
        </w:drawing>
      </w:r>
    </w:p>
    <w:p w14:paraId="7E032138" w14:textId="04B125BD" w:rsidR="00AC244F" w:rsidRDefault="007E0AA6" w:rsidP="00A240D0">
      <w:pPr>
        <w:pStyle w:val="figurecaption"/>
        <w:ind w:left="0" w:firstLine="0"/>
        <w:rPr>
          <w:color w:val="000000" w:themeColor="text1"/>
        </w:rPr>
      </w:pPr>
      <w:r>
        <w:rPr>
          <w:color w:val="000000" w:themeColor="text1"/>
        </w:rPr>
        <w:t>The figure</w:t>
      </w:r>
      <w:r w:rsidR="00AC244F">
        <w:rPr>
          <w:color w:val="000000" w:themeColor="text1"/>
        </w:rPr>
        <w:t xml:space="preserve"> </w:t>
      </w:r>
      <w:r w:rsidR="0098133F">
        <w:rPr>
          <w:color w:val="000000" w:themeColor="text1"/>
        </w:rPr>
        <w:t>represents the</w:t>
      </w:r>
      <w:r w:rsidR="00AC244F">
        <w:rPr>
          <w:color w:val="000000" w:themeColor="text1"/>
        </w:rPr>
        <w:t xml:space="preserve"> </w:t>
      </w:r>
      <w:r w:rsidR="00A240D0">
        <w:rPr>
          <w:color w:val="000000" w:themeColor="text1"/>
        </w:rPr>
        <w:t xml:space="preserve">cognitive and sensing layer </w:t>
      </w:r>
      <w:r w:rsidR="0098133F">
        <w:rPr>
          <w:color w:val="000000" w:themeColor="text1"/>
        </w:rPr>
        <w:t>components</w:t>
      </w:r>
      <w:r w:rsidR="00A240D0">
        <w:rPr>
          <w:color w:val="000000" w:themeColor="text1"/>
        </w:rPr>
        <w:t xml:space="preserve"> involved in communication. </w:t>
      </w:r>
    </w:p>
    <w:p w14:paraId="487AE152" w14:textId="51FCE20C" w:rsidR="005D7D8C" w:rsidRDefault="0098133F" w:rsidP="005D7D8C">
      <w:pPr>
        <w:pStyle w:val="BodyText"/>
        <w:rPr>
          <w:color w:val="000000" w:themeColor="text1"/>
          <w:lang w:val="en-US"/>
        </w:rPr>
      </w:pPr>
      <w:r>
        <w:rPr>
          <w:color w:val="000000" w:themeColor="text1"/>
        </w:rPr>
        <w:t>Communication</w:t>
      </w:r>
      <w:r w:rsidR="005D7D8C" w:rsidRPr="005D7D8C">
        <w:rPr>
          <w:color w:val="000000" w:themeColor="text1"/>
        </w:rPr>
        <w:t xml:space="preserve"> among the cognitive</w:t>
      </w:r>
      <w:r>
        <w:rPr>
          <w:color w:val="000000" w:themeColor="text1"/>
        </w:rPr>
        <w:t>, adaptation, and governance layers</w:t>
      </w:r>
      <w:r w:rsidR="005D7D8C" w:rsidRPr="005D7D8C">
        <w:rPr>
          <w:color w:val="000000" w:themeColor="text1"/>
        </w:rPr>
        <w:t xml:space="preserve"> </w:t>
      </w:r>
      <w:r>
        <w:rPr>
          <w:color w:val="000000" w:themeColor="text1"/>
        </w:rPr>
        <w:t>is the core</w:t>
      </w:r>
      <w:r w:rsidR="005C4A1D">
        <w:rPr>
          <w:color w:val="000000" w:themeColor="text1"/>
          <w:lang w:val="en-US"/>
        </w:rPr>
        <w:t xml:space="preserve"> </w:t>
      </w:r>
      <w:r w:rsidR="005D7D8C" w:rsidRPr="005D7D8C">
        <w:rPr>
          <w:color w:val="000000" w:themeColor="text1"/>
        </w:rPr>
        <w:t xml:space="preserve">of responsible and efficient decision-making </w:t>
      </w:r>
      <w:r>
        <w:rPr>
          <w:color w:val="000000" w:themeColor="text1"/>
          <w:lang w:val="en-US"/>
        </w:rPr>
        <w:t>processes</w:t>
      </w:r>
      <w:r w:rsidR="005C4A1D">
        <w:rPr>
          <w:color w:val="000000" w:themeColor="text1"/>
          <w:lang w:val="en-US"/>
        </w:rPr>
        <w:t xml:space="preserve"> </w:t>
      </w:r>
      <w:r w:rsidR="005D7D8C" w:rsidRPr="005D7D8C">
        <w:rPr>
          <w:color w:val="000000" w:themeColor="text1"/>
        </w:rPr>
        <w:t xml:space="preserve">in </w:t>
      </w:r>
      <w:r w:rsidR="005C4A1D">
        <w:rPr>
          <w:color w:val="000000" w:themeColor="text1"/>
          <w:lang w:val="en-US"/>
        </w:rPr>
        <w:t>AAI</w:t>
      </w:r>
      <w:r w:rsidR="005D7D8C" w:rsidRPr="005D7D8C">
        <w:rPr>
          <w:color w:val="000000" w:themeColor="text1"/>
        </w:rPr>
        <w:t xml:space="preserve"> for Industry 5.0. The cognitive layer generates</w:t>
      </w:r>
      <w:r w:rsidR="005C4A1D">
        <w:rPr>
          <w:color w:val="000000" w:themeColor="text1"/>
          <w:lang w:val="en-US"/>
        </w:rPr>
        <w:t xml:space="preserve"> </w:t>
      </w:r>
      <w:r w:rsidR="005D7D8C" w:rsidRPr="005D7D8C">
        <w:rPr>
          <w:color w:val="000000" w:themeColor="text1"/>
        </w:rPr>
        <w:t xml:space="preserve">insights </w:t>
      </w:r>
      <w:r w:rsidR="005C4A1D">
        <w:rPr>
          <w:color w:val="000000" w:themeColor="text1"/>
          <w:lang w:val="en-US"/>
        </w:rPr>
        <w:t xml:space="preserve">that </w:t>
      </w:r>
      <w:r w:rsidR="001760E6">
        <w:rPr>
          <w:color w:val="000000" w:themeColor="text1"/>
          <w:lang w:val="en-US"/>
        </w:rPr>
        <w:t>enable</w:t>
      </w:r>
      <w:r w:rsidR="005C4A1D">
        <w:rPr>
          <w:color w:val="000000" w:themeColor="text1"/>
          <w:lang w:val="en-US"/>
        </w:rPr>
        <w:t xml:space="preserve"> </w:t>
      </w:r>
      <w:r w:rsidR="00D14349">
        <w:rPr>
          <w:color w:val="000000" w:themeColor="text1"/>
          <w:lang w:val="en-US"/>
        </w:rPr>
        <w:t xml:space="preserve">informed </w:t>
      </w:r>
      <w:r w:rsidR="005D7D8C" w:rsidRPr="005D7D8C">
        <w:rPr>
          <w:color w:val="000000" w:themeColor="text1"/>
        </w:rPr>
        <w:t>decisions based on sensed data</w:t>
      </w:r>
      <w:r w:rsidR="005C4A1D">
        <w:rPr>
          <w:color w:val="000000" w:themeColor="text1"/>
          <w:lang w:val="en-US"/>
        </w:rPr>
        <w:t xml:space="preserve"> from </w:t>
      </w:r>
      <w:r w:rsidR="007E0AA6">
        <w:rPr>
          <w:color w:val="000000" w:themeColor="text1"/>
          <w:lang w:val="en-US"/>
        </w:rPr>
        <w:t xml:space="preserve">the </w:t>
      </w:r>
      <w:r w:rsidR="005C4A1D">
        <w:rPr>
          <w:color w:val="000000" w:themeColor="text1"/>
          <w:lang w:val="en-US"/>
        </w:rPr>
        <w:t>sensor layer</w:t>
      </w:r>
      <w:r w:rsidR="005D7D8C" w:rsidRPr="005D7D8C">
        <w:rPr>
          <w:color w:val="000000" w:themeColor="text1"/>
        </w:rPr>
        <w:t>, which are then transmitted to the adaptation layer for implementation through process reconfiguration, resource allocation, and workflow optimization</w:t>
      </w:r>
      <w:r w:rsidR="0097530A">
        <w:rPr>
          <w:color w:val="000000" w:themeColor="text1"/>
          <w:lang w:val="en-US"/>
        </w:rPr>
        <w:t xml:space="preserve"> [</w:t>
      </w:r>
      <w:r w:rsidR="00E6057F">
        <w:rPr>
          <w:color w:val="000000" w:themeColor="text1"/>
          <w:lang w:val="en-US"/>
        </w:rPr>
        <w:t>10</w:t>
      </w:r>
      <w:r w:rsidR="0097530A">
        <w:rPr>
          <w:color w:val="000000" w:themeColor="text1"/>
          <w:lang w:val="en-US"/>
        </w:rPr>
        <w:t>]</w:t>
      </w:r>
      <w:r w:rsidR="005D7D8C" w:rsidRPr="005D7D8C">
        <w:rPr>
          <w:color w:val="000000" w:themeColor="text1"/>
        </w:rPr>
        <w:t xml:space="preserve">. However, before execution, the governance layer supervises communication to ensure all decisions comply with </w:t>
      </w:r>
      <w:r w:rsidR="00D14349">
        <w:rPr>
          <w:color w:val="000000" w:themeColor="text1"/>
          <w:lang w:val="en-US"/>
        </w:rPr>
        <w:t>desired</w:t>
      </w:r>
      <w:r w:rsidR="005D7D8C" w:rsidRPr="005D7D8C">
        <w:rPr>
          <w:color w:val="000000" w:themeColor="text1"/>
        </w:rPr>
        <w:t xml:space="preserve"> goals. </w:t>
      </w:r>
      <w:r w:rsidR="00090033" w:rsidRPr="00090033">
        <w:rPr>
          <w:color w:val="000000" w:themeColor="text1"/>
          <w:lang w:val="en-US"/>
        </w:rPr>
        <w:t>The figure illustrating the layer and the parts that are responsible for communication is presented in Figure 4.</w:t>
      </w:r>
    </w:p>
    <w:p w14:paraId="21E5D2E2" w14:textId="2C66F9B5" w:rsidR="003126A7" w:rsidRPr="002C05F9" w:rsidRDefault="003126A7" w:rsidP="003126A7">
      <w:pPr>
        <w:pStyle w:val="tablehead"/>
        <w:numPr>
          <w:ilvl w:val="0"/>
          <w:numId w:val="9"/>
        </w:numPr>
        <w:rPr>
          <w:color w:val="000000" w:themeColor="text1"/>
        </w:rPr>
      </w:pPr>
      <w:r w:rsidRPr="002C05F9">
        <w:rPr>
          <w:color w:val="000000" w:themeColor="text1"/>
        </w:rPr>
        <w:t>Algorithm for communication among cognitive</w:t>
      </w:r>
      <w:r w:rsidR="003A1059">
        <w:rPr>
          <w:color w:val="000000" w:themeColor="text1"/>
        </w:rPr>
        <w:t>, Adaptation, and Governance layers</w:t>
      </w:r>
      <w:r w:rsidRPr="002C05F9">
        <w:rPr>
          <w:color w:val="000000" w:themeColor="text1"/>
        </w:rPr>
        <w:t>.</w:t>
      </w:r>
    </w:p>
    <w:tbl>
      <w:tblPr>
        <w:tblStyle w:val="TableGrid"/>
        <w:tblW w:w="5249" w:type="dxa"/>
        <w:tblBorders>
          <w:insideH w:val="none" w:sz="0" w:space="0" w:color="auto"/>
          <w:insideV w:val="none" w:sz="0" w:space="0" w:color="auto"/>
        </w:tblBorders>
        <w:tblLook w:val="04A0" w:firstRow="1" w:lastRow="0" w:firstColumn="1" w:lastColumn="0" w:noHBand="0" w:noVBand="1"/>
      </w:tblPr>
      <w:tblGrid>
        <w:gridCol w:w="250"/>
        <w:gridCol w:w="17"/>
        <w:gridCol w:w="261"/>
        <w:gridCol w:w="217"/>
        <w:gridCol w:w="298"/>
        <w:gridCol w:w="858"/>
        <w:gridCol w:w="2847"/>
        <w:gridCol w:w="501"/>
      </w:tblGrid>
      <w:tr w:rsidR="00A135C6" w:rsidRPr="00133FA3" w14:paraId="15BBCA9D" w14:textId="77777777" w:rsidTr="00093E4E">
        <w:tc>
          <w:tcPr>
            <w:tcW w:w="5249" w:type="dxa"/>
            <w:gridSpan w:val="8"/>
            <w:tcBorders>
              <w:top w:val="single" w:sz="4" w:space="0" w:color="auto"/>
              <w:bottom w:val="single" w:sz="4" w:space="0" w:color="auto"/>
            </w:tcBorders>
            <w:shd w:val="clear" w:color="auto" w:fill="D9D9D9" w:themeFill="background1" w:themeFillShade="D9"/>
          </w:tcPr>
          <w:p w14:paraId="4D962FFD" w14:textId="77777777" w:rsidR="00A135C6" w:rsidRPr="00133FA3" w:rsidRDefault="00A135C6" w:rsidP="00093E4E">
            <w:pPr>
              <w:pStyle w:val="BodyText"/>
              <w:spacing w:after="0"/>
              <w:ind w:firstLine="0"/>
              <w:rPr>
                <w:color w:val="000000" w:themeColor="text1"/>
                <w:lang w:val="en-US"/>
              </w:rPr>
            </w:pPr>
            <w:r w:rsidRPr="00133FA3">
              <w:rPr>
                <w:color w:val="000000" w:themeColor="text1"/>
                <w:lang w:val="en-US"/>
              </w:rPr>
              <w:t xml:space="preserve">Algorithm </w:t>
            </w:r>
            <w:r>
              <w:rPr>
                <w:color w:val="000000" w:themeColor="text1"/>
                <w:lang w:val="en-US"/>
              </w:rPr>
              <w:t>2</w:t>
            </w:r>
            <w:r w:rsidRPr="00133FA3">
              <w:rPr>
                <w:color w:val="000000" w:themeColor="text1"/>
                <w:lang w:val="en-US"/>
              </w:rPr>
              <w:t>: Communication among cognitive</w:t>
            </w:r>
            <w:r>
              <w:rPr>
                <w:color w:val="000000" w:themeColor="text1"/>
                <w:lang w:val="en-US"/>
              </w:rPr>
              <w:t>, adaptation, and governance layers</w:t>
            </w:r>
          </w:p>
        </w:tc>
      </w:tr>
      <w:tr w:rsidR="00A135C6" w:rsidRPr="00133FA3" w14:paraId="448CE756" w14:textId="77777777" w:rsidTr="00093E4E">
        <w:tc>
          <w:tcPr>
            <w:tcW w:w="5249" w:type="dxa"/>
            <w:gridSpan w:val="8"/>
            <w:tcBorders>
              <w:top w:val="single" w:sz="4" w:space="0" w:color="auto"/>
            </w:tcBorders>
          </w:tcPr>
          <w:p w14:paraId="6058AA5F"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Input: </w:t>
            </w:r>
            <w:r w:rsidRPr="004D3CD4">
              <w:rPr>
                <w:color w:val="000000" w:themeColor="text1"/>
                <w:lang w:val="en-US"/>
              </w:rPr>
              <w:t xml:space="preserve">Insights </w:t>
            </w:r>
            <m:oMath>
              <m:r>
                <w:rPr>
                  <w:rFonts w:ascii="Cambria Math" w:hAnsi="Cambria Math"/>
                  <w:color w:val="000000" w:themeColor="text1"/>
                  <w:lang w:val="en-US"/>
                </w:rPr>
                <m:t>I</m:t>
              </m:r>
            </m:oMath>
            <w:r w:rsidRPr="004D3CD4">
              <w:rPr>
                <w:color w:val="000000" w:themeColor="text1"/>
                <w:lang w:val="en-US"/>
              </w:rPr>
              <w:t xml:space="preserve"> from Cognitive Layer</w:t>
            </w:r>
          </w:p>
        </w:tc>
      </w:tr>
      <w:tr w:rsidR="00A135C6" w:rsidRPr="00133FA3" w14:paraId="53C06DFC" w14:textId="77777777" w:rsidTr="00093E4E">
        <w:tc>
          <w:tcPr>
            <w:tcW w:w="528" w:type="dxa"/>
            <w:gridSpan w:val="3"/>
          </w:tcPr>
          <w:p w14:paraId="6C93AC80" w14:textId="77777777" w:rsidR="00A135C6" w:rsidRPr="00133FA3" w:rsidRDefault="00A135C6" w:rsidP="00093E4E">
            <w:pPr>
              <w:pStyle w:val="BodyText"/>
              <w:spacing w:after="0"/>
              <w:ind w:firstLine="0"/>
              <w:rPr>
                <w:b/>
                <w:bCs/>
                <w:color w:val="000000" w:themeColor="text1"/>
                <w:lang w:val="en-US"/>
              </w:rPr>
            </w:pPr>
          </w:p>
        </w:tc>
        <w:tc>
          <w:tcPr>
            <w:tcW w:w="4721" w:type="dxa"/>
            <w:gridSpan w:val="5"/>
          </w:tcPr>
          <w:p w14:paraId="784D97AB" w14:textId="77777777" w:rsidR="00A135C6" w:rsidRPr="00133FA3" w:rsidRDefault="00000000" w:rsidP="00093E4E">
            <w:pPr>
              <w:pStyle w:val="BodyText"/>
              <w:spacing w:after="0"/>
              <w:ind w:firstLine="0"/>
              <w:rPr>
                <w:b/>
                <w:bCs/>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b</m:t>
                  </m:r>
                </m:sub>
              </m:sSub>
              <m:r>
                <w:rPr>
                  <w:rFonts w:ascii="Cambria Math" w:hAnsi="Cambria Math"/>
                  <w:color w:val="000000" w:themeColor="text1"/>
                  <w:lang w:val="en-US"/>
                </w:rPr>
                <m:t>←KnowledgeBase</m:t>
              </m:r>
            </m:oMath>
            <w:r w:rsidR="00A135C6" w:rsidRPr="00133FA3">
              <w:rPr>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d</m:t>
                  </m:r>
                </m:sub>
              </m:sSub>
              <m:r>
                <w:rPr>
                  <w:rFonts w:ascii="Cambria Math" w:hAnsi="Cambria Math"/>
                  <w:color w:val="000000" w:themeColor="text1"/>
                  <w:lang w:val="en-US"/>
                </w:rPr>
                <m:t>←HistoricData</m:t>
              </m:r>
            </m:oMath>
            <w:r w:rsidR="00A135C6">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d</m:t>
                  </m:r>
                </m:sub>
              </m:sSub>
              <m:r>
                <w:rPr>
                  <w:rFonts w:ascii="Cambria Math" w:hAnsi="Cambria Math"/>
                  <w:color w:val="000000" w:themeColor="text1"/>
                  <w:lang w:val="en-US"/>
                </w:rPr>
                <m:t>←Sensor data</m:t>
              </m:r>
            </m:oMath>
          </w:p>
        </w:tc>
      </w:tr>
      <w:tr w:rsidR="00A135C6" w:rsidRPr="00133FA3" w14:paraId="27FBE760" w14:textId="77777777" w:rsidTr="00093E4E">
        <w:tc>
          <w:tcPr>
            <w:tcW w:w="5249" w:type="dxa"/>
            <w:gridSpan w:val="8"/>
          </w:tcPr>
          <w:p w14:paraId="184847EC" w14:textId="77777777" w:rsidR="00A135C6" w:rsidRPr="00133FA3" w:rsidRDefault="00A135C6" w:rsidP="00093E4E">
            <w:pPr>
              <w:pStyle w:val="BodyText"/>
              <w:spacing w:after="0"/>
              <w:ind w:firstLine="0"/>
              <w:rPr>
                <w:b/>
                <w:bCs/>
                <w:color w:val="000000" w:themeColor="text1"/>
                <w:lang w:val="en-US"/>
              </w:rPr>
            </w:pPr>
            <w:r w:rsidRPr="00133FA3">
              <w:rPr>
                <w:b/>
                <w:bCs/>
                <w:color w:val="000000" w:themeColor="text1"/>
                <w:lang w:val="en-US"/>
              </w:rPr>
              <w:t xml:space="preserve">Output: </w:t>
            </w:r>
            <w:r w:rsidRPr="004D3CD4">
              <w:rPr>
                <w:color w:val="000000" w:themeColor="text1"/>
                <w:lang w:val="en-US"/>
              </w:rPr>
              <w:t xml:space="preserve">Executed Actions </w:t>
            </w:r>
            <m:oMath>
              <m:r>
                <w:rPr>
                  <w:rFonts w:ascii="Cambria Math" w:hAnsi="Cambria Math"/>
                  <w:color w:val="000000" w:themeColor="text1"/>
                  <w:lang w:val="en-US"/>
                </w:rPr>
                <m:t>K</m:t>
              </m:r>
            </m:oMath>
            <w:r w:rsidRPr="004D3CD4">
              <w:rPr>
                <w:color w:val="000000" w:themeColor="text1"/>
                <w:lang w:val="en-US"/>
              </w:rPr>
              <w:t xml:space="preserve"> with Governance Compliance</w:t>
            </w:r>
          </w:p>
        </w:tc>
      </w:tr>
      <w:tr w:rsidR="00A135C6" w:rsidRPr="00133FA3" w14:paraId="356DF2FB" w14:textId="77777777" w:rsidTr="00093E4E">
        <w:tc>
          <w:tcPr>
            <w:tcW w:w="5249" w:type="dxa"/>
            <w:gridSpan w:val="8"/>
          </w:tcPr>
          <w:p w14:paraId="05E82206" w14:textId="77777777" w:rsidR="00A135C6" w:rsidRPr="00133FA3" w:rsidRDefault="00A135C6" w:rsidP="00093E4E">
            <w:pPr>
              <w:pStyle w:val="BodyText"/>
              <w:spacing w:after="0"/>
              <w:ind w:left="993" w:hanging="993"/>
              <w:rPr>
                <w:color w:val="000000" w:themeColor="text1"/>
                <w:lang w:val="en-US"/>
              </w:rPr>
            </w:pPr>
            <w:r w:rsidRPr="00133FA3">
              <w:rPr>
                <w:b/>
                <w:bCs/>
                <w:color w:val="000000" w:themeColor="text1"/>
                <w:lang w:val="en-US"/>
              </w:rPr>
              <w:t xml:space="preserve">Initialize </w:t>
            </w:r>
            <w:r w:rsidRPr="00133FA3">
              <w:rPr>
                <w:color w:val="000000" w:themeColor="text1"/>
                <w:lang w:val="en-US"/>
              </w:rPr>
              <w:t xml:space="preserve">Cognitive Layer </w:t>
            </w:r>
            <m:oMath>
              <m:r>
                <w:rPr>
                  <w:rFonts w:ascii="Cambria Math" w:hAnsi="Cambria Math"/>
                  <w:color w:val="000000" w:themeColor="text1"/>
                  <w:lang w:val="en-US"/>
                </w:rPr>
                <m:t>C</m:t>
              </m:r>
            </m:oMath>
            <w:r>
              <w:rPr>
                <w:color w:val="000000" w:themeColor="text1"/>
                <w:lang w:val="en-US"/>
              </w:rPr>
              <w:t xml:space="preserve">, Adaption Layer </w:t>
            </w:r>
            <m:oMath>
              <m:r>
                <w:rPr>
                  <w:rFonts w:ascii="Cambria Math" w:hAnsi="Cambria Math"/>
                  <w:color w:val="000000" w:themeColor="text1"/>
                  <w:lang w:val="en-US"/>
                </w:rPr>
                <m:t>A,</m:t>
              </m:r>
            </m:oMath>
            <w:r>
              <w:rPr>
                <w:color w:val="000000" w:themeColor="text1"/>
                <w:lang w:val="en-US"/>
              </w:rPr>
              <w:t xml:space="preserve"> and Governance Layer </w:t>
            </w:r>
            <m:oMath>
              <m:r>
                <w:rPr>
                  <w:rFonts w:ascii="Cambria Math" w:hAnsi="Cambria Math"/>
                  <w:color w:val="000000" w:themeColor="text1"/>
                  <w:lang w:val="en-US"/>
                </w:rPr>
                <m:t>G</m:t>
              </m:r>
            </m:oMath>
          </w:p>
        </w:tc>
      </w:tr>
      <w:tr w:rsidR="00A135C6" w:rsidRPr="00133FA3" w14:paraId="49794088" w14:textId="77777777" w:rsidTr="00093E4E">
        <w:tc>
          <w:tcPr>
            <w:tcW w:w="267" w:type="dxa"/>
            <w:gridSpan w:val="2"/>
          </w:tcPr>
          <w:p w14:paraId="560F66DE" w14:textId="77777777" w:rsidR="00A135C6" w:rsidRPr="00133FA3" w:rsidRDefault="00A135C6" w:rsidP="00093E4E">
            <w:pPr>
              <w:pStyle w:val="BodyText"/>
              <w:spacing w:after="0"/>
              <w:ind w:firstLine="0"/>
              <w:rPr>
                <w:color w:val="000000" w:themeColor="text1"/>
                <w:lang w:val="en-US"/>
              </w:rPr>
            </w:pPr>
          </w:p>
        </w:tc>
        <w:tc>
          <w:tcPr>
            <w:tcW w:w="4481" w:type="dxa"/>
            <w:gridSpan w:val="5"/>
          </w:tcPr>
          <w:p w14:paraId="27EA2AC4" w14:textId="77777777" w:rsidR="00A135C6" w:rsidRPr="00133FA3" w:rsidRDefault="00A135C6" w:rsidP="00093E4E">
            <w:pPr>
              <w:pStyle w:val="BodyText"/>
              <w:spacing w:after="0"/>
              <w:ind w:firstLine="0"/>
              <w:rPr>
                <w:color w:val="000000" w:themeColor="text1"/>
                <w:lang w:val="en-US"/>
              </w:rPr>
            </w:pPr>
            <w:r>
              <w:rPr>
                <w:b/>
                <w:bCs/>
                <w:color w:val="000000" w:themeColor="text1"/>
                <w:lang w:val="en-US"/>
              </w:rPr>
              <w:t>While</w:t>
            </w:r>
            <w:r w:rsidRPr="00133FA3">
              <w:rPr>
                <w:color w:val="000000" w:themeColor="text1"/>
                <w:lang w:val="en-US"/>
              </w:rPr>
              <w:t xml:space="preserve"> system is active </w:t>
            </w:r>
            <w:r w:rsidRPr="00133FA3">
              <w:rPr>
                <w:b/>
                <w:bCs/>
                <w:color w:val="000000" w:themeColor="text1"/>
                <w:lang w:val="en-US"/>
              </w:rPr>
              <w:t>do</w:t>
            </w:r>
          </w:p>
        </w:tc>
        <w:tc>
          <w:tcPr>
            <w:tcW w:w="501" w:type="dxa"/>
          </w:tcPr>
          <w:p w14:paraId="5D776C0E" w14:textId="77777777" w:rsidR="00A135C6" w:rsidRPr="00133FA3" w:rsidRDefault="00A135C6" w:rsidP="00093E4E">
            <w:pPr>
              <w:pStyle w:val="BodyText"/>
              <w:spacing w:after="0"/>
              <w:ind w:firstLine="0"/>
              <w:rPr>
                <w:color w:val="000000" w:themeColor="text1"/>
                <w:lang w:val="en-US"/>
              </w:rPr>
            </w:pPr>
          </w:p>
        </w:tc>
      </w:tr>
      <w:tr w:rsidR="00A135C6" w:rsidRPr="00133FA3" w14:paraId="4298EDE1" w14:textId="77777777" w:rsidTr="00093E4E">
        <w:tc>
          <w:tcPr>
            <w:tcW w:w="528" w:type="dxa"/>
            <w:gridSpan w:val="3"/>
          </w:tcPr>
          <w:p w14:paraId="4BAD8D61" w14:textId="77777777" w:rsidR="00A135C6" w:rsidRPr="00133FA3" w:rsidRDefault="00A135C6" w:rsidP="00093E4E">
            <w:pPr>
              <w:pStyle w:val="BodyText"/>
              <w:spacing w:after="0"/>
              <w:ind w:firstLine="0"/>
              <w:rPr>
                <w:color w:val="000000" w:themeColor="text1"/>
                <w:lang w:val="en-US"/>
              </w:rPr>
            </w:pPr>
          </w:p>
        </w:tc>
        <w:tc>
          <w:tcPr>
            <w:tcW w:w="4721" w:type="dxa"/>
            <w:gridSpan w:val="5"/>
          </w:tcPr>
          <w:p w14:paraId="5C159243" w14:textId="77777777" w:rsidR="00A135C6" w:rsidRPr="00133FA3" w:rsidRDefault="00A135C6" w:rsidP="00093E4E">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I←C.GenerateInsights(</m:t>
                </m:r>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d</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b</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d</m:t>
                    </m:r>
                  </m:sub>
                </m:sSub>
                <m:r>
                  <w:rPr>
                    <w:rFonts w:ascii="Cambria Math" w:hAnsi="Cambria Math"/>
                    <w:color w:val="000000" w:themeColor="text1"/>
                    <w:lang w:val="en-US"/>
                  </w:rPr>
                  <m:t>)</m:t>
                </m:r>
              </m:oMath>
            </m:oMathPara>
          </w:p>
        </w:tc>
      </w:tr>
      <w:tr w:rsidR="00A135C6" w:rsidRPr="00133FA3" w14:paraId="1942C6A6" w14:textId="77777777" w:rsidTr="00093E4E">
        <w:tc>
          <w:tcPr>
            <w:tcW w:w="267" w:type="dxa"/>
            <w:gridSpan w:val="2"/>
          </w:tcPr>
          <w:p w14:paraId="7FEAACE6" w14:textId="77777777" w:rsidR="00A135C6" w:rsidRPr="00133FA3" w:rsidRDefault="00A135C6" w:rsidP="00093E4E">
            <w:pPr>
              <w:pStyle w:val="BodyText"/>
              <w:spacing w:after="0"/>
              <w:ind w:firstLine="0"/>
              <w:rPr>
                <w:color w:val="000000" w:themeColor="text1"/>
                <w:lang w:val="en-US"/>
              </w:rPr>
            </w:pPr>
          </w:p>
        </w:tc>
        <w:tc>
          <w:tcPr>
            <w:tcW w:w="261" w:type="dxa"/>
          </w:tcPr>
          <w:p w14:paraId="68F7DD6D" w14:textId="77777777" w:rsidR="00A135C6" w:rsidRPr="00133FA3" w:rsidRDefault="00A135C6" w:rsidP="00093E4E">
            <w:pPr>
              <w:pStyle w:val="BodyText"/>
              <w:spacing w:after="0"/>
              <w:ind w:firstLine="0"/>
              <w:rPr>
                <w:b/>
                <w:bCs/>
                <w:color w:val="000000" w:themeColor="text1"/>
                <w:lang w:val="en-US"/>
              </w:rPr>
            </w:pPr>
          </w:p>
        </w:tc>
        <w:tc>
          <w:tcPr>
            <w:tcW w:w="4721" w:type="dxa"/>
            <w:gridSpan w:val="5"/>
          </w:tcPr>
          <w:p w14:paraId="07F691C4" w14:textId="77777777" w:rsidR="00A135C6" w:rsidRPr="00133FA3" w:rsidRDefault="00A135C6" w:rsidP="00093E4E">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D←C.formulate_descision(I)</m:t>
                </m:r>
              </m:oMath>
            </m:oMathPara>
          </w:p>
        </w:tc>
      </w:tr>
      <w:tr w:rsidR="00A135C6" w:rsidRPr="00133FA3" w14:paraId="20200B25" w14:textId="77777777" w:rsidTr="00093E4E">
        <w:tc>
          <w:tcPr>
            <w:tcW w:w="528" w:type="dxa"/>
            <w:gridSpan w:val="3"/>
          </w:tcPr>
          <w:p w14:paraId="31CB9BDB" w14:textId="77777777" w:rsidR="00A135C6" w:rsidRPr="00133FA3" w:rsidRDefault="00A135C6" w:rsidP="00093E4E">
            <w:pPr>
              <w:pStyle w:val="BodyText"/>
              <w:spacing w:after="0"/>
              <w:ind w:firstLine="0"/>
              <w:rPr>
                <w:color w:val="000000" w:themeColor="text1"/>
                <w:lang w:val="en-US"/>
              </w:rPr>
            </w:pPr>
          </w:p>
        </w:tc>
        <w:tc>
          <w:tcPr>
            <w:tcW w:w="4220" w:type="dxa"/>
            <w:gridSpan w:val="4"/>
          </w:tcPr>
          <w:p w14:paraId="6B26FA52" w14:textId="77777777" w:rsidR="00A135C6" w:rsidRPr="00133FA3" w:rsidRDefault="00A135C6" w:rsidP="00093E4E">
            <w:pPr>
              <w:pStyle w:val="BodyText"/>
              <w:spacing w:after="0"/>
              <w:ind w:firstLine="0"/>
              <w:jc w:val="left"/>
              <w:rPr>
                <w:color w:val="000000" w:themeColor="text1"/>
                <w:lang w:val="en-US"/>
              </w:rPr>
            </w:pPr>
            <w:r>
              <w:rPr>
                <w:b/>
                <w:bCs/>
                <w:color w:val="000000" w:themeColor="text1"/>
                <w:lang w:val="en-US"/>
              </w:rPr>
              <w:t xml:space="preserve">if </w:t>
            </w:r>
            <m:oMath>
              <m:r>
                <w:rPr>
                  <w:rFonts w:ascii="Cambria Math" w:hAnsi="Cambria Math"/>
                  <w:color w:val="000000" w:themeColor="text1"/>
                  <w:lang w:val="en-US"/>
                </w:rPr>
                <m:t>G∙validate</m:t>
              </m:r>
              <m:d>
                <m:dPr>
                  <m:ctrlPr>
                    <w:rPr>
                      <w:rFonts w:ascii="Cambria Math" w:hAnsi="Cambria Math"/>
                      <w:i/>
                      <w:color w:val="000000" w:themeColor="text1"/>
                      <w:lang w:val="en-US"/>
                    </w:rPr>
                  </m:ctrlPr>
                </m:dPr>
                <m:e>
                  <m:r>
                    <w:rPr>
                      <w:rFonts w:ascii="Cambria Math" w:hAnsi="Cambria Math"/>
                      <w:color w:val="000000" w:themeColor="text1"/>
                      <w:lang w:val="en-US"/>
                    </w:rPr>
                    <m:t>D</m:t>
                  </m:r>
                </m:e>
              </m:d>
              <m:r>
                <w:rPr>
                  <w:rFonts w:ascii="Cambria Math" w:hAnsi="Cambria Math"/>
                  <w:color w:val="000000" w:themeColor="text1"/>
                  <w:lang w:val="en-US"/>
                </w:rPr>
                <m:t>=True</m:t>
              </m:r>
            </m:oMath>
            <w:r>
              <w:rPr>
                <w:b/>
                <w:bCs/>
                <w:color w:val="000000" w:themeColor="text1"/>
                <w:lang w:val="en-US"/>
              </w:rPr>
              <w:t xml:space="preserve"> then</w:t>
            </w:r>
          </w:p>
        </w:tc>
        <w:tc>
          <w:tcPr>
            <w:tcW w:w="501" w:type="dxa"/>
          </w:tcPr>
          <w:p w14:paraId="515E0CDB" w14:textId="77777777" w:rsidR="00A135C6" w:rsidRPr="00133FA3" w:rsidRDefault="00A135C6" w:rsidP="00093E4E">
            <w:pPr>
              <w:pStyle w:val="BodyText"/>
              <w:spacing w:after="0"/>
              <w:ind w:firstLine="0"/>
              <w:rPr>
                <w:color w:val="000000" w:themeColor="text1"/>
                <w:lang w:val="en-US"/>
              </w:rPr>
            </w:pPr>
          </w:p>
        </w:tc>
      </w:tr>
      <w:tr w:rsidR="00A135C6" w:rsidRPr="00133FA3" w14:paraId="028EBABC" w14:textId="77777777" w:rsidTr="00093E4E">
        <w:tc>
          <w:tcPr>
            <w:tcW w:w="1043" w:type="dxa"/>
            <w:gridSpan w:val="5"/>
          </w:tcPr>
          <w:p w14:paraId="08585F44" w14:textId="77777777" w:rsidR="00A135C6" w:rsidRPr="00133FA3" w:rsidRDefault="00A135C6" w:rsidP="00093E4E">
            <w:pPr>
              <w:pStyle w:val="BodyText"/>
              <w:spacing w:after="0"/>
              <w:ind w:firstLine="0"/>
              <w:rPr>
                <w:color w:val="000000" w:themeColor="text1"/>
                <w:lang w:val="en-US"/>
              </w:rPr>
            </w:pPr>
          </w:p>
        </w:tc>
        <w:tc>
          <w:tcPr>
            <w:tcW w:w="4206" w:type="dxa"/>
            <w:gridSpan w:val="3"/>
          </w:tcPr>
          <w:p w14:paraId="414B587E"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A∙ReceiveDecision(D)</m:t>
                </m:r>
              </m:oMath>
            </m:oMathPara>
          </w:p>
        </w:tc>
      </w:tr>
      <w:tr w:rsidR="00A135C6" w:rsidRPr="00133FA3" w14:paraId="145B813A" w14:textId="77777777" w:rsidTr="00093E4E">
        <w:tc>
          <w:tcPr>
            <w:tcW w:w="1043" w:type="dxa"/>
            <w:gridSpan w:val="5"/>
          </w:tcPr>
          <w:p w14:paraId="389E736C" w14:textId="77777777" w:rsidR="00A135C6" w:rsidRPr="00133FA3" w:rsidRDefault="00A135C6" w:rsidP="00093E4E">
            <w:pPr>
              <w:pStyle w:val="BodyText"/>
              <w:spacing w:after="0"/>
              <w:ind w:firstLine="0"/>
              <w:rPr>
                <w:color w:val="000000" w:themeColor="text1"/>
                <w:lang w:val="en-US"/>
              </w:rPr>
            </w:pPr>
          </w:p>
        </w:tc>
        <w:tc>
          <w:tcPr>
            <w:tcW w:w="3705" w:type="dxa"/>
            <w:gridSpan w:val="2"/>
          </w:tcPr>
          <w:p w14:paraId="31BEC7C3"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A∙ReconfigureProcesses(D)</m:t>
                </m:r>
              </m:oMath>
            </m:oMathPara>
          </w:p>
        </w:tc>
        <w:tc>
          <w:tcPr>
            <w:tcW w:w="501" w:type="dxa"/>
          </w:tcPr>
          <w:p w14:paraId="7F023FEE" w14:textId="77777777" w:rsidR="00A135C6" w:rsidRPr="00133FA3" w:rsidRDefault="00A135C6" w:rsidP="00093E4E">
            <w:pPr>
              <w:pStyle w:val="BodyText"/>
              <w:spacing w:after="0"/>
              <w:ind w:firstLine="0"/>
              <w:rPr>
                <w:color w:val="000000" w:themeColor="text1"/>
                <w:lang w:val="en-US"/>
              </w:rPr>
            </w:pPr>
          </w:p>
        </w:tc>
      </w:tr>
      <w:tr w:rsidR="00A135C6" w:rsidRPr="00133FA3" w14:paraId="46530583" w14:textId="77777777" w:rsidTr="00093E4E">
        <w:tc>
          <w:tcPr>
            <w:tcW w:w="1043" w:type="dxa"/>
            <w:gridSpan w:val="5"/>
          </w:tcPr>
          <w:p w14:paraId="157959FA" w14:textId="77777777" w:rsidR="00A135C6" w:rsidRPr="00133FA3" w:rsidRDefault="00A135C6" w:rsidP="00093E4E">
            <w:pPr>
              <w:pStyle w:val="BodyText"/>
              <w:spacing w:after="0"/>
              <w:ind w:firstLine="0"/>
              <w:rPr>
                <w:color w:val="000000" w:themeColor="text1"/>
                <w:lang w:val="en-US"/>
              </w:rPr>
            </w:pPr>
          </w:p>
        </w:tc>
        <w:tc>
          <w:tcPr>
            <w:tcW w:w="3705" w:type="dxa"/>
            <w:gridSpan w:val="2"/>
          </w:tcPr>
          <w:p w14:paraId="6B7D7F5E"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A∙AllocateResourcesD)</m:t>
                </m:r>
              </m:oMath>
            </m:oMathPara>
          </w:p>
        </w:tc>
        <w:tc>
          <w:tcPr>
            <w:tcW w:w="501" w:type="dxa"/>
          </w:tcPr>
          <w:p w14:paraId="488C3827" w14:textId="77777777" w:rsidR="00A135C6" w:rsidRPr="00133FA3" w:rsidRDefault="00A135C6" w:rsidP="00093E4E">
            <w:pPr>
              <w:pStyle w:val="BodyText"/>
              <w:spacing w:after="0"/>
              <w:ind w:firstLine="0"/>
              <w:rPr>
                <w:color w:val="000000" w:themeColor="text1"/>
                <w:lang w:val="en-US"/>
              </w:rPr>
            </w:pPr>
          </w:p>
        </w:tc>
      </w:tr>
      <w:tr w:rsidR="00A135C6" w:rsidRPr="00133FA3" w14:paraId="56B6AE0F" w14:textId="77777777" w:rsidTr="00093E4E">
        <w:tc>
          <w:tcPr>
            <w:tcW w:w="1043" w:type="dxa"/>
            <w:gridSpan w:val="5"/>
          </w:tcPr>
          <w:p w14:paraId="7A074828" w14:textId="77777777" w:rsidR="00A135C6" w:rsidRPr="00133FA3" w:rsidRDefault="00A135C6" w:rsidP="00093E4E">
            <w:pPr>
              <w:pStyle w:val="BodyText"/>
              <w:spacing w:after="0"/>
              <w:ind w:firstLine="0"/>
              <w:rPr>
                <w:color w:val="000000" w:themeColor="text1"/>
                <w:lang w:val="en-US"/>
              </w:rPr>
            </w:pPr>
          </w:p>
        </w:tc>
        <w:tc>
          <w:tcPr>
            <w:tcW w:w="3705" w:type="dxa"/>
            <w:gridSpan w:val="2"/>
          </w:tcPr>
          <w:p w14:paraId="04681102" w14:textId="77777777" w:rsidR="00A135C6" w:rsidRPr="00133FA3"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A∙OptimizeWorkflows(D)</m:t>
                </m:r>
              </m:oMath>
            </m:oMathPara>
          </w:p>
        </w:tc>
        <w:tc>
          <w:tcPr>
            <w:tcW w:w="501" w:type="dxa"/>
          </w:tcPr>
          <w:p w14:paraId="2761318D" w14:textId="77777777" w:rsidR="00A135C6" w:rsidRPr="00133FA3" w:rsidRDefault="00A135C6" w:rsidP="00093E4E">
            <w:pPr>
              <w:pStyle w:val="BodyText"/>
              <w:spacing w:after="0"/>
              <w:ind w:firstLine="0"/>
              <w:rPr>
                <w:color w:val="000000" w:themeColor="text1"/>
                <w:lang w:val="en-US"/>
              </w:rPr>
            </w:pPr>
          </w:p>
        </w:tc>
      </w:tr>
      <w:tr w:rsidR="00A135C6" w:rsidRPr="00133FA3" w14:paraId="040826CC" w14:textId="77777777" w:rsidTr="00093E4E">
        <w:tc>
          <w:tcPr>
            <w:tcW w:w="1043" w:type="dxa"/>
            <w:gridSpan w:val="5"/>
          </w:tcPr>
          <w:p w14:paraId="39406C5C" w14:textId="77777777" w:rsidR="00A135C6" w:rsidRPr="00133FA3" w:rsidRDefault="00A135C6" w:rsidP="00093E4E">
            <w:pPr>
              <w:pStyle w:val="BodyText"/>
              <w:spacing w:after="0"/>
              <w:ind w:firstLine="0"/>
              <w:rPr>
                <w:color w:val="000000" w:themeColor="text1"/>
                <w:lang w:val="en-US"/>
              </w:rPr>
            </w:pPr>
          </w:p>
        </w:tc>
        <w:tc>
          <w:tcPr>
            <w:tcW w:w="3705" w:type="dxa"/>
            <w:gridSpan w:val="2"/>
          </w:tcPr>
          <w:p w14:paraId="7789E960" w14:textId="77777777" w:rsidR="00A135C6" w:rsidRPr="00DC71E0"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A∙Execute task()</m:t>
                </m:r>
              </m:oMath>
            </m:oMathPara>
          </w:p>
        </w:tc>
        <w:tc>
          <w:tcPr>
            <w:tcW w:w="501" w:type="dxa"/>
          </w:tcPr>
          <w:p w14:paraId="00CAED8F" w14:textId="77777777" w:rsidR="00A135C6" w:rsidRPr="00133FA3" w:rsidRDefault="00A135C6" w:rsidP="00093E4E">
            <w:pPr>
              <w:pStyle w:val="BodyText"/>
              <w:spacing w:after="0"/>
              <w:ind w:firstLine="0"/>
              <w:rPr>
                <w:color w:val="000000" w:themeColor="text1"/>
                <w:lang w:val="en-US"/>
              </w:rPr>
            </w:pPr>
          </w:p>
        </w:tc>
      </w:tr>
      <w:tr w:rsidR="00A135C6" w:rsidRPr="00133FA3" w14:paraId="46666F91" w14:textId="77777777" w:rsidTr="00093E4E">
        <w:tc>
          <w:tcPr>
            <w:tcW w:w="745" w:type="dxa"/>
            <w:gridSpan w:val="4"/>
          </w:tcPr>
          <w:p w14:paraId="47C51B27" w14:textId="77777777" w:rsidR="00A135C6" w:rsidRPr="00133FA3" w:rsidRDefault="00A135C6" w:rsidP="00093E4E">
            <w:pPr>
              <w:pStyle w:val="BodyText"/>
              <w:spacing w:after="0"/>
              <w:ind w:firstLine="0"/>
              <w:rPr>
                <w:color w:val="000000" w:themeColor="text1"/>
                <w:lang w:val="en-US"/>
              </w:rPr>
            </w:pPr>
          </w:p>
        </w:tc>
        <w:tc>
          <w:tcPr>
            <w:tcW w:w="298" w:type="dxa"/>
          </w:tcPr>
          <w:p w14:paraId="6FAF9199" w14:textId="77777777" w:rsidR="00A135C6" w:rsidRPr="00133FA3" w:rsidRDefault="00A135C6" w:rsidP="00093E4E">
            <w:pPr>
              <w:pStyle w:val="BodyText"/>
              <w:spacing w:after="0"/>
              <w:ind w:firstLine="0"/>
              <w:rPr>
                <w:color w:val="000000" w:themeColor="text1"/>
                <w:lang w:val="en-US"/>
              </w:rPr>
            </w:pPr>
          </w:p>
        </w:tc>
        <w:tc>
          <w:tcPr>
            <w:tcW w:w="4206" w:type="dxa"/>
            <w:gridSpan w:val="3"/>
          </w:tcPr>
          <w:p w14:paraId="3D7180C9" w14:textId="77777777" w:rsidR="00A135C6" w:rsidRPr="00DC71E0"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A∙Feedback←A∙GenerateFeedback()</m:t>
                </m:r>
              </m:oMath>
            </m:oMathPara>
          </w:p>
        </w:tc>
      </w:tr>
      <w:tr w:rsidR="00A135C6" w:rsidRPr="00133FA3" w14:paraId="3AFB0047" w14:textId="77777777" w:rsidTr="00093E4E">
        <w:tc>
          <w:tcPr>
            <w:tcW w:w="745" w:type="dxa"/>
            <w:gridSpan w:val="4"/>
          </w:tcPr>
          <w:p w14:paraId="62D2F1A1" w14:textId="77777777" w:rsidR="00A135C6" w:rsidRPr="00133FA3" w:rsidRDefault="00A135C6" w:rsidP="00093E4E">
            <w:pPr>
              <w:pStyle w:val="BodyText"/>
              <w:spacing w:after="0"/>
              <w:ind w:firstLine="0"/>
              <w:rPr>
                <w:color w:val="000000" w:themeColor="text1"/>
                <w:lang w:val="en-US"/>
              </w:rPr>
            </w:pPr>
          </w:p>
        </w:tc>
        <w:tc>
          <w:tcPr>
            <w:tcW w:w="298" w:type="dxa"/>
          </w:tcPr>
          <w:p w14:paraId="518C932A" w14:textId="77777777" w:rsidR="00A135C6" w:rsidRPr="00133FA3" w:rsidRDefault="00A135C6" w:rsidP="00093E4E">
            <w:pPr>
              <w:pStyle w:val="BodyText"/>
              <w:spacing w:after="0"/>
              <w:ind w:firstLine="0"/>
              <w:rPr>
                <w:b/>
                <w:bCs/>
                <w:color w:val="000000" w:themeColor="text1"/>
                <w:lang w:val="en-US"/>
              </w:rPr>
            </w:pPr>
          </w:p>
        </w:tc>
        <w:tc>
          <w:tcPr>
            <w:tcW w:w="3705" w:type="dxa"/>
            <w:gridSpan w:val="2"/>
          </w:tcPr>
          <w:p w14:paraId="18F69EC2" w14:textId="77777777" w:rsidR="00A135C6" w:rsidRPr="00133FA3" w:rsidRDefault="00A135C6" w:rsidP="00093E4E">
            <w:pPr>
              <w:pStyle w:val="BodyText"/>
              <w:spacing w:after="0"/>
              <w:ind w:firstLine="0"/>
              <w:rPr>
                <w:b/>
                <w:bCs/>
                <w:color w:val="000000" w:themeColor="text1"/>
                <w:lang w:val="en-US"/>
              </w:rPr>
            </w:pPr>
            <w:r>
              <w:rPr>
                <w:b/>
                <w:bCs/>
                <w:color w:val="000000" w:themeColor="text1"/>
                <w:lang w:val="en-US"/>
              </w:rPr>
              <w:t xml:space="preserve">Send </w:t>
            </w:r>
            <m:oMath>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w:rPr>
                      <w:rFonts w:ascii="Cambria Math" w:hAnsi="Cambria Math"/>
                      <w:color w:val="000000" w:themeColor="text1"/>
                      <w:lang w:val="en-US"/>
                    </w:rPr>
                    <m:t>Feedback</m:t>
                  </m:r>
                </m:sub>
              </m:sSub>
              <m:r>
                <w:rPr>
                  <w:rFonts w:ascii="Cambria Math" w:hAnsi="Cambria Math"/>
                  <w:color w:val="000000" w:themeColor="text1"/>
                  <w:lang w:val="en-US"/>
                </w:rPr>
                <m:t>→C,G</m:t>
              </m:r>
            </m:oMath>
          </w:p>
        </w:tc>
        <w:tc>
          <w:tcPr>
            <w:tcW w:w="501" w:type="dxa"/>
          </w:tcPr>
          <w:p w14:paraId="48352C8D" w14:textId="77777777" w:rsidR="00A135C6" w:rsidRPr="00133FA3" w:rsidRDefault="00A135C6" w:rsidP="00093E4E">
            <w:pPr>
              <w:pStyle w:val="BodyText"/>
              <w:spacing w:after="0"/>
              <w:ind w:firstLine="0"/>
              <w:rPr>
                <w:color w:val="000000" w:themeColor="text1"/>
                <w:lang w:val="en-US"/>
              </w:rPr>
            </w:pPr>
          </w:p>
        </w:tc>
      </w:tr>
      <w:tr w:rsidR="00A135C6" w:rsidRPr="00133FA3" w14:paraId="05F317DB" w14:textId="77777777" w:rsidTr="00093E4E">
        <w:tc>
          <w:tcPr>
            <w:tcW w:w="745" w:type="dxa"/>
            <w:gridSpan w:val="4"/>
          </w:tcPr>
          <w:p w14:paraId="4A468294" w14:textId="77777777" w:rsidR="00A135C6" w:rsidRPr="00133FA3" w:rsidRDefault="00A135C6" w:rsidP="00093E4E">
            <w:pPr>
              <w:pStyle w:val="BodyText"/>
              <w:spacing w:after="0"/>
              <w:ind w:firstLine="0"/>
              <w:rPr>
                <w:color w:val="000000" w:themeColor="text1"/>
                <w:lang w:val="en-US"/>
              </w:rPr>
            </w:pPr>
          </w:p>
        </w:tc>
        <w:tc>
          <w:tcPr>
            <w:tcW w:w="4504" w:type="dxa"/>
            <w:gridSpan w:val="4"/>
          </w:tcPr>
          <w:p w14:paraId="0E0C38FE" w14:textId="77777777" w:rsidR="00A135C6" w:rsidRPr="00133FA3" w:rsidRDefault="00A135C6" w:rsidP="00093E4E">
            <w:pPr>
              <w:pStyle w:val="BodyText"/>
              <w:spacing w:after="0"/>
              <w:ind w:firstLine="0"/>
              <w:rPr>
                <w:b/>
                <w:bCs/>
                <w:color w:val="000000" w:themeColor="text1"/>
                <w:lang w:val="en-US"/>
              </w:rPr>
            </w:pPr>
            <w:r>
              <w:rPr>
                <w:b/>
                <w:bCs/>
                <w:color w:val="000000" w:themeColor="text1"/>
                <w:lang w:val="en-US"/>
              </w:rPr>
              <w:t>else</w:t>
            </w:r>
          </w:p>
        </w:tc>
      </w:tr>
      <w:tr w:rsidR="00A135C6" w:rsidRPr="00133FA3" w14:paraId="4B4C7742" w14:textId="77777777" w:rsidTr="00093E4E">
        <w:tc>
          <w:tcPr>
            <w:tcW w:w="1043" w:type="dxa"/>
            <w:gridSpan w:val="5"/>
          </w:tcPr>
          <w:p w14:paraId="59E6ED25" w14:textId="77777777" w:rsidR="00A135C6" w:rsidRPr="00133FA3" w:rsidRDefault="00A135C6" w:rsidP="00093E4E">
            <w:pPr>
              <w:pStyle w:val="BodyText"/>
              <w:spacing w:after="0"/>
              <w:ind w:firstLine="0"/>
              <w:rPr>
                <w:color w:val="000000" w:themeColor="text1"/>
                <w:lang w:val="en-US"/>
              </w:rPr>
            </w:pPr>
          </w:p>
        </w:tc>
        <w:tc>
          <w:tcPr>
            <w:tcW w:w="3705" w:type="dxa"/>
            <w:gridSpan w:val="2"/>
          </w:tcPr>
          <w:p w14:paraId="0B249450" w14:textId="77777777" w:rsidR="00A135C6" w:rsidRPr="00DC71E0" w:rsidRDefault="00A135C6" w:rsidP="00093E4E">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G∙Updatedecision(D)</m:t>
                </m:r>
              </m:oMath>
            </m:oMathPara>
          </w:p>
        </w:tc>
        <w:tc>
          <w:tcPr>
            <w:tcW w:w="501" w:type="dxa"/>
          </w:tcPr>
          <w:p w14:paraId="155A7BCF" w14:textId="77777777" w:rsidR="00A135C6" w:rsidRPr="00133FA3" w:rsidRDefault="00A135C6" w:rsidP="00093E4E">
            <w:pPr>
              <w:pStyle w:val="BodyText"/>
              <w:spacing w:after="0"/>
              <w:ind w:firstLine="0"/>
              <w:rPr>
                <w:color w:val="000000" w:themeColor="text1"/>
                <w:lang w:val="en-US"/>
              </w:rPr>
            </w:pPr>
          </w:p>
        </w:tc>
      </w:tr>
      <w:tr w:rsidR="00A135C6" w:rsidRPr="00133FA3" w14:paraId="66E758B4" w14:textId="77777777" w:rsidTr="00093E4E">
        <w:tc>
          <w:tcPr>
            <w:tcW w:w="528" w:type="dxa"/>
            <w:gridSpan w:val="3"/>
          </w:tcPr>
          <w:p w14:paraId="4F880E9E" w14:textId="77777777" w:rsidR="00A135C6" w:rsidRPr="00133FA3" w:rsidRDefault="00A135C6" w:rsidP="00093E4E">
            <w:pPr>
              <w:pStyle w:val="BodyText"/>
              <w:spacing w:after="0"/>
              <w:ind w:firstLine="0"/>
              <w:rPr>
                <w:color w:val="000000" w:themeColor="text1"/>
                <w:lang w:val="en-US"/>
              </w:rPr>
            </w:pPr>
          </w:p>
        </w:tc>
        <w:tc>
          <w:tcPr>
            <w:tcW w:w="515" w:type="dxa"/>
            <w:gridSpan w:val="2"/>
          </w:tcPr>
          <w:p w14:paraId="31A5B5F7" w14:textId="77777777" w:rsidR="00A135C6" w:rsidRPr="00133FA3" w:rsidRDefault="00A135C6" w:rsidP="00093E4E">
            <w:pPr>
              <w:pStyle w:val="BodyText"/>
              <w:spacing w:after="0"/>
              <w:ind w:firstLine="0"/>
              <w:rPr>
                <w:b/>
                <w:bCs/>
                <w:color w:val="000000" w:themeColor="text1"/>
                <w:lang w:val="en-US"/>
              </w:rPr>
            </w:pPr>
          </w:p>
        </w:tc>
        <w:tc>
          <w:tcPr>
            <w:tcW w:w="3705" w:type="dxa"/>
            <w:gridSpan w:val="2"/>
          </w:tcPr>
          <w:p w14:paraId="3D429428" w14:textId="77777777" w:rsidR="00A135C6" w:rsidRPr="00133FA3" w:rsidRDefault="00A135C6" w:rsidP="00093E4E">
            <w:pPr>
              <w:pStyle w:val="BodyText"/>
              <w:spacing w:after="0"/>
              <w:ind w:firstLine="0"/>
              <w:rPr>
                <w:b/>
                <w:bCs/>
                <w:color w:val="000000" w:themeColor="text1"/>
                <w:lang w:val="en-US"/>
              </w:rPr>
            </w:pPr>
            <w:r>
              <w:rPr>
                <w:b/>
                <w:bCs/>
                <w:color w:val="000000" w:themeColor="text1"/>
                <w:lang w:val="en-US"/>
              </w:rPr>
              <w:t xml:space="preserve">Notify </w:t>
            </w:r>
            <m:oMath>
              <m:r>
                <w:rPr>
                  <w:rFonts w:ascii="Cambria Math" w:hAnsi="Cambria Math"/>
                  <w:color w:val="000000" w:themeColor="text1"/>
                  <w:lang w:val="en-US"/>
                </w:rPr>
                <m:t>C</m:t>
              </m:r>
            </m:oMath>
            <w:r w:rsidRPr="00DC71E0">
              <w:rPr>
                <w:color w:val="000000" w:themeColor="text1"/>
                <w:lang w:val="en-US"/>
              </w:rPr>
              <w:t xml:space="preserve"> to refine </w:t>
            </w:r>
            <w:r>
              <w:rPr>
                <w:color w:val="000000" w:themeColor="text1"/>
                <w:lang w:val="en-US"/>
              </w:rPr>
              <w:t xml:space="preserve">the </w:t>
            </w:r>
            <w:r w:rsidRPr="00DC71E0">
              <w:rPr>
                <w:color w:val="000000" w:themeColor="text1"/>
                <w:lang w:val="en-US"/>
              </w:rPr>
              <w:t>decision process</w:t>
            </w:r>
          </w:p>
        </w:tc>
        <w:tc>
          <w:tcPr>
            <w:tcW w:w="501" w:type="dxa"/>
          </w:tcPr>
          <w:p w14:paraId="3E3A8AB0" w14:textId="77777777" w:rsidR="00A135C6" w:rsidRPr="00133FA3" w:rsidRDefault="00A135C6" w:rsidP="00093E4E">
            <w:pPr>
              <w:pStyle w:val="BodyText"/>
              <w:spacing w:after="0"/>
              <w:ind w:firstLine="0"/>
              <w:rPr>
                <w:color w:val="000000" w:themeColor="text1"/>
                <w:lang w:val="en-US"/>
              </w:rPr>
            </w:pPr>
          </w:p>
        </w:tc>
      </w:tr>
      <w:tr w:rsidR="00A135C6" w:rsidRPr="00133FA3" w14:paraId="2DC0CF09" w14:textId="77777777" w:rsidTr="00093E4E">
        <w:tc>
          <w:tcPr>
            <w:tcW w:w="528" w:type="dxa"/>
            <w:gridSpan w:val="3"/>
          </w:tcPr>
          <w:p w14:paraId="5442D844" w14:textId="77777777" w:rsidR="00A135C6" w:rsidRPr="00133FA3" w:rsidRDefault="00A135C6" w:rsidP="00093E4E">
            <w:pPr>
              <w:pStyle w:val="BodyText"/>
              <w:spacing w:after="0"/>
              <w:ind w:firstLine="0"/>
              <w:rPr>
                <w:color w:val="000000" w:themeColor="text1"/>
                <w:lang w:val="en-US"/>
              </w:rPr>
            </w:pPr>
          </w:p>
        </w:tc>
        <w:tc>
          <w:tcPr>
            <w:tcW w:w="4220" w:type="dxa"/>
            <w:gridSpan w:val="4"/>
          </w:tcPr>
          <w:p w14:paraId="236F919B" w14:textId="77777777" w:rsidR="00A135C6" w:rsidRPr="00133FA3" w:rsidRDefault="00A135C6" w:rsidP="00093E4E">
            <w:pPr>
              <w:pStyle w:val="BodyText"/>
              <w:spacing w:after="0"/>
              <w:ind w:firstLine="0"/>
              <w:rPr>
                <w:b/>
                <w:bCs/>
                <w:color w:val="000000" w:themeColor="text1"/>
                <w:lang w:val="en-US"/>
              </w:rPr>
            </w:pPr>
            <w:r>
              <w:rPr>
                <w:b/>
                <w:bCs/>
                <w:color w:val="000000" w:themeColor="text1"/>
                <w:lang w:val="en-US"/>
              </w:rPr>
              <w:t>end if</w:t>
            </w:r>
          </w:p>
        </w:tc>
        <w:tc>
          <w:tcPr>
            <w:tcW w:w="501" w:type="dxa"/>
          </w:tcPr>
          <w:p w14:paraId="0A31A62D" w14:textId="77777777" w:rsidR="00A135C6" w:rsidRPr="00133FA3" w:rsidRDefault="00A135C6" w:rsidP="00093E4E">
            <w:pPr>
              <w:pStyle w:val="BodyText"/>
              <w:spacing w:after="0"/>
              <w:ind w:firstLine="0"/>
              <w:rPr>
                <w:color w:val="000000" w:themeColor="text1"/>
                <w:lang w:val="en-US"/>
              </w:rPr>
            </w:pPr>
          </w:p>
        </w:tc>
      </w:tr>
      <w:tr w:rsidR="00A135C6" w:rsidRPr="00133FA3" w14:paraId="6D3A6BE1" w14:textId="77777777" w:rsidTr="00093E4E">
        <w:tc>
          <w:tcPr>
            <w:tcW w:w="528" w:type="dxa"/>
            <w:gridSpan w:val="3"/>
          </w:tcPr>
          <w:p w14:paraId="58D35912" w14:textId="77777777" w:rsidR="00A135C6" w:rsidRPr="00133FA3" w:rsidRDefault="00A135C6" w:rsidP="00093E4E">
            <w:pPr>
              <w:pStyle w:val="BodyText"/>
              <w:spacing w:after="0"/>
              <w:ind w:firstLine="0"/>
              <w:rPr>
                <w:color w:val="000000" w:themeColor="text1"/>
                <w:lang w:val="en-US"/>
              </w:rPr>
            </w:pPr>
          </w:p>
        </w:tc>
        <w:tc>
          <w:tcPr>
            <w:tcW w:w="4721" w:type="dxa"/>
            <w:gridSpan w:val="5"/>
          </w:tcPr>
          <w:p w14:paraId="3F0CE859" w14:textId="77777777" w:rsidR="00A135C6" w:rsidRPr="00445B2F" w:rsidRDefault="00A135C6" w:rsidP="00093E4E">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G.LogDecision(D,outcome,Compilence status)</m:t>
                </m:r>
              </m:oMath>
            </m:oMathPara>
          </w:p>
        </w:tc>
      </w:tr>
      <w:tr w:rsidR="00A135C6" w:rsidRPr="00133FA3" w14:paraId="5A01B361" w14:textId="77777777" w:rsidTr="00093E4E">
        <w:tc>
          <w:tcPr>
            <w:tcW w:w="250" w:type="dxa"/>
          </w:tcPr>
          <w:p w14:paraId="754996DD" w14:textId="77777777" w:rsidR="00A135C6" w:rsidRPr="00133FA3" w:rsidRDefault="00A135C6" w:rsidP="00093E4E">
            <w:pPr>
              <w:pStyle w:val="BodyText"/>
              <w:spacing w:after="0"/>
              <w:ind w:firstLine="0"/>
              <w:rPr>
                <w:color w:val="000000" w:themeColor="text1"/>
                <w:lang w:val="en-US"/>
              </w:rPr>
            </w:pPr>
          </w:p>
        </w:tc>
        <w:tc>
          <w:tcPr>
            <w:tcW w:w="1651" w:type="dxa"/>
            <w:gridSpan w:val="5"/>
          </w:tcPr>
          <w:p w14:paraId="232D8D81" w14:textId="77777777" w:rsidR="00A135C6" w:rsidRPr="00133FA3" w:rsidRDefault="00A135C6" w:rsidP="00093E4E">
            <w:pPr>
              <w:pStyle w:val="BodyText"/>
              <w:spacing w:after="0"/>
              <w:ind w:firstLine="0"/>
              <w:rPr>
                <w:b/>
                <w:bCs/>
                <w:color w:val="000000" w:themeColor="text1"/>
                <w:lang w:val="en-US"/>
              </w:rPr>
            </w:pPr>
            <w:r>
              <w:rPr>
                <w:b/>
                <w:bCs/>
                <w:color w:val="000000" w:themeColor="text1"/>
                <w:lang w:val="en-US"/>
              </w:rPr>
              <w:t>end while</w:t>
            </w:r>
          </w:p>
        </w:tc>
        <w:tc>
          <w:tcPr>
            <w:tcW w:w="2847" w:type="dxa"/>
          </w:tcPr>
          <w:p w14:paraId="259A5306" w14:textId="77777777" w:rsidR="00A135C6" w:rsidRPr="00133FA3" w:rsidRDefault="00A135C6" w:rsidP="00093E4E">
            <w:pPr>
              <w:pStyle w:val="BodyText"/>
              <w:spacing w:after="0"/>
              <w:ind w:firstLine="0"/>
              <w:rPr>
                <w:b/>
                <w:bCs/>
                <w:color w:val="000000" w:themeColor="text1"/>
                <w:lang w:val="en-US"/>
              </w:rPr>
            </w:pPr>
          </w:p>
        </w:tc>
        <w:tc>
          <w:tcPr>
            <w:tcW w:w="501" w:type="dxa"/>
          </w:tcPr>
          <w:p w14:paraId="2C6FD9C2" w14:textId="77777777" w:rsidR="00A135C6" w:rsidRPr="00133FA3" w:rsidRDefault="00A135C6" w:rsidP="00093E4E">
            <w:pPr>
              <w:pStyle w:val="BodyText"/>
              <w:spacing w:after="0"/>
              <w:ind w:firstLine="0"/>
              <w:rPr>
                <w:color w:val="000000" w:themeColor="text1"/>
                <w:lang w:val="en-US"/>
              </w:rPr>
            </w:pPr>
          </w:p>
        </w:tc>
      </w:tr>
    </w:tbl>
    <w:p w14:paraId="7106FBC6" w14:textId="4F8F1B2B" w:rsidR="006C13D0" w:rsidRDefault="006C13D0" w:rsidP="004C24CC">
      <w:pPr>
        <w:pStyle w:val="BodyText"/>
        <w:ind w:firstLine="0"/>
        <w:rPr>
          <w:color w:val="000000" w:themeColor="text1"/>
          <w:lang w:val="en-US"/>
        </w:rPr>
      </w:pPr>
    </w:p>
    <w:p w14:paraId="149AC213" w14:textId="3BFC03B4" w:rsidR="00090033" w:rsidRPr="004D5D0E" w:rsidRDefault="00090033" w:rsidP="00090033">
      <w:pPr>
        <w:pStyle w:val="BodyText"/>
        <w:ind w:firstLine="0"/>
        <w:rPr>
          <w:color w:val="000000" w:themeColor="text1"/>
          <w:lang w:val="en-IN"/>
        </w:rPr>
      </w:pPr>
      <w:r>
        <w:rPr>
          <w:color w:val="000000" w:themeColor="text1"/>
        </w:rPr>
        <w:t>Conversations among the cognitive</w:t>
      </w:r>
      <w:r w:rsidRPr="00702FE3">
        <w:rPr>
          <w:color w:val="000000" w:themeColor="text1"/>
        </w:rPr>
        <w:t xml:space="preserve"> and interaction </w:t>
      </w:r>
      <w:r>
        <w:rPr>
          <w:color w:val="000000" w:themeColor="text1"/>
        </w:rPr>
        <w:t>layers</w:t>
      </w:r>
      <w:r w:rsidRPr="00702FE3">
        <w:rPr>
          <w:color w:val="000000" w:themeColor="text1"/>
        </w:rPr>
        <w:t xml:space="preserve"> </w:t>
      </w:r>
      <w:r>
        <w:rPr>
          <w:color w:val="000000" w:themeColor="text1"/>
        </w:rPr>
        <w:t>is critically, making</w:t>
      </w:r>
      <w:r w:rsidRPr="00702FE3">
        <w:rPr>
          <w:color w:val="000000" w:themeColor="text1"/>
        </w:rPr>
        <w:t xml:space="preserve"> </w:t>
      </w:r>
      <w:r>
        <w:rPr>
          <w:color w:val="000000" w:themeColor="text1"/>
          <w:lang w:val="en-US"/>
        </w:rPr>
        <w:t>A</w:t>
      </w:r>
      <w:r w:rsidRPr="00702FE3">
        <w:rPr>
          <w:color w:val="000000" w:themeColor="text1"/>
        </w:rPr>
        <w:t>AI systems more human</w:t>
      </w:r>
      <w:r>
        <w:rPr>
          <w:color w:val="000000" w:themeColor="text1"/>
        </w:rPr>
        <w:t xml:space="preserve"> </w:t>
      </w:r>
      <w:proofErr w:type="spellStart"/>
      <w:r w:rsidRPr="00702FE3">
        <w:rPr>
          <w:color w:val="000000" w:themeColor="text1"/>
        </w:rPr>
        <w:t>centered</w:t>
      </w:r>
      <w:proofErr w:type="spellEnd"/>
      <w:r w:rsidRPr="00702FE3">
        <w:rPr>
          <w:color w:val="000000" w:themeColor="text1"/>
        </w:rPr>
        <w:t xml:space="preserve"> and effective. cognitive layer</w:t>
      </w:r>
      <w:r>
        <w:rPr>
          <w:color w:val="000000" w:themeColor="text1"/>
          <w:lang w:val="en-US"/>
        </w:rPr>
        <w:t xml:space="preserve"> would</w:t>
      </w:r>
      <w:r w:rsidRPr="00702FE3">
        <w:rPr>
          <w:color w:val="000000" w:themeColor="text1"/>
        </w:rPr>
        <w:t xml:space="preserve"> process</w:t>
      </w:r>
      <w:r>
        <w:rPr>
          <w:color w:val="000000" w:themeColor="text1"/>
          <w:lang w:val="en-US"/>
        </w:rPr>
        <w:t xml:space="preserve"> the</w:t>
      </w:r>
      <w:r w:rsidRPr="00702FE3">
        <w:rPr>
          <w:color w:val="000000" w:themeColor="text1"/>
        </w:rPr>
        <w:t xml:space="preserve"> </w:t>
      </w:r>
      <w:r>
        <w:rPr>
          <w:color w:val="000000" w:themeColor="text1"/>
          <w:lang w:val="en-US"/>
        </w:rPr>
        <w:t xml:space="preserve">acquired </w:t>
      </w:r>
      <w:r w:rsidRPr="00702FE3">
        <w:rPr>
          <w:color w:val="000000" w:themeColor="text1"/>
        </w:rPr>
        <w:t xml:space="preserve">data, </w:t>
      </w:r>
      <w:r>
        <w:rPr>
          <w:color w:val="000000" w:themeColor="text1"/>
        </w:rPr>
        <w:t>perform</w:t>
      </w:r>
      <w:r w:rsidRPr="00702FE3">
        <w:rPr>
          <w:color w:val="000000" w:themeColor="text1"/>
        </w:rPr>
        <w:t xml:space="preserve"> reasoning, and </w:t>
      </w:r>
      <w:r>
        <w:rPr>
          <w:color w:val="000000" w:themeColor="text1"/>
        </w:rPr>
        <w:t>generate</w:t>
      </w:r>
      <w:r w:rsidRPr="00702FE3">
        <w:rPr>
          <w:color w:val="000000" w:themeColor="text1"/>
        </w:rPr>
        <w:t xml:space="preserve"> decisions</w:t>
      </w:r>
      <w:r>
        <w:rPr>
          <w:color w:val="000000" w:themeColor="text1"/>
        </w:rPr>
        <w:t>. In contrast,</w:t>
      </w:r>
      <w:r w:rsidRPr="00702FE3">
        <w:rPr>
          <w:color w:val="000000" w:themeColor="text1"/>
        </w:rPr>
        <w:t xml:space="preserve"> the interaction layer ensures these decisions are clearly conveyed to human users </w:t>
      </w:r>
      <w:r>
        <w:rPr>
          <w:color w:val="000000" w:themeColor="text1"/>
          <w:lang w:val="en-US"/>
        </w:rPr>
        <w:t>and the</w:t>
      </w:r>
      <w:r w:rsidRPr="00702FE3">
        <w:rPr>
          <w:color w:val="000000" w:themeColor="text1"/>
        </w:rPr>
        <w:t xml:space="preserve"> external systems</w:t>
      </w:r>
      <w:r>
        <w:rPr>
          <w:color w:val="000000" w:themeColor="text1"/>
        </w:rPr>
        <w:t xml:space="preserve"> [8]</w:t>
      </w:r>
      <w:r w:rsidRPr="00702FE3">
        <w:rPr>
          <w:color w:val="000000" w:themeColor="text1"/>
        </w:rPr>
        <w:t xml:space="preserve">. This communication happens through interfaces such as dashboards, natural language processing, or multimodal systems that translate complex cognitive outputs into understandable insights </w:t>
      </w:r>
      <w:r>
        <w:rPr>
          <w:color w:val="000000" w:themeColor="text1"/>
          <w:lang w:val="en-US"/>
        </w:rPr>
        <w:t>and</w:t>
      </w:r>
      <w:r w:rsidRPr="00702FE3">
        <w:rPr>
          <w:color w:val="000000" w:themeColor="text1"/>
        </w:rPr>
        <w:t xml:space="preserve"> actionable instructions</w:t>
      </w:r>
      <w:r>
        <w:rPr>
          <w:color w:val="000000" w:themeColor="text1"/>
        </w:rPr>
        <w:t xml:space="preserve"> </w:t>
      </w:r>
      <w:r w:rsidRPr="00702FE3">
        <w:rPr>
          <w:color w:val="000000" w:themeColor="text1"/>
        </w:rPr>
        <w:t xml:space="preserve">. </w:t>
      </w:r>
      <w:r w:rsidRPr="004D5D0E">
        <w:rPr>
          <w:color w:val="000000" w:themeColor="text1"/>
          <w:lang w:val="en-IN"/>
        </w:rPr>
        <w:t>The input from end users, as well as operators, gathered through the interaction layer is communicated to the cognitive layer, which helps in making more precise decisions, thereby facilitating the adaptation of strategies to increase the accuracy</w:t>
      </w:r>
      <w:r>
        <w:rPr>
          <w:color w:val="000000" w:themeColor="text1"/>
          <w:lang w:val="en-IN"/>
        </w:rPr>
        <w:t xml:space="preserve"> </w:t>
      </w:r>
      <w:r w:rsidRPr="004D5D0E">
        <w:rPr>
          <w:color w:val="000000" w:themeColor="text1"/>
          <w:lang w:val="en-IN"/>
        </w:rPr>
        <w:t>. This uninterrupted flow of data constitutes the basis of the efficient collaboration between humans and AI and fosters trust and enhances the usability in Industry 5.0 settings</w:t>
      </w:r>
      <w:r>
        <w:rPr>
          <w:color w:val="000000" w:themeColor="text1"/>
          <w:lang w:val="en-IN"/>
        </w:rPr>
        <w:t xml:space="preserve"> [7]</w:t>
      </w:r>
      <w:r w:rsidRPr="004D5D0E">
        <w:rPr>
          <w:color w:val="000000" w:themeColor="text1"/>
          <w:lang w:val="en-IN"/>
        </w:rPr>
        <w:t>.</w:t>
      </w:r>
    </w:p>
    <w:p w14:paraId="19DCAE53" w14:textId="41906656" w:rsidR="002B2A88" w:rsidRPr="002C05F9" w:rsidRDefault="002B2A88" w:rsidP="002B2A88">
      <w:pPr>
        <w:pStyle w:val="tablehead"/>
        <w:numPr>
          <w:ilvl w:val="0"/>
          <w:numId w:val="9"/>
        </w:numPr>
        <w:rPr>
          <w:color w:val="000000" w:themeColor="text1"/>
        </w:rPr>
      </w:pPr>
      <w:r w:rsidRPr="002C05F9">
        <w:rPr>
          <w:color w:val="000000" w:themeColor="text1"/>
        </w:rPr>
        <w:t>Algorithm for communicati</w:t>
      </w:r>
      <w:r>
        <w:rPr>
          <w:color w:val="000000" w:themeColor="text1"/>
        </w:rPr>
        <w:t>ng to the Interface Layer</w:t>
      </w:r>
    </w:p>
    <w:tbl>
      <w:tblPr>
        <w:tblStyle w:val="TableGrid"/>
        <w:tblW w:w="5098" w:type="dxa"/>
        <w:tblBorders>
          <w:insideH w:val="none" w:sz="0" w:space="0" w:color="auto"/>
          <w:insideV w:val="none" w:sz="0" w:space="0" w:color="auto"/>
        </w:tblBorders>
        <w:tblLook w:val="04A0" w:firstRow="1" w:lastRow="0" w:firstColumn="1" w:lastColumn="0" w:noHBand="0" w:noVBand="1"/>
      </w:tblPr>
      <w:tblGrid>
        <w:gridCol w:w="250"/>
        <w:gridCol w:w="17"/>
        <w:gridCol w:w="261"/>
        <w:gridCol w:w="217"/>
        <w:gridCol w:w="298"/>
        <w:gridCol w:w="858"/>
        <w:gridCol w:w="2847"/>
        <w:gridCol w:w="350"/>
      </w:tblGrid>
      <w:tr w:rsidR="002B2A88" w:rsidRPr="00133FA3" w14:paraId="3E4123FC" w14:textId="77777777" w:rsidTr="00A135C6">
        <w:tc>
          <w:tcPr>
            <w:tcW w:w="5098" w:type="dxa"/>
            <w:gridSpan w:val="8"/>
            <w:tcBorders>
              <w:top w:val="single" w:sz="4" w:space="0" w:color="auto"/>
              <w:bottom w:val="single" w:sz="4" w:space="0" w:color="auto"/>
            </w:tcBorders>
            <w:shd w:val="clear" w:color="auto" w:fill="D9D9D9" w:themeFill="background1" w:themeFillShade="D9"/>
          </w:tcPr>
          <w:p w14:paraId="42186E02" w14:textId="3362B21D" w:rsidR="002B2A88" w:rsidRPr="00133FA3" w:rsidRDefault="008A2214" w:rsidP="007B5944">
            <w:pPr>
              <w:pStyle w:val="BodyText"/>
              <w:spacing w:after="0"/>
              <w:ind w:firstLine="0"/>
              <w:rPr>
                <w:color w:val="000000" w:themeColor="text1"/>
                <w:lang w:val="en-US"/>
              </w:rPr>
            </w:pPr>
            <w:r>
              <w:rPr>
                <w:color w:val="000000" w:themeColor="text1"/>
                <w:lang w:val="en-US"/>
              </w:rPr>
              <w:t xml:space="preserve">Procedure </w:t>
            </w:r>
            <w:r w:rsidR="00EA3200">
              <w:rPr>
                <w:color w:val="000000" w:themeColor="text1"/>
                <w:lang w:val="en-US"/>
              </w:rPr>
              <w:t>3</w:t>
            </w:r>
            <w:r w:rsidR="002B2A88" w:rsidRPr="00133FA3">
              <w:rPr>
                <w:color w:val="000000" w:themeColor="text1"/>
                <w:lang w:val="en-US"/>
              </w:rPr>
              <w:t>: Co</w:t>
            </w:r>
            <w:r>
              <w:rPr>
                <w:color w:val="000000" w:themeColor="text1"/>
                <w:lang w:val="en-US"/>
              </w:rPr>
              <w:t>mmunication</w:t>
            </w:r>
            <w:r w:rsidR="002B2A88" w:rsidRPr="00133FA3">
              <w:rPr>
                <w:color w:val="000000" w:themeColor="text1"/>
                <w:lang w:val="en-US"/>
              </w:rPr>
              <w:t xml:space="preserve"> among cognitive</w:t>
            </w:r>
            <w:r w:rsidR="002B2A88">
              <w:rPr>
                <w:color w:val="000000" w:themeColor="text1"/>
                <w:lang w:val="en-US"/>
              </w:rPr>
              <w:t>, adaptation</w:t>
            </w:r>
            <w:r w:rsidR="006310DE">
              <w:rPr>
                <w:color w:val="000000" w:themeColor="text1"/>
                <w:lang w:val="en-US"/>
              </w:rPr>
              <w:t>,</w:t>
            </w:r>
            <w:r w:rsidR="002B2A88">
              <w:rPr>
                <w:color w:val="000000" w:themeColor="text1"/>
                <w:lang w:val="en-US"/>
              </w:rPr>
              <w:t xml:space="preserve"> and governance layers</w:t>
            </w:r>
          </w:p>
        </w:tc>
      </w:tr>
      <w:tr w:rsidR="002B2A88" w:rsidRPr="00133FA3" w14:paraId="1374FAE6" w14:textId="77777777" w:rsidTr="00A135C6">
        <w:tc>
          <w:tcPr>
            <w:tcW w:w="5098" w:type="dxa"/>
            <w:gridSpan w:val="8"/>
            <w:tcBorders>
              <w:top w:val="single" w:sz="4" w:space="0" w:color="auto"/>
            </w:tcBorders>
          </w:tcPr>
          <w:p w14:paraId="640E4B8B" w14:textId="6B0DFD10" w:rsidR="002B2A88" w:rsidRPr="00133FA3" w:rsidRDefault="002B2A88" w:rsidP="007B5944">
            <w:pPr>
              <w:pStyle w:val="BodyText"/>
              <w:spacing w:after="0"/>
              <w:ind w:firstLine="0"/>
              <w:rPr>
                <w:b/>
                <w:bCs/>
                <w:color w:val="000000" w:themeColor="text1"/>
                <w:lang w:val="en-US"/>
              </w:rPr>
            </w:pPr>
            <w:r w:rsidRPr="00133FA3">
              <w:rPr>
                <w:b/>
                <w:bCs/>
                <w:color w:val="000000" w:themeColor="text1"/>
                <w:lang w:val="en-US"/>
              </w:rPr>
              <w:t xml:space="preserve">Input: </w:t>
            </w:r>
            <w:r w:rsidR="00145EC9" w:rsidRPr="00145EC9">
              <w:rPr>
                <w:color w:val="000000" w:themeColor="text1"/>
                <w:lang w:val="en-US"/>
              </w:rPr>
              <w:t xml:space="preserve">Decision </w:t>
            </w:r>
            <m:oMath>
              <m:r>
                <w:rPr>
                  <w:rFonts w:ascii="Cambria Math" w:hAnsi="Cambria Math"/>
                  <w:color w:val="000000" w:themeColor="text1"/>
                  <w:lang w:val="en-US"/>
                </w:rPr>
                <m:t>D</m:t>
              </m:r>
            </m:oMath>
            <w:r w:rsidR="00145EC9" w:rsidRPr="00145EC9">
              <w:rPr>
                <w:color w:val="000000" w:themeColor="text1"/>
                <w:lang w:val="en-US"/>
              </w:rPr>
              <w:t xml:space="preserve"> from Cognitive Layer</w:t>
            </w:r>
          </w:p>
        </w:tc>
      </w:tr>
      <w:tr w:rsidR="002B2A88" w:rsidRPr="00133FA3" w14:paraId="15A823B1" w14:textId="77777777" w:rsidTr="00A135C6">
        <w:tc>
          <w:tcPr>
            <w:tcW w:w="5098" w:type="dxa"/>
            <w:gridSpan w:val="8"/>
          </w:tcPr>
          <w:p w14:paraId="23BFF1B3" w14:textId="37751179" w:rsidR="002B2A88" w:rsidRPr="00133FA3" w:rsidRDefault="002B2A88" w:rsidP="007B5944">
            <w:pPr>
              <w:pStyle w:val="BodyText"/>
              <w:spacing w:after="0"/>
              <w:ind w:firstLine="0"/>
              <w:rPr>
                <w:b/>
                <w:bCs/>
                <w:color w:val="000000" w:themeColor="text1"/>
                <w:lang w:val="en-US"/>
              </w:rPr>
            </w:pPr>
            <w:r w:rsidRPr="00133FA3">
              <w:rPr>
                <w:b/>
                <w:bCs/>
                <w:color w:val="000000" w:themeColor="text1"/>
                <w:lang w:val="en-US"/>
              </w:rPr>
              <w:t xml:space="preserve">Output: </w:t>
            </w:r>
            <w:r w:rsidR="00145EC9" w:rsidRPr="00145EC9">
              <w:rPr>
                <w:color w:val="000000" w:themeColor="text1"/>
                <w:lang w:val="en-US"/>
              </w:rPr>
              <w:t>User Instructions</w:t>
            </w:r>
            <w:r w:rsidR="00B6357B">
              <w:rPr>
                <w:color w:val="000000" w:themeColor="text1"/>
                <w:lang w:val="en-US"/>
              </w:rPr>
              <w:t xml:space="preserve"> </w:t>
            </w:r>
            <m:oMath>
              <m:r>
                <w:rPr>
                  <w:rFonts w:ascii="Cambria Math" w:hAnsi="Cambria Math"/>
                  <w:color w:val="000000" w:themeColor="text1"/>
                  <w:lang w:val="en-US"/>
                </w:rPr>
                <m:t>U</m:t>
              </m:r>
            </m:oMath>
            <w:r w:rsidR="00145EC9" w:rsidRPr="00145EC9">
              <w:rPr>
                <w:color w:val="000000" w:themeColor="text1"/>
                <w:lang w:val="en-US"/>
              </w:rPr>
              <w:t xml:space="preserve"> through Interaction Layer</w:t>
            </w:r>
          </w:p>
        </w:tc>
      </w:tr>
      <w:tr w:rsidR="002B2A88" w:rsidRPr="00133FA3" w14:paraId="0ADA728C" w14:textId="77777777" w:rsidTr="00A135C6">
        <w:tc>
          <w:tcPr>
            <w:tcW w:w="5098" w:type="dxa"/>
            <w:gridSpan w:val="8"/>
          </w:tcPr>
          <w:p w14:paraId="6E6DF199" w14:textId="4B3B3688" w:rsidR="002B2A88" w:rsidRPr="00133FA3" w:rsidRDefault="002B2A88" w:rsidP="007B5944">
            <w:pPr>
              <w:pStyle w:val="BodyText"/>
              <w:spacing w:after="0"/>
              <w:ind w:left="993" w:hanging="993"/>
              <w:rPr>
                <w:color w:val="000000" w:themeColor="text1"/>
                <w:lang w:val="en-US"/>
              </w:rPr>
            </w:pPr>
            <w:r w:rsidRPr="00133FA3">
              <w:rPr>
                <w:b/>
                <w:bCs/>
                <w:color w:val="000000" w:themeColor="text1"/>
                <w:lang w:val="en-US"/>
              </w:rPr>
              <w:t xml:space="preserve">Initialize </w:t>
            </w:r>
            <w:r w:rsidRPr="00133FA3">
              <w:rPr>
                <w:color w:val="000000" w:themeColor="text1"/>
                <w:lang w:val="en-US"/>
              </w:rPr>
              <w:t xml:space="preserve">Cognitive Layer </w:t>
            </w:r>
            <m:oMath>
              <m:r>
                <w:rPr>
                  <w:rFonts w:ascii="Cambria Math" w:hAnsi="Cambria Math"/>
                  <w:color w:val="000000" w:themeColor="text1"/>
                  <w:lang w:val="en-US"/>
                </w:rPr>
                <m:t>C</m:t>
              </m:r>
            </m:oMath>
            <w:r>
              <w:rPr>
                <w:color w:val="000000" w:themeColor="text1"/>
                <w:lang w:val="en-US"/>
              </w:rPr>
              <w:t xml:space="preserve">, </w:t>
            </w:r>
            <w:r w:rsidR="00DC44E0">
              <w:rPr>
                <w:color w:val="000000" w:themeColor="text1"/>
                <w:lang w:val="en-US"/>
              </w:rPr>
              <w:t>Adaptation</w:t>
            </w:r>
            <w:r>
              <w:rPr>
                <w:color w:val="000000" w:themeColor="text1"/>
                <w:lang w:val="en-US"/>
              </w:rPr>
              <w:t xml:space="preserve"> Layer </w:t>
            </w:r>
            <m:oMath>
              <m:r>
                <w:rPr>
                  <w:rFonts w:ascii="Cambria Math" w:hAnsi="Cambria Math"/>
                  <w:color w:val="000000" w:themeColor="text1"/>
                  <w:lang w:val="en-US"/>
                </w:rPr>
                <m:t>A,</m:t>
              </m:r>
            </m:oMath>
            <w:r>
              <w:rPr>
                <w:color w:val="000000" w:themeColor="text1"/>
                <w:lang w:val="en-US"/>
              </w:rPr>
              <w:t xml:space="preserve"> and Governance </w:t>
            </w:r>
            <w:r w:rsidR="00DC44E0">
              <w:rPr>
                <w:color w:val="000000" w:themeColor="text1"/>
                <w:lang w:val="en-US"/>
              </w:rPr>
              <w:t>Layer</w:t>
            </w:r>
            <w:r>
              <w:rPr>
                <w:color w:val="000000" w:themeColor="text1"/>
                <w:lang w:val="en-US"/>
              </w:rPr>
              <w:t xml:space="preserve"> </w:t>
            </w:r>
            <m:oMath>
              <m:r>
                <w:rPr>
                  <w:rFonts w:ascii="Cambria Math" w:hAnsi="Cambria Math"/>
                  <w:color w:val="000000" w:themeColor="text1"/>
                  <w:lang w:val="en-US"/>
                </w:rPr>
                <m:t>G</m:t>
              </m:r>
            </m:oMath>
          </w:p>
        </w:tc>
      </w:tr>
      <w:tr w:rsidR="002B2A88" w:rsidRPr="00133FA3" w14:paraId="23E93169" w14:textId="77777777" w:rsidTr="00A135C6">
        <w:tc>
          <w:tcPr>
            <w:tcW w:w="267" w:type="dxa"/>
            <w:gridSpan w:val="2"/>
          </w:tcPr>
          <w:p w14:paraId="796910FD" w14:textId="77777777" w:rsidR="002B2A88" w:rsidRPr="00133FA3" w:rsidRDefault="002B2A88" w:rsidP="007B5944">
            <w:pPr>
              <w:pStyle w:val="BodyText"/>
              <w:spacing w:after="0"/>
              <w:ind w:firstLine="0"/>
              <w:rPr>
                <w:color w:val="000000" w:themeColor="text1"/>
                <w:lang w:val="en-US"/>
              </w:rPr>
            </w:pPr>
          </w:p>
        </w:tc>
        <w:tc>
          <w:tcPr>
            <w:tcW w:w="4481" w:type="dxa"/>
            <w:gridSpan w:val="5"/>
          </w:tcPr>
          <w:p w14:paraId="4EBDB996" w14:textId="26DCFD5A" w:rsidR="002B2A88" w:rsidRPr="00133FA3" w:rsidRDefault="00DC44E0" w:rsidP="007B5944">
            <w:pPr>
              <w:pStyle w:val="BodyText"/>
              <w:spacing w:after="0"/>
              <w:ind w:firstLine="0"/>
              <w:rPr>
                <w:color w:val="000000" w:themeColor="text1"/>
                <w:lang w:val="en-US"/>
              </w:rPr>
            </w:pPr>
            <w:r>
              <w:rPr>
                <w:b/>
                <w:bCs/>
                <w:color w:val="000000" w:themeColor="text1"/>
                <w:lang w:val="en-US"/>
              </w:rPr>
              <w:t>While</w:t>
            </w:r>
            <w:r w:rsidR="002B2A88" w:rsidRPr="00133FA3">
              <w:rPr>
                <w:color w:val="000000" w:themeColor="text1"/>
                <w:lang w:val="en-US"/>
              </w:rPr>
              <w:t xml:space="preserve"> </w:t>
            </w:r>
            <w:r>
              <w:rPr>
                <w:color w:val="000000" w:themeColor="text1"/>
                <w:lang w:val="en-US"/>
              </w:rPr>
              <w:t xml:space="preserve">the </w:t>
            </w:r>
            <w:r w:rsidR="002B2A88" w:rsidRPr="00133FA3">
              <w:rPr>
                <w:color w:val="000000" w:themeColor="text1"/>
                <w:lang w:val="en-US"/>
              </w:rPr>
              <w:t>system is active</w:t>
            </w:r>
            <w:r w:rsidR="00D86A90">
              <w:rPr>
                <w:color w:val="000000" w:themeColor="text1"/>
                <w:lang w:val="en-US"/>
              </w:rPr>
              <w:t>,</w:t>
            </w:r>
            <w:r w:rsidR="002B2A88" w:rsidRPr="00133FA3">
              <w:rPr>
                <w:color w:val="000000" w:themeColor="text1"/>
                <w:lang w:val="en-US"/>
              </w:rPr>
              <w:t xml:space="preserve"> </w:t>
            </w:r>
            <w:r w:rsidR="002B2A88" w:rsidRPr="00133FA3">
              <w:rPr>
                <w:b/>
                <w:bCs/>
                <w:color w:val="000000" w:themeColor="text1"/>
                <w:lang w:val="en-US"/>
              </w:rPr>
              <w:t>do</w:t>
            </w:r>
          </w:p>
        </w:tc>
        <w:tc>
          <w:tcPr>
            <w:tcW w:w="350" w:type="dxa"/>
          </w:tcPr>
          <w:p w14:paraId="5F859D1C" w14:textId="77777777" w:rsidR="002B2A88" w:rsidRPr="00133FA3" w:rsidRDefault="002B2A88" w:rsidP="007B5944">
            <w:pPr>
              <w:pStyle w:val="BodyText"/>
              <w:spacing w:after="0"/>
              <w:ind w:firstLine="0"/>
              <w:rPr>
                <w:color w:val="000000" w:themeColor="text1"/>
                <w:lang w:val="en-US"/>
              </w:rPr>
            </w:pPr>
          </w:p>
        </w:tc>
      </w:tr>
      <w:tr w:rsidR="002B2A88" w:rsidRPr="00133FA3" w14:paraId="7998B981" w14:textId="77777777" w:rsidTr="00A135C6">
        <w:tc>
          <w:tcPr>
            <w:tcW w:w="528" w:type="dxa"/>
            <w:gridSpan w:val="3"/>
          </w:tcPr>
          <w:p w14:paraId="441954BF" w14:textId="77777777" w:rsidR="002B2A88" w:rsidRPr="00133FA3" w:rsidRDefault="002B2A88" w:rsidP="007B5944">
            <w:pPr>
              <w:pStyle w:val="BodyText"/>
              <w:spacing w:after="0"/>
              <w:ind w:firstLine="0"/>
              <w:rPr>
                <w:color w:val="000000" w:themeColor="text1"/>
                <w:lang w:val="en-US"/>
              </w:rPr>
            </w:pPr>
          </w:p>
        </w:tc>
        <w:tc>
          <w:tcPr>
            <w:tcW w:w="4570" w:type="dxa"/>
            <w:gridSpan w:val="5"/>
          </w:tcPr>
          <w:p w14:paraId="1AD507CB" w14:textId="00C32940" w:rsidR="002B2A88" w:rsidRPr="00133FA3" w:rsidRDefault="005F034F" w:rsidP="007B5944">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D←C.GenerateDecision(</m:t>
                </m:r>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d</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b</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d</m:t>
                    </m:r>
                  </m:sub>
                </m:sSub>
                <m:r>
                  <w:rPr>
                    <w:rFonts w:ascii="Cambria Math" w:hAnsi="Cambria Math"/>
                    <w:color w:val="000000" w:themeColor="text1"/>
                    <w:lang w:val="en-US"/>
                  </w:rPr>
                  <m:t>)</m:t>
                </m:r>
              </m:oMath>
            </m:oMathPara>
          </w:p>
        </w:tc>
      </w:tr>
      <w:tr w:rsidR="002B2A88" w:rsidRPr="00133FA3" w14:paraId="32CF892A" w14:textId="77777777" w:rsidTr="00A135C6">
        <w:tc>
          <w:tcPr>
            <w:tcW w:w="267" w:type="dxa"/>
            <w:gridSpan w:val="2"/>
          </w:tcPr>
          <w:p w14:paraId="731183FE" w14:textId="77777777" w:rsidR="002B2A88" w:rsidRPr="00133FA3" w:rsidRDefault="002B2A88" w:rsidP="007B5944">
            <w:pPr>
              <w:pStyle w:val="BodyText"/>
              <w:spacing w:after="0"/>
              <w:ind w:firstLine="0"/>
              <w:rPr>
                <w:color w:val="000000" w:themeColor="text1"/>
                <w:lang w:val="en-US"/>
              </w:rPr>
            </w:pPr>
          </w:p>
        </w:tc>
        <w:tc>
          <w:tcPr>
            <w:tcW w:w="261" w:type="dxa"/>
          </w:tcPr>
          <w:p w14:paraId="0201AA7A" w14:textId="77777777" w:rsidR="002B2A88" w:rsidRPr="00133FA3" w:rsidRDefault="002B2A88" w:rsidP="007B5944">
            <w:pPr>
              <w:pStyle w:val="BodyText"/>
              <w:spacing w:after="0"/>
              <w:ind w:firstLine="0"/>
              <w:rPr>
                <w:b/>
                <w:bCs/>
                <w:color w:val="000000" w:themeColor="text1"/>
                <w:lang w:val="en-US"/>
              </w:rPr>
            </w:pPr>
          </w:p>
        </w:tc>
        <w:tc>
          <w:tcPr>
            <w:tcW w:w="4570" w:type="dxa"/>
            <w:gridSpan w:val="5"/>
          </w:tcPr>
          <w:p w14:paraId="14F5BFE6" w14:textId="0A0276AB" w:rsidR="002B2A88" w:rsidRPr="00133FA3" w:rsidRDefault="00000000" w:rsidP="007B5944">
            <w:pPr>
              <w:pStyle w:val="BodyText"/>
              <w:spacing w:after="0"/>
              <w:ind w:firstLine="0"/>
              <w:jc w:val="left"/>
              <w:rPr>
                <w:color w:val="000000" w:themeColor="text1"/>
                <w:lang w:val="en-US"/>
              </w:rPr>
            </w:pPr>
            <m:oMathPara>
              <m:oMathParaPr>
                <m:jc m:val="left"/>
              </m:oMathParaP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Adapted</m:t>
                    </m:r>
                  </m:sub>
                </m:sSub>
                <m:r>
                  <w:rPr>
                    <w:rFonts w:ascii="Cambria Math" w:hAnsi="Cambria Math"/>
                    <w:color w:val="000000" w:themeColor="text1"/>
                    <w:lang w:val="en-US"/>
                  </w:rPr>
                  <m:t>←A∙AdaptDecision(D, Context,Resources)</m:t>
                </m:r>
              </m:oMath>
            </m:oMathPara>
          </w:p>
        </w:tc>
      </w:tr>
      <w:tr w:rsidR="005F034F" w:rsidRPr="00133FA3" w14:paraId="3EAC41A3" w14:textId="77777777" w:rsidTr="00A135C6">
        <w:tc>
          <w:tcPr>
            <w:tcW w:w="528" w:type="dxa"/>
            <w:gridSpan w:val="3"/>
          </w:tcPr>
          <w:p w14:paraId="3D36D24C" w14:textId="77777777" w:rsidR="005F034F" w:rsidRPr="00133FA3" w:rsidRDefault="005F034F" w:rsidP="007B5944">
            <w:pPr>
              <w:pStyle w:val="BodyText"/>
              <w:spacing w:after="0"/>
              <w:ind w:firstLine="0"/>
              <w:rPr>
                <w:color w:val="000000" w:themeColor="text1"/>
                <w:lang w:val="en-US"/>
              </w:rPr>
            </w:pPr>
          </w:p>
        </w:tc>
        <w:tc>
          <w:tcPr>
            <w:tcW w:w="4220" w:type="dxa"/>
            <w:gridSpan w:val="4"/>
          </w:tcPr>
          <w:p w14:paraId="7B2E94EF" w14:textId="44900B3C" w:rsidR="005F034F" w:rsidRDefault="005F034F" w:rsidP="007B5944">
            <w:pPr>
              <w:pStyle w:val="BodyText"/>
              <w:spacing w:after="0"/>
              <w:ind w:firstLine="0"/>
              <w:jc w:val="left"/>
              <w:rPr>
                <w:b/>
                <w:bCs/>
                <w:color w:val="000000" w:themeColor="text1"/>
                <w:lang w:val="en-US"/>
              </w:rPr>
            </w:pPr>
            <w:r>
              <w:rPr>
                <w:b/>
                <w:bCs/>
                <w:color w:val="000000" w:themeColor="text1"/>
                <w:lang w:val="en-US"/>
              </w:rPr>
              <w:t xml:space="preserve">Send </w:t>
            </w: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adapted</m:t>
                  </m:r>
                </m:sub>
              </m:sSub>
              <m:r>
                <w:rPr>
                  <w:rFonts w:ascii="Cambria Math" w:hAnsi="Cambria Math"/>
                  <w:color w:val="000000" w:themeColor="text1"/>
                  <w:lang w:val="en-US"/>
                </w:rPr>
                <m:t>→G</m:t>
              </m:r>
            </m:oMath>
            <w:r w:rsidR="00D579E6" w:rsidRPr="00D579E6">
              <w:rPr>
                <w:color w:val="000000" w:themeColor="text1"/>
                <w:lang w:val="en-US"/>
              </w:rPr>
              <w:t xml:space="preserve"> for validation</w:t>
            </w:r>
          </w:p>
        </w:tc>
        <w:tc>
          <w:tcPr>
            <w:tcW w:w="350" w:type="dxa"/>
          </w:tcPr>
          <w:p w14:paraId="4514812C" w14:textId="77777777" w:rsidR="005F034F" w:rsidRPr="00133FA3" w:rsidRDefault="005F034F" w:rsidP="007B5944">
            <w:pPr>
              <w:pStyle w:val="BodyText"/>
              <w:spacing w:after="0"/>
              <w:ind w:firstLine="0"/>
              <w:rPr>
                <w:color w:val="000000" w:themeColor="text1"/>
                <w:lang w:val="en-US"/>
              </w:rPr>
            </w:pPr>
          </w:p>
        </w:tc>
      </w:tr>
      <w:tr w:rsidR="002B2A88" w:rsidRPr="00133FA3" w14:paraId="6899FA7E" w14:textId="77777777" w:rsidTr="00A135C6">
        <w:tc>
          <w:tcPr>
            <w:tcW w:w="528" w:type="dxa"/>
            <w:gridSpan w:val="3"/>
          </w:tcPr>
          <w:p w14:paraId="5ECDD9FC" w14:textId="77777777" w:rsidR="002B2A88" w:rsidRPr="00133FA3" w:rsidRDefault="002B2A88" w:rsidP="007B5944">
            <w:pPr>
              <w:pStyle w:val="BodyText"/>
              <w:spacing w:after="0"/>
              <w:ind w:firstLine="0"/>
              <w:rPr>
                <w:color w:val="000000" w:themeColor="text1"/>
                <w:lang w:val="en-US"/>
              </w:rPr>
            </w:pPr>
          </w:p>
        </w:tc>
        <w:tc>
          <w:tcPr>
            <w:tcW w:w="4220" w:type="dxa"/>
            <w:gridSpan w:val="4"/>
          </w:tcPr>
          <w:p w14:paraId="1A308E90" w14:textId="77777777" w:rsidR="002B2A88" w:rsidRPr="00133FA3" w:rsidRDefault="002B2A88" w:rsidP="007B5944">
            <w:pPr>
              <w:pStyle w:val="BodyText"/>
              <w:spacing w:after="0"/>
              <w:ind w:firstLine="0"/>
              <w:jc w:val="left"/>
              <w:rPr>
                <w:color w:val="000000" w:themeColor="text1"/>
                <w:lang w:val="en-US"/>
              </w:rPr>
            </w:pPr>
            <w:r>
              <w:rPr>
                <w:b/>
                <w:bCs/>
                <w:color w:val="000000" w:themeColor="text1"/>
                <w:lang w:val="en-US"/>
              </w:rPr>
              <w:t xml:space="preserve">if </w:t>
            </w:r>
            <m:oMath>
              <m:r>
                <w:rPr>
                  <w:rFonts w:ascii="Cambria Math" w:hAnsi="Cambria Math"/>
                  <w:color w:val="000000" w:themeColor="text1"/>
                  <w:lang w:val="en-US"/>
                </w:rPr>
                <m:t>G∙validate</m:t>
              </m:r>
              <m:d>
                <m:dPr>
                  <m:ctrlPr>
                    <w:rPr>
                      <w:rFonts w:ascii="Cambria Math" w:hAnsi="Cambria Math"/>
                      <w:i/>
                      <w:color w:val="000000" w:themeColor="text1"/>
                      <w:lang w:val="en-US"/>
                    </w:rPr>
                  </m:ctrlPr>
                </m:dPr>
                <m:e>
                  <m:r>
                    <w:rPr>
                      <w:rFonts w:ascii="Cambria Math" w:hAnsi="Cambria Math"/>
                      <w:color w:val="000000" w:themeColor="text1"/>
                      <w:lang w:val="en-US"/>
                    </w:rPr>
                    <m:t>D</m:t>
                  </m:r>
                </m:e>
              </m:d>
              <m:r>
                <w:rPr>
                  <w:rFonts w:ascii="Cambria Math" w:hAnsi="Cambria Math"/>
                  <w:color w:val="000000" w:themeColor="text1"/>
                  <w:lang w:val="en-US"/>
                </w:rPr>
                <m:t>=True</m:t>
              </m:r>
            </m:oMath>
            <w:r>
              <w:rPr>
                <w:b/>
                <w:bCs/>
                <w:color w:val="000000" w:themeColor="text1"/>
                <w:lang w:val="en-US"/>
              </w:rPr>
              <w:t xml:space="preserve"> then</w:t>
            </w:r>
          </w:p>
        </w:tc>
        <w:tc>
          <w:tcPr>
            <w:tcW w:w="350" w:type="dxa"/>
          </w:tcPr>
          <w:p w14:paraId="53D9E102" w14:textId="77777777" w:rsidR="002B2A88" w:rsidRPr="00133FA3" w:rsidRDefault="002B2A88" w:rsidP="007B5944">
            <w:pPr>
              <w:pStyle w:val="BodyText"/>
              <w:spacing w:after="0"/>
              <w:ind w:firstLine="0"/>
              <w:rPr>
                <w:color w:val="000000" w:themeColor="text1"/>
                <w:lang w:val="en-US"/>
              </w:rPr>
            </w:pPr>
          </w:p>
        </w:tc>
      </w:tr>
      <w:tr w:rsidR="002B2A88" w:rsidRPr="00133FA3" w14:paraId="68B2D38D" w14:textId="77777777" w:rsidTr="00A135C6">
        <w:tc>
          <w:tcPr>
            <w:tcW w:w="1043" w:type="dxa"/>
            <w:gridSpan w:val="5"/>
          </w:tcPr>
          <w:p w14:paraId="762B9BC5" w14:textId="77777777" w:rsidR="002B2A88" w:rsidRPr="00133FA3" w:rsidRDefault="002B2A88" w:rsidP="007B5944">
            <w:pPr>
              <w:pStyle w:val="BodyText"/>
              <w:spacing w:after="0"/>
              <w:ind w:firstLine="0"/>
              <w:rPr>
                <w:color w:val="000000" w:themeColor="text1"/>
                <w:lang w:val="en-US"/>
              </w:rPr>
            </w:pPr>
          </w:p>
        </w:tc>
        <w:tc>
          <w:tcPr>
            <w:tcW w:w="4055" w:type="dxa"/>
            <w:gridSpan w:val="3"/>
          </w:tcPr>
          <w:p w14:paraId="0203D945" w14:textId="47F435DC" w:rsidR="002B2A88" w:rsidRPr="00133FA3" w:rsidRDefault="00D579E6" w:rsidP="007B5944">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Fina</m:t>
                </m:r>
                <m:sSub>
                  <m:sSubPr>
                    <m:ctrlPr>
                      <w:rPr>
                        <w:rFonts w:ascii="Cambria Math" w:hAnsi="Cambria Math"/>
                        <w:i/>
                        <w:color w:val="000000" w:themeColor="text1"/>
                        <w:lang w:val="en-US"/>
                      </w:rPr>
                    </m:ctrlPr>
                  </m:sSubPr>
                  <m:e>
                    <m:r>
                      <w:rPr>
                        <w:rFonts w:ascii="Cambria Math" w:hAnsi="Cambria Math"/>
                        <w:color w:val="000000" w:themeColor="text1"/>
                        <w:lang w:val="en-US"/>
                      </w:rPr>
                      <m:t>l</m:t>
                    </m:r>
                  </m:e>
                  <m:sub>
                    <m:r>
                      <w:rPr>
                        <w:rFonts w:ascii="Cambria Math" w:hAnsi="Cambria Math"/>
                        <w:color w:val="000000" w:themeColor="text1"/>
                        <w:lang w:val="en-US"/>
                      </w:rPr>
                      <m:t>inst</m:t>
                    </m:r>
                  </m:sub>
                </m:sSub>
                <m:r>
                  <w:rPr>
                    <w:rFonts w:ascii="Cambria Math" w:hAnsi="Cambria Math"/>
                    <w:color w:val="000000" w:themeColor="text1"/>
                    <w:lang w:val="en-US"/>
                  </w:rPr>
                  <m:t>←G.EnforceCompilance(</m:t>
                </m:r>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adapted</m:t>
                    </m:r>
                  </m:sub>
                </m:sSub>
                <m:r>
                  <w:rPr>
                    <w:rFonts w:ascii="Cambria Math" w:hAnsi="Cambria Math"/>
                    <w:color w:val="000000" w:themeColor="text1"/>
                    <w:lang w:val="en-US"/>
                  </w:rPr>
                  <m:t>)</m:t>
                </m:r>
              </m:oMath>
            </m:oMathPara>
          </w:p>
        </w:tc>
      </w:tr>
      <w:tr w:rsidR="002B2A88" w:rsidRPr="00133FA3" w14:paraId="6B181D92" w14:textId="77777777" w:rsidTr="00A135C6">
        <w:tc>
          <w:tcPr>
            <w:tcW w:w="1043" w:type="dxa"/>
            <w:gridSpan w:val="5"/>
          </w:tcPr>
          <w:p w14:paraId="2F6ABDDD" w14:textId="77777777" w:rsidR="002B2A88" w:rsidRPr="00133FA3" w:rsidRDefault="002B2A88" w:rsidP="007B5944">
            <w:pPr>
              <w:pStyle w:val="BodyText"/>
              <w:spacing w:after="0"/>
              <w:ind w:firstLine="0"/>
              <w:rPr>
                <w:color w:val="000000" w:themeColor="text1"/>
                <w:lang w:val="en-US"/>
              </w:rPr>
            </w:pPr>
          </w:p>
        </w:tc>
        <w:tc>
          <w:tcPr>
            <w:tcW w:w="3705" w:type="dxa"/>
            <w:gridSpan w:val="2"/>
          </w:tcPr>
          <w:p w14:paraId="2D029882" w14:textId="6D52F4F8" w:rsidR="002B2A88" w:rsidRPr="00133FA3" w:rsidRDefault="00D579E6" w:rsidP="007B5944">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I∙MapInstruction(</m:t>
                </m:r>
                <m:sSub>
                  <m:sSubPr>
                    <m:ctrlPr>
                      <w:rPr>
                        <w:rFonts w:ascii="Cambria Math" w:hAnsi="Cambria Math"/>
                        <w:i/>
                        <w:color w:val="000000" w:themeColor="text1"/>
                        <w:lang w:val="en-US"/>
                      </w:rPr>
                    </m:ctrlPr>
                  </m:sSubPr>
                  <m:e>
                    <m:r>
                      <w:rPr>
                        <w:rFonts w:ascii="Cambria Math" w:hAnsi="Cambria Math"/>
                        <w:color w:val="000000" w:themeColor="text1"/>
                        <w:lang w:val="en-US"/>
                      </w:rPr>
                      <m:t>Final</m:t>
                    </m:r>
                  </m:e>
                  <m:sub>
                    <m:r>
                      <w:rPr>
                        <w:rFonts w:ascii="Cambria Math" w:hAnsi="Cambria Math"/>
                        <w:color w:val="000000" w:themeColor="text1"/>
                        <w:lang w:val="en-US"/>
                      </w:rPr>
                      <m:t>inst</m:t>
                    </m:r>
                  </m:sub>
                </m:sSub>
                <m:r>
                  <w:rPr>
                    <w:rFonts w:ascii="Cambria Math" w:hAnsi="Cambria Math"/>
                    <w:color w:val="000000" w:themeColor="text1"/>
                    <w:lang w:val="en-US"/>
                  </w:rPr>
                  <m:t>)</m:t>
                </m:r>
              </m:oMath>
            </m:oMathPara>
          </w:p>
        </w:tc>
        <w:tc>
          <w:tcPr>
            <w:tcW w:w="350" w:type="dxa"/>
          </w:tcPr>
          <w:p w14:paraId="57A1892B" w14:textId="77777777" w:rsidR="002B2A88" w:rsidRPr="00133FA3" w:rsidRDefault="002B2A88" w:rsidP="007B5944">
            <w:pPr>
              <w:pStyle w:val="BodyText"/>
              <w:spacing w:after="0"/>
              <w:ind w:firstLine="0"/>
              <w:rPr>
                <w:color w:val="000000" w:themeColor="text1"/>
                <w:lang w:val="en-US"/>
              </w:rPr>
            </w:pPr>
          </w:p>
        </w:tc>
      </w:tr>
      <w:tr w:rsidR="00D579E6" w:rsidRPr="00133FA3" w14:paraId="0D92DC81" w14:textId="77777777" w:rsidTr="00A135C6">
        <w:tc>
          <w:tcPr>
            <w:tcW w:w="1043" w:type="dxa"/>
            <w:gridSpan w:val="5"/>
          </w:tcPr>
          <w:p w14:paraId="173359E9" w14:textId="77777777" w:rsidR="00D579E6" w:rsidRPr="00133FA3" w:rsidRDefault="00D579E6" w:rsidP="00D579E6">
            <w:pPr>
              <w:pStyle w:val="BodyText"/>
              <w:spacing w:after="0"/>
              <w:ind w:firstLine="0"/>
              <w:rPr>
                <w:color w:val="000000" w:themeColor="text1"/>
                <w:lang w:val="en-US"/>
              </w:rPr>
            </w:pPr>
          </w:p>
        </w:tc>
        <w:tc>
          <w:tcPr>
            <w:tcW w:w="3705" w:type="dxa"/>
            <w:gridSpan w:val="2"/>
          </w:tcPr>
          <w:p w14:paraId="280CFA77" w14:textId="7335E98D" w:rsidR="00D579E6" w:rsidRPr="00133FA3" w:rsidRDefault="00D579E6" w:rsidP="00D579E6">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I∙DisplayInstruction(</m:t>
                </m:r>
                <m:sSub>
                  <m:sSubPr>
                    <m:ctrlPr>
                      <w:rPr>
                        <w:rFonts w:ascii="Cambria Math" w:hAnsi="Cambria Math"/>
                        <w:i/>
                        <w:color w:val="000000" w:themeColor="text1"/>
                        <w:lang w:val="en-US"/>
                      </w:rPr>
                    </m:ctrlPr>
                  </m:sSubPr>
                  <m:e>
                    <m:r>
                      <w:rPr>
                        <w:rFonts w:ascii="Cambria Math" w:hAnsi="Cambria Math"/>
                        <w:color w:val="000000" w:themeColor="text1"/>
                        <w:lang w:val="en-US"/>
                      </w:rPr>
                      <m:t>Final</m:t>
                    </m:r>
                  </m:e>
                  <m:sub>
                    <m:r>
                      <w:rPr>
                        <w:rFonts w:ascii="Cambria Math" w:hAnsi="Cambria Math"/>
                        <w:color w:val="000000" w:themeColor="text1"/>
                        <w:lang w:val="en-US"/>
                      </w:rPr>
                      <m:t>inst</m:t>
                    </m:r>
                  </m:sub>
                </m:sSub>
                <m:r>
                  <w:rPr>
                    <w:rFonts w:ascii="Cambria Math" w:hAnsi="Cambria Math"/>
                    <w:color w:val="000000" w:themeColor="text1"/>
                    <w:lang w:val="en-US"/>
                  </w:rPr>
                  <m:t>)</m:t>
                </m:r>
              </m:oMath>
            </m:oMathPara>
          </w:p>
        </w:tc>
        <w:tc>
          <w:tcPr>
            <w:tcW w:w="350" w:type="dxa"/>
          </w:tcPr>
          <w:p w14:paraId="14F17143" w14:textId="77777777" w:rsidR="00D579E6" w:rsidRPr="00133FA3" w:rsidRDefault="00D579E6" w:rsidP="00D579E6">
            <w:pPr>
              <w:pStyle w:val="BodyText"/>
              <w:spacing w:after="0"/>
              <w:ind w:firstLine="0"/>
              <w:rPr>
                <w:color w:val="000000" w:themeColor="text1"/>
                <w:lang w:val="en-US"/>
              </w:rPr>
            </w:pPr>
          </w:p>
        </w:tc>
      </w:tr>
      <w:tr w:rsidR="00D579E6" w:rsidRPr="00133FA3" w14:paraId="3BAC8569" w14:textId="77777777" w:rsidTr="00A135C6">
        <w:tc>
          <w:tcPr>
            <w:tcW w:w="1043" w:type="dxa"/>
            <w:gridSpan w:val="5"/>
          </w:tcPr>
          <w:p w14:paraId="5621E713" w14:textId="77777777" w:rsidR="00D579E6" w:rsidRPr="00133FA3" w:rsidRDefault="00D579E6" w:rsidP="00D579E6">
            <w:pPr>
              <w:pStyle w:val="BodyText"/>
              <w:spacing w:after="0"/>
              <w:ind w:firstLine="0"/>
              <w:rPr>
                <w:color w:val="000000" w:themeColor="text1"/>
                <w:lang w:val="en-US"/>
              </w:rPr>
            </w:pPr>
          </w:p>
        </w:tc>
        <w:tc>
          <w:tcPr>
            <w:tcW w:w="3705" w:type="dxa"/>
            <w:gridSpan w:val="2"/>
          </w:tcPr>
          <w:p w14:paraId="6DAAB62A" w14:textId="4022403A" w:rsidR="00D579E6" w:rsidRPr="00133FA3" w:rsidRDefault="00000000" w:rsidP="00D579E6">
            <w:pPr>
              <w:pStyle w:val="BodyText"/>
              <w:spacing w:after="0"/>
              <w:ind w:firstLine="0"/>
              <w:rPr>
                <w:color w:val="000000" w:themeColor="text1"/>
                <w:lang w:val="en-US"/>
              </w:rPr>
            </w:pPr>
            <m:oMathPara>
              <m:oMathParaPr>
                <m:jc m:val="left"/>
              </m:oMathParaP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Feedback</m:t>
                    </m:r>
                  </m:sub>
                </m:sSub>
                <m:r>
                  <w:rPr>
                    <w:rFonts w:ascii="Cambria Math" w:hAnsi="Cambria Math"/>
                    <w:color w:val="000000" w:themeColor="text1"/>
                    <w:lang w:val="en-US"/>
                  </w:rPr>
                  <m:t>←I.CollectUserFeedback()</m:t>
                </m:r>
              </m:oMath>
            </m:oMathPara>
          </w:p>
        </w:tc>
        <w:tc>
          <w:tcPr>
            <w:tcW w:w="350" w:type="dxa"/>
          </w:tcPr>
          <w:p w14:paraId="491B6989" w14:textId="77777777" w:rsidR="00D579E6" w:rsidRPr="00133FA3" w:rsidRDefault="00D579E6" w:rsidP="00D579E6">
            <w:pPr>
              <w:pStyle w:val="BodyText"/>
              <w:spacing w:after="0"/>
              <w:ind w:firstLine="0"/>
              <w:rPr>
                <w:color w:val="000000" w:themeColor="text1"/>
                <w:lang w:val="en-US"/>
              </w:rPr>
            </w:pPr>
          </w:p>
        </w:tc>
      </w:tr>
      <w:tr w:rsidR="00D579E6" w:rsidRPr="00133FA3" w14:paraId="6FBA1D83" w14:textId="77777777" w:rsidTr="00A135C6">
        <w:tc>
          <w:tcPr>
            <w:tcW w:w="745" w:type="dxa"/>
            <w:gridSpan w:val="4"/>
          </w:tcPr>
          <w:p w14:paraId="7D3FE73D" w14:textId="77777777" w:rsidR="00D579E6" w:rsidRPr="00133FA3" w:rsidRDefault="00D579E6" w:rsidP="00D579E6">
            <w:pPr>
              <w:pStyle w:val="BodyText"/>
              <w:spacing w:after="0"/>
              <w:ind w:firstLine="0"/>
              <w:rPr>
                <w:color w:val="000000" w:themeColor="text1"/>
                <w:lang w:val="en-US"/>
              </w:rPr>
            </w:pPr>
          </w:p>
        </w:tc>
        <w:tc>
          <w:tcPr>
            <w:tcW w:w="298" w:type="dxa"/>
          </w:tcPr>
          <w:p w14:paraId="179704BA" w14:textId="77777777" w:rsidR="00D579E6" w:rsidRPr="00133FA3" w:rsidRDefault="00D579E6" w:rsidP="00D579E6">
            <w:pPr>
              <w:pStyle w:val="BodyText"/>
              <w:spacing w:after="0"/>
              <w:ind w:firstLine="0"/>
              <w:rPr>
                <w:b/>
                <w:bCs/>
                <w:color w:val="000000" w:themeColor="text1"/>
                <w:lang w:val="en-US"/>
              </w:rPr>
            </w:pPr>
          </w:p>
        </w:tc>
        <w:tc>
          <w:tcPr>
            <w:tcW w:w="3705" w:type="dxa"/>
            <w:gridSpan w:val="2"/>
          </w:tcPr>
          <w:p w14:paraId="179D06E6" w14:textId="26F7E0C1" w:rsidR="00D579E6" w:rsidRPr="00133FA3" w:rsidRDefault="00D579E6" w:rsidP="00D579E6">
            <w:pPr>
              <w:pStyle w:val="BodyText"/>
              <w:spacing w:after="0"/>
              <w:ind w:firstLine="0"/>
              <w:rPr>
                <w:b/>
                <w:bCs/>
                <w:color w:val="000000" w:themeColor="text1"/>
                <w:lang w:val="en-US"/>
              </w:rPr>
            </w:pPr>
            <w:r>
              <w:rPr>
                <w:b/>
                <w:bCs/>
                <w:color w:val="000000" w:themeColor="text1"/>
                <w:lang w:val="en-US"/>
              </w:rPr>
              <w:t xml:space="preserve">Send </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Feedback</m:t>
                  </m:r>
                </m:sub>
              </m:sSub>
              <m:r>
                <w:rPr>
                  <w:rFonts w:ascii="Cambria Math" w:hAnsi="Cambria Math"/>
                  <w:color w:val="000000" w:themeColor="text1"/>
                  <w:lang w:val="en-US"/>
                </w:rPr>
                <m:t>→C,A</m:t>
              </m:r>
            </m:oMath>
          </w:p>
        </w:tc>
        <w:tc>
          <w:tcPr>
            <w:tcW w:w="350" w:type="dxa"/>
          </w:tcPr>
          <w:p w14:paraId="7E1E6949" w14:textId="77777777" w:rsidR="00D579E6" w:rsidRPr="00133FA3" w:rsidRDefault="00D579E6" w:rsidP="00D579E6">
            <w:pPr>
              <w:pStyle w:val="BodyText"/>
              <w:spacing w:after="0"/>
              <w:ind w:firstLine="0"/>
              <w:rPr>
                <w:color w:val="000000" w:themeColor="text1"/>
                <w:lang w:val="en-US"/>
              </w:rPr>
            </w:pPr>
          </w:p>
        </w:tc>
      </w:tr>
      <w:tr w:rsidR="00D579E6" w:rsidRPr="00133FA3" w14:paraId="3E8D0F10" w14:textId="77777777" w:rsidTr="00A135C6">
        <w:tc>
          <w:tcPr>
            <w:tcW w:w="745" w:type="dxa"/>
            <w:gridSpan w:val="4"/>
          </w:tcPr>
          <w:p w14:paraId="520B1E81" w14:textId="77777777" w:rsidR="00D579E6" w:rsidRPr="00133FA3" w:rsidRDefault="00D579E6" w:rsidP="00D579E6">
            <w:pPr>
              <w:pStyle w:val="BodyText"/>
              <w:spacing w:after="0"/>
              <w:ind w:firstLine="0"/>
              <w:rPr>
                <w:color w:val="000000" w:themeColor="text1"/>
                <w:lang w:val="en-US"/>
              </w:rPr>
            </w:pPr>
          </w:p>
        </w:tc>
        <w:tc>
          <w:tcPr>
            <w:tcW w:w="4353" w:type="dxa"/>
            <w:gridSpan w:val="4"/>
          </w:tcPr>
          <w:p w14:paraId="0F9E14B5" w14:textId="77777777" w:rsidR="00D579E6" w:rsidRPr="00133FA3" w:rsidRDefault="00D579E6" w:rsidP="00D579E6">
            <w:pPr>
              <w:pStyle w:val="BodyText"/>
              <w:spacing w:after="0"/>
              <w:ind w:firstLine="0"/>
              <w:rPr>
                <w:b/>
                <w:bCs/>
                <w:color w:val="000000" w:themeColor="text1"/>
                <w:lang w:val="en-US"/>
              </w:rPr>
            </w:pPr>
            <w:r>
              <w:rPr>
                <w:b/>
                <w:bCs/>
                <w:color w:val="000000" w:themeColor="text1"/>
                <w:lang w:val="en-US"/>
              </w:rPr>
              <w:t>else</w:t>
            </w:r>
          </w:p>
        </w:tc>
      </w:tr>
      <w:tr w:rsidR="00D579E6" w:rsidRPr="00133FA3" w14:paraId="30414FA6" w14:textId="77777777" w:rsidTr="00A135C6">
        <w:tc>
          <w:tcPr>
            <w:tcW w:w="1043" w:type="dxa"/>
            <w:gridSpan w:val="5"/>
          </w:tcPr>
          <w:p w14:paraId="4487B234" w14:textId="77777777" w:rsidR="00D579E6" w:rsidRPr="00133FA3" w:rsidRDefault="00D579E6" w:rsidP="00D579E6">
            <w:pPr>
              <w:pStyle w:val="BodyText"/>
              <w:spacing w:after="0"/>
              <w:ind w:firstLine="0"/>
              <w:rPr>
                <w:color w:val="000000" w:themeColor="text1"/>
                <w:lang w:val="en-US"/>
              </w:rPr>
            </w:pPr>
          </w:p>
        </w:tc>
        <w:tc>
          <w:tcPr>
            <w:tcW w:w="3705" w:type="dxa"/>
            <w:gridSpan w:val="2"/>
          </w:tcPr>
          <w:p w14:paraId="24CC431E" w14:textId="3552B435" w:rsidR="00D579E6" w:rsidRPr="00DC71E0" w:rsidRDefault="00D579E6" w:rsidP="00D579E6">
            <w:pPr>
              <w:pStyle w:val="BodyText"/>
              <w:spacing w:after="0"/>
              <w:ind w:firstLine="0"/>
              <w:rPr>
                <w:color w:val="000000" w:themeColor="text1"/>
                <w:lang w:val="en-US"/>
              </w:rPr>
            </w:pPr>
            <m:oMathPara>
              <m:oMathParaPr>
                <m:jc m:val="left"/>
              </m:oMathParaPr>
              <m:oMath>
                <m:r>
                  <w:rPr>
                    <w:rFonts w:ascii="Cambria Math" w:hAnsi="Cambria Math"/>
                    <w:color w:val="000000" w:themeColor="text1"/>
                    <w:lang w:val="en-US"/>
                  </w:rPr>
                  <m:t>G∙Updatedecision(</m:t>
                </m:r>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adapted</m:t>
                    </m:r>
                  </m:sub>
                </m:sSub>
                <m:r>
                  <w:rPr>
                    <w:rFonts w:ascii="Cambria Math" w:hAnsi="Cambria Math"/>
                    <w:color w:val="000000" w:themeColor="text1"/>
                    <w:lang w:val="en-US"/>
                  </w:rPr>
                  <m:t>)</m:t>
                </m:r>
              </m:oMath>
            </m:oMathPara>
          </w:p>
        </w:tc>
        <w:tc>
          <w:tcPr>
            <w:tcW w:w="350" w:type="dxa"/>
          </w:tcPr>
          <w:p w14:paraId="4B37A1A7" w14:textId="77777777" w:rsidR="00D579E6" w:rsidRPr="00133FA3" w:rsidRDefault="00D579E6" w:rsidP="00D579E6">
            <w:pPr>
              <w:pStyle w:val="BodyText"/>
              <w:spacing w:after="0"/>
              <w:ind w:firstLine="0"/>
              <w:rPr>
                <w:color w:val="000000" w:themeColor="text1"/>
                <w:lang w:val="en-US"/>
              </w:rPr>
            </w:pPr>
          </w:p>
        </w:tc>
      </w:tr>
      <w:tr w:rsidR="00D579E6" w:rsidRPr="00133FA3" w14:paraId="4900A4AA" w14:textId="77777777" w:rsidTr="00A135C6">
        <w:tc>
          <w:tcPr>
            <w:tcW w:w="528" w:type="dxa"/>
            <w:gridSpan w:val="3"/>
          </w:tcPr>
          <w:p w14:paraId="54994DD3" w14:textId="77777777" w:rsidR="00D579E6" w:rsidRPr="00133FA3" w:rsidRDefault="00D579E6" w:rsidP="00D579E6">
            <w:pPr>
              <w:pStyle w:val="BodyText"/>
              <w:spacing w:after="0"/>
              <w:ind w:firstLine="0"/>
              <w:rPr>
                <w:color w:val="000000" w:themeColor="text1"/>
                <w:lang w:val="en-US"/>
              </w:rPr>
            </w:pPr>
          </w:p>
        </w:tc>
        <w:tc>
          <w:tcPr>
            <w:tcW w:w="515" w:type="dxa"/>
            <w:gridSpan w:val="2"/>
          </w:tcPr>
          <w:p w14:paraId="184B6C2D" w14:textId="77777777" w:rsidR="00D579E6" w:rsidRPr="00133FA3" w:rsidRDefault="00D579E6" w:rsidP="00D579E6">
            <w:pPr>
              <w:pStyle w:val="BodyText"/>
              <w:spacing w:after="0"/>
              <w:ind w:firstLine="0"/>
              <w:rPr>
                <w:b/>
                <w:bCs/>
                <w:color w:val="000000" w:themeColor="text1"/>
                <w:lang w:val="en-US"/>
              </w:rPr>
            </w:pPr>
          </w:p>
        </w:tc>
        <w:tc>
          <w:tcPr>
            <w:tcW w:w="3705" w:type="dxa"/>
            <w:gridSpan w:val="2"/>
          </w:tcPr>
          <w:p w14:paraId="2081A9A1" w14:textId="77777777" w:rsidR="00D579E6" w:rsidRPr="00133FA3" w:rsidRDefault="00D579E6" w:rsidP="00D579E6">
            <w:pPr>
              <w:pStyle w:val="BodyText"/>
              <w:spacing w:after="0"/>
              <w:ind w:firstLine="0"/>
              <w:rPr>
                <w:b/>
                <w:bCs/>
                <w:color w:val="000000" w:themeColor="text1"/>
                <w:lang w:val="en-US"/>
              </w:rPr>
            </w:pPr>
            <w:r>
              <w:rPr>
                <w:b/>
                <w:bCs/>
                <w:color w:val="000000" w:themeColor="text1"/>
                <w:lang w:val="en-US"/>
              </w:rPr>
              <w:t xml:space="preserve">Notify </w:t>
            </w:r>
            <m:oMath>
              <m:r>
                <w:rPr>
                  <w:rFonts w:ascii="Cambria Math" w:hAnsi="Cambria Math"/>
                  <w:color w:val="000000" w:themeColor="text1"/>
                  <w:lang w:val="en-US"/>
                </w:rPr>
                <m:t>C</m:t>
              </m:r>
            </m:oMath>
            <w:r w:rsidRPr="00DC71E0">
              <w:rPr>
                <w:color w:val="000000" w:themeColor="text1"/>
                <w:lang w:val="en-US"/>
              </w:rPr>
              <w:t xml:space="preserve"> to refine decision process</w:t>
            </w:r>
          </w:p>
        </w:tc>
        <w:tc>
          <w:tcPr>
            <w:tcW w:w="350" w:type="dxa"/>
          </w:tcPr>
          <w:p w14:paraId="29555091" w14:textId="77777777" w:rsidR="00D579E6" w:rsidRPr="00133FA3" w:rsidRDefault="00D579E6" w:rsidP="00D579E6">
            <w:pPr>
              <w:pStyle w:val="BodyText"/>
              <w:spacing w:after="0"/>
              <w:ind w:firstLine="0"/>
              <w:rPr>
                <w:color w:val="000000" w:themeColor="text1"/>
                <w:lang w:val="en-US"/>
              </w:rPr>
            </w:pPr>
          </w:p>
        </w:tc>
      </w:tr>
      <w:tr w:rsidR="00D579E6" w:rsidRPr="00133FA3" w14:paraId="3BCD6934" w14:textId="77777777" w:rsidTr="00A135C6">
        <w:tc>
          <w:tcPr>
            <w:tcW w:w="528" w:type="dxa"/>
            <w:gridSpan w:val="3"/>
          </w:tcPr>
          <w:p w14:paraId="38B9ED5E" w14:textId="77777777" w:rsidR="00D579E6" w:rsidRPr="00133FA3" w:rsidRDefault="00D579E6" w:rsidP="00D579E6">
            <w:pPr>
              <w:pStyle w:val="BodyText"/>
              <w:spacing w:after="0"/>
              <w:ind w:firstLine="0"/>
              <w:rPr>
                <w:color w:val="000000" w:themeColor="text1"/>
                <w:lang w:val="en-US"/>
              </w:rPr>
            </w:pPr>
          </w:p>
        </w:tc>
        <w:tc>
          <w:tcPr>
            <w:tcW w:w="4220" w:type="dxa"/>
            <w:gridSpan w:val="4"/>
          </w:tcPr>
          <w:p w14:paraId="4FD4004C" w14:textId="77777777" w:rsidR="00D579E6" w:rsidRPr="00133FA3" w:rsidRDefault="00D579E6" w:rsidP="00D579E6">
            <w:pPr>
              <w:pStyle w:val="BodyText"/>
              <w:spacing w:after="0"/>
              <w:ind w:firstLine="0"/>
              <w:rPr>
                <w:b/>
                <w:bCs/>
                <w:color w:val="000000" w:themeColor="text1"/>
                <w:lang w:val="en-US"/>
              </w:rPr>
            </w:pPr>
            <w:r>
              <w:rPr>
                <w:b/>
                <w:bCs/>
                <w:color w:val="000000" w:themeColor="text1"/>
                <w:lang w:val="en-US"/>
              </w:rPr>
              <w:t>end if</w:t>
            </w:r>
          </w:p>
        </w:tc>
        <w:tc>
          <w:tcPr>
            <w:tcW w:w="350" w:type="dxa"/>
          </w:tcPr>
          <w:p w14:paraId="131C3296" w14:textId="77777777" w:rsidR="00D579E6" w:rsidRPr="00133FA3" w:rsidRDefault="00D579E6" w:rsidP="00D579E6">
            <w:pPr>
              <w:pStyle w:val="BodyText"/>
              <w:spacing w:after="0"/>
              <w:ind w:firstLine="0"/>
              <w:rPr>
                <w:color w:val="000000" w:themeColor="text1"/>
                <w:lang w:val="en-US"/>
              </w:rPr>
            </w:pPr>
          </w:p>
        </w:tc>
      </w:tr>
      <w:tr w:rsidR="00D579E6" w:rsidRPr="00133FA3" w14:paraId="05E1C216" w14:textId="77777777" w:rsidTr="00A135C6">
        <w:tc>
          <w:tcPr>
            <w:tcW w:w="528" w:type="dxa"/>
            <w:gridSpan w:val="3"/>
          </w:tcPr>
          <w:p w14:paraId="5249B905" w14:textId="77777777" w:rsidR="00D579E6" w:rsidRPr="00133FA3" w:rsidRDefault="00D579E6" w:rsidP="00D579E6">
            <w:pPr>
              <w:pStyle w:val="BodyText"/>
              <w:spacing w:after="0"/>
              <w:ind w:firstLine="0"/>
              <w:rPr>
                <w:color w:val="000000" w:themeColor="text1"/>
                <w:lang w:val="en-US"/>
              </w:rPr>
            </w:pPr>
          </w:p>
        </w:tc>
        <w:tc>
          <w:tcPr>
            <w:tcW w:w="4570" w:type="dxa"/>
            <w:gridSpan w:val="5"/>
          </w:tcPr>
          <w:p w14:paraId="714BD971" w14:textId="77777777" w:rsidR="00D579E6" w:rsidRPr="00445B2F" w:rsidRDefault="00D579E6" w:rsidP="00D579E6">
            <w:pPr>
              <w:pStyle w:val="BodyText"/>
              <w:spacing w:after="0"/>
              <w:ind w:firstLine="0"/>
              <w:jc w:val="left"/>
              <w:rPr>
                <w:color w:val="000000" w:themeColor="text1"/>
                <w:lang w:val="en-US"/>
              </w:rPr>
            </w:pPr>
            <m:oMathPara>
              <m:oMathParaPr>
                <m:jc m:val="left"/>
              </m:oMathParaPr>
              <m:oMath>
                <m:r>
                  <w:rPr>
                    <w:rFonts w:ascii="Cambria Math" w:hAnsi="Cambria Math"/>
                    <w:color w:val="000000" w:themeColor="text1"/>
                    <w:lang w:val="en-US"/>
                  </w:rPr>
                  <m:t>G.LogDecision(D,outcome,Compilence status)</m:t>
                </m:r>
              </m:oMath>
            </m:oMathPara>
          </w:p>
        </w:tc>
      </w:tr>
      <w:tr w:rsidR="00D579E6" w:rsidRPr="00133FA3" w14:paraId="5A587BA1" w14:textId="77777777" w:rsidTr="00A135C6">
        <w:tc>
          <w:tcPr>
            <w:tcW w:w="250" w:type="dxa"/>
          </w:tcPr>
          <w:p w14:paraId="40DF6730" w14:textId="77777777" w:rsidR="00D579E6" w:rsidRPr="00133FA3" w:rsidRDefault="00D579E6" w:rsidP="00D579E6">
            <w:pPr>
              <w:pStyle w:val="BodyText"/>
              <w:spacing w:after="0"/>
              <w:ind w:firstLine="0"/>
              <w:rPr>
                <w:color w:val="000000" w:themeColor="text1"/>
                <w:lang w:val="en-US"/>
              </w:rPr>
            </w:pPr>
          </w:p>
        </w:tc>
        <w:tc>
          <w:tcPr>
            <w:tcW w:w="1651" w:type="dxa"/>
            <w:gridSpan w:val="5"/>
          </w:tcPr>
          <w:p w14:paraId="558661D2" w14:textId="77777777" w:rsidR="00D579E6" w:rsidRPr="00133FA3" w:rsidRDefault="00D579E6" w:rsidP="00D579E6">
            <w:pPr>
              <w:pStyle w:val="BodyText"/>
              <w:spacing w:after="0"/>
              <w:ind w:firstLine="0"/>
              <w:rPr>
                <w:b/>
                <w:bCs/>
                <w:color w:val="000000" w:themeColor="text1"/>
                <w:lang w:val="en-US"/>
              </w:rPr>
            </w:pPr>
            <w:r>
              <w:rPr>
                <w:b/>
                <w:bCs/>
                <w:color w:val="000000" w:themeColor="text1"/>
                <w:lang w:val="en-US"/>
              </w:rPr>
              <w:t>end while</w:t>
            </w:r>
          </w:p>
        </w:tc>
        <w:tc>
          <w:tcPr>
            <w:tcW w:w="2847" w:type="dxa"/>
          </w:tcPr>
          <w:p w14:paraId="1F6396C6" w14:textId="77777777" w:rsidR="00D579E6" w:rsidRPr="00133FA3" w:rsidRDefault="00D579E6" w:rsidP="00D579E6">
            <w:pPr>
              <w:pStyle w:val="BodyText"/>
              <w:spacing w:after="0"/>
              <w:ind w:firstLine="0"/>
              <w:rPr>
                <w:b/>
                <w:bCs/>
                <w:color w:val="000000" w:themeColor="text1"/>
                <w:lang w:val="en-US"/>
              </w:rPr>
            </w:pPr>
          </w:p>
        </w:tc>
        <w:tc>
          <w:tcPr>
            <w:tcW w:w="350" w:type="dxa"/>
          </w:tcPr>
          <w:p w14:paraId="4A9BE978" w14:textId="77777777" w:rsidR="00D579E6" w:rsidRPr="00133FA3" w:rsidRDefault="00D579E6" w:rsidP="00D579E6">
            <w:pPr>
              <w:pStyle w:val="BodyText"/>
              <w:spacing w:after="0"/>
              <w:ind w:firstLine="0"/>
              <w:rPr>
                <w:color w:val="000000" w:themeColor="text1"/>
                <w:lang w:val="en-US"/>
              </w:rPr>
            </w:pPr>
          </w:p>
        </w:tc>
      </w:tr>
    </w:tbl>
    <w:p w14:paraId="3DDB1C62" w14:textId="77777777" w:rsidR="002B2A88" w:rsidRDefault="002B2A88" w:rsidP="00D579E6">
      <w:pPr>
        <w:pStyle w:val="BodyText"/>
        <w:ind w:firstLine="0"/>
        <w:rPr>
          <w:color w:val="000000" w:themeColor="text1"/>
        </w:rPr>
      </w:pPr>
    </w:p>
    <w:p w14:paraId="3DFE5FB6" w14:textId="77777777" w:rsidR="00B961CD" w:rsidRDefault="00B961CD" w:rsidP="00B961CD">
      <w:pPr>
        <w:pStyle w:val="BodyText"/>
        <w:jc w:val="center"/>
        <w:rPr>
          <w:color w:val="000000" w:themeColor="text1"/>
          <w:lang w:val="en-US"/>
        </w:rPr>
      </w:pPr>
      <w:r>
        <w:rPr>
          <w:noProof/>
          <w:color w:val="000000" w:themeColor="text1"/>
          <w:lang w:val="en-US"/>
        </w:rPr>
        <w:drawing>
          <wp:inline distT="0" distB="0" distL="0" distR="0" wp14:anchorId="46A4E967" wp14:editId="3F9ADDEC">
            <wp:extent cx="3195955" cy="4720590"/>
            <wp:effectExtent l="0" t="0" r="0" b="0"/>
            <wp:docPr id="881444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44969" name="Picture 8814449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5955" cy="4720590"/>
                    </a:xfrm>
                    <a:prstGeom prst="rect">
                      <a:avLst/>
                    </a:prstGeom>
                  </pic:spPr>
                </pic:pic>
              </a:graphicData>
            </a:graphic>
          </wp:inline>
        </w:drawing>
      </w:r>
    </w:p>
    <w:p w14:paraId="75B864C2" w14:textId="21F6AEE1" w:rsidR="00B961CD" w:rsidRPr="00B961CD" w:rsidRDefault="007E0AA6" w:rsidP="00D579E6">
      <w:pPr>
        <w:pStyle w:val="figurecaption"/>
        <w:ind w:left="0" w:firstLine="0"/>
        <w:rPr>
          <w:color w:val="000000" w:themeColor="text1"/>
        </w:rPr>
      </w:pPr>
      <w:r>
        <w:rPr>
          <w:color w:val="000000" w:themeColor="text1"/>
        </w:rPr>
        <w:t>Figure</w:t>
      </w:r>
      <w:r w:rsidR="00B961CD">
        <w:rPr>
          <w:color w:val="000000" w:themeColor="text1"/>
        </w:rPr>
        <w:t xml:space="preserve"> representing the components of cognitive, adaptation, governance layers involved in communication.  </w:t>
      </w:r>
    </w:p>
    <w:p w14:paraId="65313B9F" w14:textId="4E07EEEC" w:rsidR="009303D9" w:rsidRDefault="00DB0B36" w:rsidP="006B6B66">
      <w:pPr>
        <w:pStyle w:val="Heading1"/>
        <w:rPr>
          <w:color w:val="000000" w:themeColor="text1"/>
        </w:rPr>
      </w:pPr>
      <w:r w:rsidRPr="00E67749">
        <w:rPr>
          <w:color w:val="000000" w:themeColor="text1"/>
        </w:rPr>
        <w:t xml:space="preserve">SWOT Analysis </w:t>
      </w:r>
    </w:p>
    <w:p w14:paraId="0033CCEB" w14:textId="3AE72BED" w:rsidR="003C5886" w:rsidRPr="003C5886" w:rsidRDefault="003C5886" w:rsidP="003C5886">
      <w:pPr>
        <w:pStyle w:val="BodyText"/>
        <w:rPr>
          <w:color w:val="000000" w:themeColor="text1"/>
        </w:rPr>
      </w:pPr>
      <w:r>
        <w:t>This section of the manuscript presents a SWOT analysis which demonstrates both the advantages and disadvantages of using Agentic AI in Industry 5.0 [10]. The analysis provides a framework to assess its practical viability and the prospective avenues related to the technology.</w:t>
      </w:r>
    </w:p>
    <w:p w14:paraId="3BBFF64D" w14:textId="77777777" w:rsidR="001760E6" w:rsidRPr="00376EB4" w:rsidRDefault="001760E6" w:rsidP="001760E6">
      <w:pPr>
        <w:pStyle w:val="Heading2"/>
        <w:rPr>
          <w:color w:val="000000" w:themeColor="text1"/>
        </w:rPr>
      </w:pPr>
      <w:r w:rsidRPr="00376EB4">
        <w:rPr>
          <w:color w:val="000000" w:themeColor="text1"/>
        </w:rPr>
        <w:t>Strengths</w:t>
      </w:r>
    </w:p>
    <w:p w14:paraId="4D4C91B1" w14:textId="29B329A1" w:rsidR="003C5886" w:rsidRPr="0036265D" w:rsidRDefault="0036265D" w:rsidP="0036265D">
      <w:pPr>
        <w:pStyle w:val="BodyText"/>
      </w:pPr>
      <w:r w:rsidRPr="00C844ED">
        <w:t xml:space="preserve">Agentic AI is one of the core technologies in the layer of human </w:t>
      </w:r>
      <w:proofErr w:type="spellStart"/>
      <w:r w:rsidRPr="00C844ED">
        <w:t>centered</w:t>
      </w:r>
      <w:proofErr w:type="spellEnd"/>
      <w:r w:rsidRPr="00C844ED">
        <w:t xml:space="preserve"> intelligence and sustainable transformations in industry that drives the 5.0 paradigm of an industrial society and has a lot of decisive positive effects</w:t>
      </w:r>
      <w:r>
        <w:t xml:space="preserve"> </w:t>
      </w:r>
      <w:r w:rsidRPr="00C844ED">
        <w:t xml:space="preserve">. AI can improve </w:t>
      </w:r>
      <w:r w:rsidR="007A3627">
        <w:rPr>
          <w:lang w:val="en-US"/>
        </w:rPr>
        <w:t>the</w:t>
      </w:r>
      <w:r w:rsidRPr="00C844ED">
        <w:t xml:space="preserve"> </w:t>
      </w:r>
      <w:r w:rsidR="007A3627">
        <w:rPr>
          <w:lang w:val="en-US"/>
        </w:rPr>
        <w:t>co-</w:t>
      </w:r>
      <w:r w:rsidRPr="00C844ED">
        <w:t xml:space="preserve">working of people and machines, be able to make decisions on </w:t>
      </w:r>
      <w:r w:rsidRPr="00C844ED">
        <w:t xml:space="preserve">their own as well as in context, and </w:t>
      </w:r>
      <w:r w:rsidR="007A3627">
        <w:rPr>
          <w:lang w:val="en-US"/>
        </w:rPr>
        <w:t>remain</w:t>
      </w:r>
      <w:r w:rsidRPr="00C844ED">
        <w:t xml:space="preserve"> adaptable in a changing environment. AAI improves the effectiveness of industrial activities through the facilitation of multi</w:t>
      </w:r>
      <w:r w:rsidR="00403614">
        <w:rPr>
          <w:lang w:val="en-US"/>
        </w:rPr>
        <w:t>-</w:t>
      </w:r>
      <w:r w:rsidRPr="00C844ED">
        <w:t xml:space="preserve">agent coordination, predictive intelligence, and continuous learning. It also promotes sustainability, scalability, and transparency. In addition, it </w:t>
      </w:r>
      <w:r w:rsidR="00403614">
        <w:t xml:space="preserve">provides </w:t>
      </w:r>
      <w:proofErr w:type="spellStart"/>
      <w:r w:rsidR="00403614">
        <w:t>explainability</w:t>
      </w:r>
      <w:proofErr w:type="spellEnd"/>
      <w:r w:rsidR="00403614">
        <w:t xml:space="preserve"> features</w:t>
      </w:r>
      <w:r w:rsidRPr="00C844ED">
        <w:t xml:space="preserve">, safety, and </w:t>
      </w:r>
      <w:r w:rsidR="00403614">
        <w:rPr>
          <w:lang w:val="en-US"/>
        </w:rPr>
        <w:t>risk management</w:t>
      </w:r>
      <w:r w:rsidRPr="00C844ED">
        <w:t xml:space="preserve">, which </w:t>
      </w:r>
      <w:r w:rsidR="007A3627">
        <w:rPr>
          <w:lang w:val="en-US"/>
        </w:rPr>
        <w:t>foster</w:t>
      </w:r>
      <w:r w:rsidRPr="00C844ED">
        <w:t xml:space="preserve"> trust and accountability</w:t>
      </w:r>
      <w:r w:rsidR="007A3627">
        <w:rPr>
          <w:lang w:val="en-US"/>
        </w:rPr>
        <w:t>,</w:t>
      </w:r>
      <w:r w:rsidRPr="00C844ED">
        <w:t xml:space="preserve"> and facilitate the system's performance to </w:t>
      </w:r>
      <w:r w:rsidR="007A3627">
        <w:rPr>
          <w:lang w:val="en-US"/>
        </w:rPr>
        <w:t>remain</w:t>
      </w:r>
      <w:r w:rsidRPr="00C844ED">
        <w:t xml:space="preserve"> stable. These capabilities t</w:t>
      </w:r>
      <w:r w:rsidR="007A3627">
        <w:rPr>
          <w:lang w:val="en-US"/>
        </w:rPr>
        <w:t>ransform</w:t>
      </w:r>
      <w:r w:rsidRPr="00C844ED">
        <w:t xml:space="preserve"> AAI into a pivotal technology that </w:t>
      </w:r>
      <w:r w:rsidR="007A3627">
        <w:rPr>
          <w:lang w:val="en-US"/>
        </w:rPr>
        <w:t>enables</w:t>
      </w:r>
      <w:r w:rsidRPr="00C844ED">
        <w:t xml:space="preserve"> human</w:t>
      </w:r>
      <w:r w:rsidR="00403614">
        <w:rPr>
          <w:lang w:val="en-US"/>
        </w:rPr>
        <w:t>-</w:t>
      </w:r>
      <w:proofErr w:type="spellStart"/>
      <w:r w:rsidRPr="00C844ED">
        <w:t>centered</w:t>
      </w:r>
      <w:proofErr w:type="spellEnd"/>
      <w:r w:rsidRPr="00C844ED">
        <w:t xml:space="preserve"> intelligence and sustainable transformations in industry</w:t>
      </w:r>
      <w:r>
        <w:t xml:space="preserve"> t</w:t>
      </w:r>
      <w:r w:rsidRPr="00C844ED">
        <w:t xml:space="preserve">hrough continuous learning and adaptive management, </w:t>
      </w:r>
      <w:r w:rsidR="007A3627">
        <w:rPr>
          <w:lang w:val="en-US"/>
        </w:rPr>
        <w:t>thereby reducing</w:t>
      </w:r>
      <w:r w:rsidRPr="00C844ED">
        <w:t xml:space="preserve"> downtime, </w:t>
      </w:r>
      <w:r w:rsidR="007A3627">
        <w:rPr>
          <w:lang w:val="en-US"/>
        </w:rPr>
        <w:t xml:space="preserve">resource </w:t>
      </w:r>
      <w:r w:rsidRPr="00C844ED">
        <w:t>waste, and process inefficiencies. AAI makes production systems faster and more efficient by facilitating the creation of conditions in which people and intelligent agents can collaborate easily</w:t>
      </w:r>
      <w:r>
        <w:t xml:space="preserve"> </w:t>
      </w:r>
      <w:r w:rsidRPr="00C844ED">
        <w:t>.</w:t>
      </w:r>
    </w:p>
    <w:p w14:paraId="58F36292" w14:textId="0BFC20C7" w:rsidR="0014526B" w:rsidRPr="002A0838" w:rsidRDefault="0014526B" w:rsidP="0014526B">
      <w:pPr>
        <w:pStyle w:val="Heading2"/>
        <w:rPr>
          <w:color w:val="000000" w:themeColor="text1"/>
        </w:rPr>
      </w:pPr>
      <w:r w:rsidRPr="002A0838">
        <w:rPr>
          <w:color w:val="000000" w:themeColor="text1"/>
        </w:rPr>
        <w:t>Weaknesses</w:t>
      </w:r>
    </w:p>
    <w:p w14:paraId="293C93B3" w14:textId="18FBAA66" w:rsidR="0036265D" w:rsidRDefault="0036265D" w:rsidP="007A3627">
      <w:pPr>
        <w:pStyle w:val="Heading2"/>
        <w:numPr>
          <w:ilvl w:val="0"/>
          <w:numId w:val="0"/>
        </w:numPr>
        <w:jc w:val="both"/>
        <w:rPr>
          <w:i w:val="0"/>
          <w:iCs w:val="0"/>
          <w:noProof w:val="0"/>
          <w:spacing w:val="-1"/>
          <w:lang w:eastAsia="x-none"/>
        </w:rPr>
      </w:pPr>
      <w:r w:rsidRPr="0036265D">
        <w:rPr>
          <w:i w:val="0"/>
          <w:iCs w:val="0"/>
          <w:noProof w:val="0"/>
          <w:spacing w:val="-1"/>
          <w:lang w:eastAsia="x-none"/>
        </w:rPr>
        <w:t xml:space="preserve">Agentic AI in Industry 5.0 </w:t>
      </w:r>
      <w:r w:rsidR="007A3627">
        <w:rPr>
          <w:i w:val="0"/>
          <w:iCs w:val="0"/>
          <w:noProof w:val="0"/>
          <w:spacing w:val="-1"/>
          <w:lang w:eastAsia="x-none"/>
        </w:rPr>
        <w:t>faces several challenges</w:t>
      </w:r>
      <w:r w:rsidRPr="0036265D">
        <w:rPr>
          <w:i w:val="0"/>
          <w:iCs w:val="0"/>
          <w:noProof w:val="0"/>
          <w:spacing w:val="-1"/>
          <w:lang w:eastAsia="x-none"/>
        </w:rPr>
        <w:t xml:space="preserve">, </w:t>
      </w:r>
      <w:r w:rsidR="007A3627">
        <w:rPr>
          <w:i w:val="0"/>
          <w:iCs w:val="0"/>
          <w:noProof w:val="0"/>
          <w:spacing w:val="-1"/>
          <w:lang w:eastAsia="x-none"/>
        </w:rPr>
        <w:t>including</w:t>
      </w:r>
      <w:r w:rsidRPr="0036265D">
        <w:rPr>
          <w:i w:val="0"/>
          <w:iCs w:val="0"/>
          <w:noProof w:val="0"/>
          <w:spacing w:val="-1"/>
          <w:lang w:eastAsia="x-none"/>
        </w:rPr>
        <w:t xml:space="preserve"> exorbitantly high </w:t>
      </w:r>
      <w:r w:rsidR="007A3627">
        <w:rPr>
          <w:i w:val="0"/>
          <w:iCs w:val="0"/>
          <w:noProof w:val="0"/>
          <w:spacing w:val="-1"/>
          <w:lang w:eastAsia="x-none"/>
        </w:rPr>
        <w:t>implementation costs</w:t>
      </w:r>
      <w:r w:rsidRPr="0036265D">
        <w:rPr>
          <w:i w:val="0"/>
          <w:iCs w:val="0"/>
          <w:noProof w:val="0"/>
          <w:spacing w:val="-1"/>
          <w:lang w:eastAsia="x-none"/>
        </w:rPr>
        <w:t xml:space="preserve">, significant technical complexity, and </w:t>
      </w:r>
      <w:r w:rsidR="007A3627">
        <w:rPr>
          <w:i w:val="0"/>
          <w:iCs w:val="0"/>
          <w:noProof w:val="0"/>
          <w:spacing w:val="-1"/>
          <w:lang w:eastAsia="x-none"/>
        </w:rPr>
        <w:t xml:space="preserve">a </w:t>
      </w:r>
      <w:r w:rsidRPr="0036265D">
        <w:rPr>
          <w:i w:val="0"/>
          <w:iCs w:val="0"/>
          <w:noProof w:val="0"/>
          <w:spacing w:val="-1"/>
          <w:lang w:eastAsia="x-none"/>
        </w:rPr>
        <w:t>strong dependence on reliable data sources. There are problems like coupling with older systems, higher energy consumption, and shortage of skilled workers, only a few examples of the issues that prevent it from being deployed effortlessly.</w:t>
      </w:r>
    </w:p>
    <w:p w14:paraId="70E28394" w14:textId="77777777" w:rsidR="0036265D" w:rsidRPr="0036265D" w:rsidRDefault="0036265D" w:rsidP="0036265D">
      <w:pPr>
        <w:rPr>
          <w:lang w:eastAsia="x-none"/>
        </w:rPr>
      </w:pPr>
    </w:p>
    <w:p w14:paraId="0F7879C2" w14:textId="21950491" w:rsidR="00CE46EC" w:rsidRPr="00C844ED" w:rsidRDefault="0036265D" w:rsidP="0036265D">
      <w:pPr>
        <w:pStyle w:val="Heading2"/>
        <w:numPr>
          <w:ilvl w:val="0"/>
          <w:numId w:val="0"/>
        </w:numPr>
        <w:rPr>
          <w:noProof w:val="0"/>
          <w:spacing w:val="-1"/>
          <w:lang w:eastAsia="x-none"/>
        </w:rPr>
      </w:pPr>
      <w:r>
        <w:rPr>
          <w:i w:val="0"/>
          <w:iCs w:val="0"/>
          <w:noProof w:val="0"/>
          <w:spacing w:val="-1"/>
          <w:lang w:eastAsia="x-none"/>
        </w:rPr>
        <w:t>C.</w:t>
      </w:r>
      <w:r w:rsidR="00C844ED" w:rsidRPr="00C844ED">
        <w:rPr>
          <w:noProof w:val="0"/>
          <w:spacing w:val="-1"/>
          <w:lang w:eastAsia="x-none"/>
        </w:rPr>
        <w:t xml:space="preserve"> </w:t>
      </w:r>
      <w:r w:rsidR="00CE46EC" w:rsidRPr="002A0838">
        <w:t>Opportunities</w:t>
      </w:r>
    </w:p>
    <w:p w14:paraId="1D669062" w14:textId="48ACAE83" w:rsidR="0036265D" w:rsidRPr="002A0838" w:rsidRDefault="0036265D" w:rsidP="0036265D">
      <w:pPr>
        <w:pStyle w:val="BodyText"/>
        <w:rPr>
          <w:color w:val="000000" w:themeColor="text1"/>
        </w:rPr>
      </w:pPr>
      <w:r w:rsidRPr="00BC2129">
        <w:t xml:space="preserve">By​‍​‌‍​‍‌​‍​‌‍​‍‌ smartening automation, </w:t>
      </w:r>
      <w:r w:rsidR="00403614">
        <w:rPr>
          <w:lang w:val="en-US"/>
        </w:rPr>
        <w:t>A</w:t>
      </w:r>
      <w:r w:rsidRPr="00BC2129">
        <w:t xml:space="preserve">AI in Industry 5.0 generates </w:t>
      </w:r>
      <w:r w:rsidR="00403614">
        <w:t>numerous opportunities</w:t>
      </w:r>
      <w:r w:rsidR="00403614">
        <w:rPr>
          <w:lang w:val="en-US"/>
        </w:rPr>
        <w:t xml:space="preserve"> </w:t>
      </w:r>
      <w:r w:rsidRPr="00BC2129">
        <w:t>for AAI to interact with humans and machines as well as to use predictive intelligence for a complete revolution of the industrial sectors</w:t>
      </w:r>
      <w:r>
        <w:t xml:space="preserve"> [3]</w:t>
      </w:r>
      <w:r w:rsidRPr="00BC2129">
        <w:t>. In addition, it is by far similar to what the planet desires to do in order to survive; providing clean technologies and better managing resources, thus ensuring sustainability of production. Furthermore, AAI not only facilitates a smoother interaction between different entities but also impels companies to innovate, enhances the personal aspect of products and infuse the creativity field with an infinite number of novel ​‍​‌‍​‍‌​‍​‌‍​‍‌ideas</w:t>
      </w:r>
      <w:r>
        <w:t>[2]</w:t>
      </w:r>
      <w:r w:rsidRPr="00BC2129">
        <w:t>.</w:t>
      </w:r>
      <w:r>
        <w:t xml:space="preserve"> All of these talents together make industries more resilient, competitive, and ready for potential difficulties in the long run.</w:t>
      </w:r>
    </w:p>
    <w:p w14:paraId="5D90426B" w14:textId="6D4B3025" w:rsidR="00BA5E2B" w:rsidRPr="003C5886" w:rsidRDefault="0036265D" w:rsidP="0036265D">
      <w:pPr>
        <w:pStyle w:val="Heading2"/>
        <w:numPr>
          <w:ilvl w:val="0"/>
          <w:numId w:val="0"/>
        </w:numPr>
        <w:rPr>
          <w:color w:val="000000" w:themeColor="text1"/>
        </w:rPr>
      </w:pPr>
      <w:r>
        <w:rPr>
          <w:color w:val="000000" w:themeColor="text1"/>
        </w:rPr>
        <w:t xml:space="preserve">D. </w:t>
      </w:r>
      <w:r w:rsidR="00F55A91" w:rsidRPr="002A0838">
        <w:rPr>
          <w:color w:val="000000" w:themeColor="text1"/>
        </w:rPr>
        <w:t>Threats</w:t>
      </w:r>
    </w:p>
    <w:p w14:paraId="2E9888CA" w14:textId="3E68B901" w:rsidR="003C5886" w:rsidRPr="002A0838" w:rsidRDefault="0036265D" w:rsidP="005253C5">
      <w:pPr>
        <w:pStyle w:val="BodyText"/>
        <w:rPr>
          <w:color w:val="000000" w:themeColor="text1"/>
        </w:rPr>
      </w:pPr>
      <w:r>
        <w:t xml:space="preserve">The AAI model has </w:t>
      </w:r>
      <w:r w:rsidR="005253C5">
        <w:rPr>
          <w:lang w:val="en-US"/>
        </w:rPr>
        <w:t>considerable</w:t>
      </w:r>
      <w:r>
        <w:t xml:space="preserve"> potential in Industry 5.0, but it also faces </w:t>
      </w:r>
      <w:r w:rsidR="005253C5">
        <w:rPr>
          <w:lang w:val="en-US"/>
        </w:rPr>
        <w:t>numerous</w:t>
      </w:r>
      <w:r>
        <w:t xml:space="preserve"> </w:t>
      </w:r>
      <w:r>
        <w:rPr>
          <w:lang w:val="en-US"/>
        </w:rPr>
        <w:t xml:space="preserve">threats </w:t>
      </w:r>
      <w:r>
        <w:t>that m</w:t>
      </w:r>
      <w:r w:rsidR="005253C5">
        <w:rPr>
          <w:lang w:val="en-US"/>
        </w:rPr>
        <w:t>ay render</w:t>
      </w:r>
      <w:r>
        <w:t xml:space="preserve"> it less </w:t>
      </w:r>
      <w:r>
        <w:rPr>
          <w:lang w:val="en-US"/>
        </w:rPr>
        <w:t xml:space="preserve">acceptable </w:t>
      </w:r>
      <w:r>
        <w:t xml:space="preserve">and less likely to be </w:t>
      </w:r>
      <w:r w:rsidR="005253C5">
        <w:rPr>
          <w:lang w:val="en-US"/>
        </w:rPr>
        <w:t>adopt</w:t>
      </w:r>
      <w:r>
        <w:t xml:space="preserve">ed. It is </w:t>
      </w:r>
      <w:r w:rsidR="005253C5">
        <w:rPr>
          <w:lang w:val="en-US"/>
        </w:rPr>
        <w:t>concern</w:t>
      </w:r>
      <w:r>
        <w:t xml:space="preserve">ed about cybersecurity </w:t>
      </w:r>
      <w:proofErr w:type="spellStart"/>
      <w:r w:rsidR="005253C5">
        <w:rPr>
          <w:lang w:val="en-US"/>
        </w:rPr>
        <w:t>vulnerabiliti</w:t>
      </w:r>
      <w:proofErr w:type="spellEnd"/>
      <w:r>
        <w:t xml:space="preserve">es, data breaches, and the </w:t>
      </w:r>
      <w:r w:rsidR="005253C5">
        <w:rPr>
          <w:lang w:val="en-US"/>
        </w:rPr>
        <w:t>mis</w:t>
      </w:r>
      <w:r>
        <w:t xml:space="preserve">use of autonomous decision-making, which could </w:t>
      </w:r>
      <w:r w:rsidR="005253C5">
        <w:rPr>
          <w:lang w:val="en-US"/>
        </w:rPr>
        <w:t>compromise</w:t>
      </w:r>
      <w:r>
        <w:t xml:space="preserve"> industrial operations and </w:t>
      </w:r>
      <w:r w:rsidR="005253C5">
        <w:rPr>
          <w:lang w:val="en-US"/>
        </w:rPr>
        <w:t xml:space="preserve">erode </w:t>
      </w:r>
      <w:r>
        <w:t xml:space="preserve">confidence among stakeholders. The </w:t>
      </w:r>
      <w:r w:rsidR="005253C5">
        <w:rPr>
          <w:lang w:val="en-US"/>
        </w:rPr>
        <w:t>rapid pace</w:t>
      </w:r>
      <w:r>
        <w:t xml:space="preserve"> of technolog</w:t>
      </w:r>
      <w:r w:rsidR="005253C5">
        <w:rPr>
          <w:lang w:val="en-US"/>
        </w:rPr>
        <w:t>ical</w:t>
      </w:r>
      <w:r>
        <w:t xml:space="preserve"> change may exceed the rules that govern it, leaving </w:t>
      </w:r>
      <w:r w:rsidR="005253C5">
        <w:rPr>
          <w:lang w:val="en-US"/>
        </w:rPr>
        <w:t>significant gap</w:t>
      </w:r>
      <w:r>
        <w:t>s in compliance and governance</w:t>
      </w:r>
      <w:r w:rsidR="005253C5">
        <w:rPr>
          <w:lang w:val="en-US"/>
        </w:rPr>
        <w:t xml:space="preserve">. </w:t>
      </w:r>
      <w:r>
        <w:t>[1] A</w:t>
      </w:r>
      <w:r w:rsidR="005253C5">
        <w:rPr>
          <w:lang w:val="en-US"/>
        </w:rPr>
        <w:t>dditionally</w:t>
      </w:r>
      <w:r>
        <w:t xml:space="preserve">, the possibility of job loss, the workforce's </w:t>
      </w:r>
      <w:r w:rsidR="005253C5">
        <w:rPr>
          <w:lang w:val="en-US"/>
        </w:rPr>
        <w:t>reluctance</w:t>
      </w:r>
      <w:r>
        <w:t xml:space="preserve"> to adapt, and ethical </w:t>
      </w:r>
      <w:r w:rsidR="005253C5">
        <w:rPr>
          <w:lang w:val="en-US"/>
        </w:rPr>
        <w:t>concern</w:t>
      </w:r>
      <w:r>
        <w:t xml:space="preserve">s in decision-making could all make it </w:t>
      </w:r>
      <w:r w:rsidR="005253C5">
        <w:rPr>
          <w:lang w:val="en-US"/>
        </w:rPr>
        <w:t>more challenging</w:t>
      </w:r>
      <w:r>
        <w:t xml:space="preserve"> to </w:t>
      </w:r>
      <w:r w:rsidR="005253C5">
        <w:rPr>
          <w:lang w:val="en-US"/>
        </w:rPr>
        <w:t>persuade</w:t>
      </w:r>
      <w:r>
        <w:t xml:space="preserve"> people to </w:t>
      </w:r>
      <w:r w:rsidR="005253C5">
        <w:rPr>
          <w:lang w:val="en-US"/>
        </w:rPr>
        <w:t>adopt</w:t>
      </w:r>
      <w:r>
        <w:t xml:space="preserve"> it.</w:t>
      </w:r>
    </w:p>
    <w:p w14:paraId="3BF5BCCD" w14:textId="0F72BEBA" w:rsidR="00453141" w:rsidRPr="002A0838" w:rsidRDefault="003F1205" w:rsidP="004664D7">
      <w:pPr>
        <w:pStyle w:val="Heading1"/>
        <w:rPr>
          <w:color w:val="000000" w:themeColor="text1"/>
        </w:rPr>
      </w:pPr>
      <w:r w:rsidRPr="002A0838">
        <w:rPr>
          <w:color w:val="000000" w:themeColor="text1"/>
        </w:rPr>
        <w:t>Conclusion</w:t>
      </w:r>
    </w:p>
    <w:p w14:paraId="44B99EAF" w14:textId="43D8B752" w:rsidR="0036265D" w:rsidRDefault="0036265D" w:rsidP="0036265D">
      <w:pPr>
        <w:pStyle w:val="BodyText"/>
        <w:rPr>
          <w:color w:val="000000"/>
        </w:rPr>
      </w:pPr>
      <w:r>
        <w:rPr>
          <w:color w:val="000000"/>
        </w:rPr>
        <w:t xml:space="preserve">This paper highlights the growing role of Agentic Artificial Intelligence in Industry 5.0, necessitating more intelligent, efficient, and human centered industrial systems. It describes the way in which </w:t>
      </w:r>
      <w:r w:rsidRPr="0036265D">
        <w:t>autonomous</w:t>
      </w:r>
      <w:r>
        <w:rPr>
          <w:color w:val="000000"/>
        </w:rPr>
        <w:t xml:space="preserve">, context aware agents can be used to </w:t>
      </w:r>
      <w:r>
        <w:rPr>
          <w:color w:val="000000"/>
        </w:rPr>
        <w:lastRenderedPageBreak/>
        <w:t>decision making and gives the composition of the AAI model and what each of its layers does. A SWOT analysis is c</w:t>
      </w:r>
      <w:r w:rsidR="005253C5">
        <w:rPr>
          <w:color w:val="000000"/>
          <w:lang w:val="en-US"/>
        </w:rPr>
        <w:t>onducted</w:t>
      </w:r>
      <w:r>
        <w:rPr>
          <w:color w:val="000000"/>
        </w:rPr>
        <w:t xml:space="preserve"> to </w:t>
      </w:r>
      <w:r w:rsidR="005253C5">
        <w:rPr>
          <w:color w:val="000000"/>
          <w:lang w:val="en-US"/>
        </w:rPr>
        <w:t>assess</w:t>
      </w:r>
      <w:r>
        <w:rPr>
          <w:color w:val="000000"/>
        </w:rPr>
        <w:t xml:space="preserve"> the strengths and challenges of AAI adoption, th</w:t>
      </w:r>
      <w:r w:rsidR="005253C5">
        <w:rPr>
          <w:color w:val="000000"/>
          <w:lang w:val="en-US"/>
        </w:rPr>
        <w:t>ereby</w:t>
      </w:r>
      <w:r>
        <w:rPr>
          <w:color w:val="000000"/>
        </w:rPr>
        <w:t xml:space="preserve"> helping to identify areas where </w:t>
      </w:r>
      <w:r w:rsidR="005253C5">
        <w:rPr>
          <w:color w:val="000000"/>
          <w:lang w:val="en-US"/>
        </w:rPr>
        <w:t>further</w:t>
      </w:r>
      <w:r>
        <w:rPr>
          <w:color w:val="000000"/>
        </w:rPr>
        <w:t xml:space="preserve"> research is </w:t>
      </w:r>
      <w:r w:rsidR="005253C5">
        <w:rPr>
          <w:color w:val="000000"/>
          <w:lang w:val="en-US"/>
        </w:rPr>
        <w:t>need</w:t>
      </w:r>
      <w:r>
        <w:rPr>
          <w:color w:val="000000"/>
        </w:rPr>
        <w:t xml:space="preserve">ed. In general, AAI is a strong enabler of increased industrial productivity, safety, sustainability, and human machine collaboration. The next steps should include on the fly case studies to gauge system performance in fluctuating scenarios and </w:t>
      </w:r>
      <w:r w:rsidR="003D4DFB">
        <w:t>in-depth analysis of system capabilities</w:t>
      </w:r>
      <w:r w:rsidR="003D4DFB">
        <w:rPr>
          <w:lang w:val="en-US"/>
        </w:rPr>
        <w:t xml:space="preserve"> </w:t>
      </w:r>
      <w:r>
        <w:rPr>
          <w:color w:val="000000"/>
        </w:rPr>
        <w:t>such as scalability, security, and reliability.</w:t>
      </w:r>
    </w:p>
    <w:p w14:paraId="7DBB096A" w14:textId="043CAFFA" w:rsidR="00A135C6" w:rsidRPr="002A0838" w:rsidRDefault="0036265D" w:rsidP="0036265D">
      <w:pPr>
        <w:pStyle w:val="BodyText"/>
        <w:rPr>
          <w:color w:val="000000" w:themeColor="text1"/>
        </w:rPr>
      </w:pPr>
      <w:r>
        <w:rPr>
          <w:color w:val="000000"/>
        </w:rPr>
        <w:t xml:space="preserve">                                    </w:t>
      </w:r>
      <w:r w:rsidR="00A135C6" w:rsidRPr="002A0838">
        <w:rPr>
          <w:color w:val="000000" w:themeColor="text1"/>
        </w:rPr>
        <w:t>References</w:t>
      </w:r>
    </w:p>
    <w:p w14:paraId="430D3EBA" w14:textId="5F9F326B" w:rsidR="00A135C6" w:rsidRDefault="00A135C6" w:rsidP="00E6057F">
      <w:pPr>
        <w:pStyle w:val="references"/>
        <w:numPr>
          <w:ilvl w:val="0"/>
          <w:numId w:val="0"/>
        </w:numPr>
        <w:rPr>
          <w:color w:val="000000" w:themeColor="text1"/>
        </w:rPr>
      </w:pPr>
    </w:p>
    <w:p w14:paraId="066A62DD" w14:textId="55A839CF" w:rsidR="00E6057F" w:rsidRPr="00462544" w:rsidRDefault="00E6057F" w:rsidP="00A135C6">
      <w:pPr>
        <w:pStyle w:val="references"/>
        <w:ind w:left="354" w:hanging="354"/>
        <w:rPr>
          <w:color w:val="000000" w:themeColor="text1"/>
        </w:rPr>
      </w:pPr>
      <w:r w:rsidRPr="00E6057F">
        <w:rPr>
          <w:color w:val="000000" w:themeColor="text1"/>
        </w:rPr>
        <w:t>Chaudhary, Narendra Singh, et al. "AI and the Future of Talent Management: Revolutionizing Workforce Strategies for a Dynamic World." Global Work Arrangements and Outsourcing in the Age of AI, edited by Mohit Yadav, et al., IGI Global Scientific Publishing, 2025, pp. 297-316. </w:t>
      </w:r>
      <w:hyperlink r:id="rId14" w:tgtFrame="_blank" w:history="1">
        <w:r w:rsidRPr="00E6057F">
          <w:rPr>
            <w:color w:val="000000" w:themeColor="text1"/>
          </w:rPr>
          <w:t>https://doi.org/10.4018/979-8-3373-1270-5.ch017</w:t>
        </w:r>
      </w:hyperlink>
    </w:p>
    <w:p w14:paraId="6E2C3524" w14:textId="77777777" w:rsidR="00A135C6" w:rsidRDefault="00A135C6" w:rsidP="00A135C6">
      <w:pPr>
        <w:pStyle w:val="references"/>
        <w:ind w:left="354" w:hanging="354"/>
        <w:rPr>
          <w:color w:val="000000" w:themeColor="text1"/>
        </w:rPr>
      </w:pPr>
      <w:r w:rsidRPr="00462544">
        <w:rPr>
          <w:color w:val="000000" w:themeColor="text1"/>
        </w:rPr>
        <w:t>I. Trunina, M. Bilyk and Y. Yakovenko, "Artificial Intelligence from Industry 5.0 Perspective: Threats and Challenges," 2023 IEEE 5th International Conference on Modern Electrical and Energy System (MEES), Kremenchuk, Ukraine, 2023, pp. 1-5, doi: 10.1109/MEES61502.2023.10402468.</w:t>
      </w:r>
    </w:p>
    <w:p w14:paraId="30FFA289" w14:textId="77777777" w:rsidR="00A135C6" w:rsidRDefault="00A135C6" w:rsidP="00A135C6">
      <w:pPr>
        <w:pStyle w:val="references"/>
        <w:ind w:left="354" w:hanging="354"/>
        <w:rPr>
          <w:color w:val="000000" w:themeColor="text1"/>
        </w:rPr>
      </w:pPr>
      <w:r w:rsidRPr="00F9058B">
        <w:rPr>
          <w:color w:val="000000" w:themeColor="text1"/>
        </w:rPr>
        <w:t>E. Mukul and M. Güler, "An Integrated Hesitant Fuzzy-based SWOT Analysis for Industry 5.0 Technology Evaluation," 2024 8th International Symposium on Innovative Approaches in Smart Technologies (ISAS), İstanbul, Turkiye, 2024, pp. 1-6, doi: 10.1109/ISAS64331.2024.10845640.</w:t>
      </w:r>
    </w:p>
    <w:p w14:paraId="5A0B305E" w14:textId="77777777" w:rsidR="00A135C6" w:rsidRDefault="00A135C6" w:rsidP="00A135C6">
      <w:pPr>
        <w:pStyle w:val="references"/>
        <w:ind w:left="354" w:hanging="354"/>
        <w:rPr>
          <w:color w:val="000000" w:themeColor="text1"/>
        </w:rPr>
      </w:pPr>
      <w:r w:rsidRPr="00387984">
        <w:rPr>
          <w:color w:val="000000" w:themeColor="text1"/>
        </w:rPr>
        <w:t>A. K. Pati, "Agentic AI: A Comprehensive Survey of Technologies, Applications, and Societal Implications," in </w:t>
      </w:r>
      <w:r w:rsidRPr="00643647">
        <w:rPr>
          <w:color w:val="000000" w:themeColor="text1"/>
        </w:rPr>
        <w:t>IEEE Access</w:t>
      </w:r>
      <w:r w:rsidRPr="00387984">
        <w:rPr>
          <w:color w:val="000000" w:themeColor="text1"/>
        </w:rPr>
        <w:t>, doi: 10.1109/ACCESS.2025.3585609.</w:t>
      </w:r>
    </w:p>
    <w:p w14:paraId="7A4B74BD" w14:textId="77777777" w:rsidR="00A135C6" w:rsidRPr="00387984" w:rsidRDefault="00A135C6" w:rsidP="00A135C6">
      <w:pPr>
        <w:pStyle w:val="references"/>
        <w:ind w:left="354" w:hanging="354"/>
        <w:rPr>
          <w:color w:val="000000" w:themeColor="text1"/>
        </w:rPr>
      </w:pPr>
      <w:r w:rsidRPr="00643647">
        <w:rPr>
          <w:color w:val="000000" w:themeColor="text1"/>
        </w:rPr>
        <w:t>A. Khamis, "Agentic AI Systems: Architecture and Evaluation Using a Frictionless Parking Scenario," in </w:t>
      </w:r>
      <w:r w:rsidRPr="00643647">
        <w:rPr>
          <w:i/>
          <w:iCs/>
          <w:color w:val="000000" w:themeColor="text1"/>
        </w:rPr>
        <w:t>IEEE Access</w:t>
      </w:r>
      <w:r w:rsidRPr="00643647">
        <w:rPr>
          <w:color w:val="000000" w:themeColor="text1"/>
        </w:rPr>
        <w:t>, vol. 13, pp. 126052-126069, 2025, doi: 10.1109/ACCESS.2025.3590264.</w:t>
      </w:r>
    </w:p>
    <w:p w14:paraId="3BCA7AC2" w14:textId="77777777" w:rsidR="00A135C6" w:rsidRPr="00643647" w:rsidRDefault="00A135C6" w:rsidP="00A135C6">
      <w:pPr>
        <w:pStyle w:val="references"/>
        <w:ind w:left="354" w:hanging="354"/>
        <w:rPr>
          <w:color w:val="000000" w:themeColor="text1"/>
        </w:rPr>
      </w:pPr>
      <w:r w:rsidRPr="00643647">
        <w:rPr>
          <w:color w:val="000000" w:themeColor="text1"/>
        </w:rPr>
        <w:t xml:space="preserve">Tiwari, Alok. 2025. "Beyond Automation: The Emergence of Agentic Urban AI" Automation 6, no. 3: 29. </w:t>
      </w:r>
      <w:hyperlink r:id="rId15" w:history="1">
        <w:r w:rsidRPr="00643647">
          <w:rPr>
            <w:color w:val="000000" w:themeColor="text1"/>
          </w:rPr>
          <w:t>https://doi.org/10.3390/automation6030029</w:t>
        </w:r>
      </w:hyperlink>
    </w:p>
    <w:p w14:paraId="61D4474E" w14:textId="77777777" w:rsidR="00A135C6" w:rsidRDefault="00A135C6" w:rsidP="00A135C6">
      <w:pPr>
        <w:pStyle w:val="references"/>
        <w:ind w:left="354" w:hanging="354"/>
        <w:rPr>
          <w:color w:val="000000" w:themeColor="text1"/>
        </w:rPr>
      </w:pPr>
      <w:r w:rsidRPr="00643647">
        <w:rPr>
          <w:color w:val="000000" w:themeColor="text1"/>
        </w:rPr>
        <w:t>Francesco Piccialli , Diletta Chiaro , Sundas Sarwar , Donato Cerciello , Pian Qi , Valeria Mele</w:t>
      </w:r>
      <w:r>
        <w:rPr>
          <w:color w:val="000000" w:themeColor="text1"/>
        </w:rPr>
        <w:t>.</w:t>
      </w:r>
      <w:r w:rsidRPr="00643647">
        <w:rPr>
          <w:color w:val="000000" w:themeColor="text1"/>
        </w:rPr>
        <w:t xml:space="preserve"> "AgentAI: A Comprehensive Survey on Autonomous Agents in Distributed AI for Industry 4.0." Expert Systems with Applications, vol. 291, 2025, p. 128404, </w:t>
      </w:r>
      <w:hyperlink r:id="rId16" w:history="1">
        <w:r w:rsidRPr="00643647">
          <w:rPr>
            <w:color w:val="000000" w:themeColor="text1"/>
          </w:rPr>
          <w:t>https://doi.org/10.1016/j.eswa.2025.128404</w:t>
        </w:r>
      </w:hyperlink>
      <w:r w:rsidRPr="00643647">
        <w:rPr>
          <w:color w:val="000000" w:themeColor="text1"/>
        </w:rPr>
        <w:t>.</w:t>
      </w:r>
    </w:p>
    <w:p w14:paraId="34096798" w14:textId="06EF29C8" w:rsidR="00E6057F" w:rsidRPr="00643647" w:rsidRDefault="00E6057F" w:rsidP="00A135C6">
      <w:pPr>
        <w:pStyle w:val="references"/>
        <w:ind w:left="354" w:hanging="354"/>
        <w:rPr>
          <w:color w:val="000000" w:themeColor="text1"/>
        </w:rPr>
      </w:pPr>
      <w:r w:rsidRPr="00E6057F">
        <w:rPr>
          <w:color w:val="000000" w:themeColor="text1"/>
        </w:rPr>
        <w:t>Vourganas, Ioannis, Hani Attar, and Anna Lito Michala. "Accountable, responsible, transparent artificial intelligence in ambient intelligence systems for healthcare." Intelligent healthcare: infrastructure, algorithms and management. Singapore: Springer Nature Singapore, 2022. 87-111.</w:t>
      </w:r>
    </w:p>
    <w:p w14:paraId="27C06B95" w14:textId="77777777" w:rsidR="00A135C6" w:rsidRDefault="00A135C6" w:rsidP="00A135C6">
      <w:pPr>
        <w:pStyle w:val="references"/>
        <w:ind w:left="354" w:hanging="354"/>
        <w:rPr>
          <w:color w:val="000000" w:themeColor="text1"/>
        </w:rPr>
      </w:pPr>
      <w:r w:rsidRPr="00F412D4">
        <w:rPr>
          <w:color w:val="000000" w:themeColor="text1"/>
        </w:rPr>
        <w:t>Brohi, Sarfraz, Qurat-ul-ain Mastoi, N. Z. Jhanjhi, and Thulasyammal Ramiah Pillai. 2025. "A Research Landscape of Agentic AI and Large Language Models: Applications, Challenges and Future Directions" </w:t>
      </w:r>
      <w:r w:rsidRPr="00B428A9">
        <w:rPr>
          <w:color w:val="000000" w:themeColor="text1"/>
        </w:rPr>
        <w:t>Algorithms</w:t>
      </w:r>
      <w:r w:rsidRPr="00F412D4">
        <w:rPr>
          <w:color w:val="000000" w:themeColor="text1"/>
        </w:rPr>
        <w:t xml:space="preserve"> 18, no. 8: 499. </w:t>
      </w:r>
      <w:hyperlink r:id="rId17" w:history="1">
        <w:r w:rsidRPr="00B428A9">
          <w:rPr>
            <w:color w:val="000000" w:themeColor="text1"/>
          </w:rPr>
          <w:t>https://doi.org/10.3390/a18080499</w:t>
        </w:r>
      </w:hyperlink>
    </w:p>
    <w:p w14:paraId="1BEBEA5B" w14:textId="77777777" w:rsidR="00A135C6" w:rsidRPr="0097530A" w:rsidRDefault="00A135C6" w:rsidP="00A135C6">
      <w:pPr>
        <w:pStyle w:val="references"/>
        <w:ind w:left="354" w:hanging="354"/>
        <w:rPr>
          <w:color w:val="000000" w:themeColor="text1"/>
        </w:rPr>
      </w:pPr>
      <w:r w:rsidRPr="00B428A9">
        <w:rPr>
          <w:color w:val="000000" w:themeColor="text1"/>
        </w:rPr>
        <w:t>M. Sharma, A. Tomar and A. Hazra, "From Connectivity to Intelligence: The Game-Changing Role of AI and IoT in Industry 5.0," in </w:t>
      </w:r>
      <w:r w:rsidRPr="00435670">
        <w:rPr>
          <w:color w:val="000000" w:themeColor="text1"/>
        </w:rPr>
        <w:t>IEEE Consumer Electronics Magazine</w:t>
      </w:r>
      <w:r w:rsidRPr="00B428A9">
        <w:rPr>
          <w:color w:val="000000" w:themeColor="text1"/>
        </w:rPr>
        <w:t>, doi: 10.1109/MCE.2024.3470340. </w:t>
      </w:r>
    </w:p>
    <w:p w14:paraId="448A5384" w14:textId="77777777" w:rsidR="00A135C6" w:rsidRPr="00F412D4" w:rsidRDefault="00A135C6" w:rsidP="00A135C6">
      <w:pPr>
        <w:pStyle w:val="references"/>
        <w:ind w:left="354" w:hanging="354"/>
        <w:rPr>
          <w:color w:val="000000" w:themeColor="text1"/>
        </w:rPr>
      </w:pPr>
      <w:r w:rsidRPr="00435670">
        <w:rPr>
          <w:color w:val="000000" w:themeColor="text1"/>
        </w:rPr>
        <w:t>Adel, A. Future of industry 5.0 in society: human-centric solutions, challenges</w:t>
      </w:r>
      <w:r>
        <w:rPr>
          <w:color w:val="000000" w:themeColor="text1"/>
        </w:rPr>
        <w:t>,</w:t>
      </w:r>
      <w:r w:rsidRPr="00435670">
        <w:rPr>
          <w:color w:val="000000" w:themeColor="text1"/>
        </w:rPr>
        <w:t xml:space="preserve"> and prospective research areas. J Cloud Comp 11, 40 (2022). https://doi.org/10.1186/s13677-022-00314-5</w:t>
      </w:r>
    </w:p>
    <w:p w14:paraId="2A5DE92A" w14:textId="7F27244F" w:rsidR="00387984" w:rsidRPr="00E6057F" w:rsidRDefault="00387984" w:rsidP="00E6057F">
      <w:pPr>
        <w:pStyle w:val="references"/>
        <w:ind w:left="354" w:hanging="354"/>
        <w:rPr>
          <w:color w:val="000000" w:themeColor="text1"/>
        </w:rPr>
        <w:sectPr w:rsidR="00387984" w:rsidRPr="00E6057F" w:rsidSect="00C919A4">
          <w:type w:val="continuous"/>
          <w:pgSz w:w="12240" w:h="15840" w:code="1"/>
          <w:pgMar w:top="1080" w:right="907" w:bottom="1440" w:left="907" w:header="720" w:footer="720" w:gutter="0"/>
          <w:cols w:num="2" w:space="360"/>
          <w:docGrid w:linePitch="360"/>
        </w:sectPr>
      </w:pPr>
    </w:p>
    <w:p w14:paraId="6FC6C90C" w14:textId="77777777" w:rsidR="009303D9" w:rsidRPr="0074434E" w:rsidRDefault="009303D9" w:rsidP="00E6057F">
      <w:pPr>
        <w:jc w:val="both"/>
        <w:rPr>
          <w:color w:val="FF0000"/>
        </w:rPr>
      </w:pPr>
    </w:p>
    <w:sectPr w:rsidR="009303D9" w:rsidRPr="0074434E">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87FF" w14:textId="77777777" w:rsidR="008C7A2F" w:rsidRDefault="008C7A2F" w:rsidP="001A3B3D">
      <w:r>
        <w:separator/>
      </w:r>
    </w:p>
  </w:endnote>
  <w:endnote w:type="continuationSeparator" w:id="0">
    <w:p w14:paraId="2D219D69" w14:textId="77777777" w:rsidR="008C7A2F" w:rsidRDefault="008C7A2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E824" w14:textId="77777777" w:rsidR="008C7A2F" w:rsidRDefault="008C7A2F" w:rsidP="001A3B3D">
      <w:r>
        <w:separator/>
      </w:r>
    </w:p>
  </w:footnote>
  <w:footnote w:type="continuationSeparator" w:id="0">
    <w:p w14:paraId="0219801A" w14:textId="77777777" w:rsidR="008C7A2F" w:rsidRDefault="008C7A2F"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01C94"/>
    <w:multiLevelType w:val="hybridMultilevel"/>
    <w:tmpl w:val="18E0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6BEA751E"/>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5"/>
  </w:num>
  <w:num w:numId="2" w16cid:durableId="1397439891">
    <w:abstractNumId w:val="20"/>
  </w:num>
  <w:num w:numId="3" w16cid:durableId="539585121">
    <w:abstractNumId w:val="14"/>
  </w:num>
  <w:num w:numId="4" w16cid:durableId="1505513160">
    <w:abstractNumId w:val="17"/>
  </w:num>
  <w:num w:numId="5" w16cid:durableId="978925957">
    <w:abstractNumId w:val="17"/>
  </w:num>
  <w:num w:numId="6" w16cid:durableId="1721400726">
    <w:abstractNumId w:val="17"/>
  </w:num>
  <w:num w:numId="7" w16cid:durableId="687826470">
    <w:abstractNumId w:val="17"/>
  </w:num>
  <w:num w:numId="8" w16cid:durableId="143812469">
    <w:abstractNumId w:val="19"/>
  </w:num>
  <w:num w:numId="9" w16cid:durableId="1364867722">
    <w:abstractNumId w:val="21"/>
  </w:num>
  <w:num w:numId="10" w16cid:durableId="2029989048">
    <w:abstractNumId w:val="16"/>
  </w:num>
  <w:num w:numId="11" w16cid:durableId="642739898">
    <w:abstractNumId w:val="13"/>
  </w:num>
  <w:num w:numId="12" w16cid:durableId="1272741182">
    <w:abstractNumId w:val="12"/>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8"/>
  </w:num>
  <w:num w:numId="25" w16cid:durableId="1917282883">
    <w:abstractNumId w:val="19"/>
  </w:num>
  <w:num w:numId="26" w16cid:durableId="980110393">
    <w:abstractNumId w:val="18"/>
  </w:num>
  <w:num w:numId="27" w16cid:durableId="118450440">
    <w:abstractNumId w:val="20"/>
  </w:num>
  <w:num w:numId="28" w16cid:durableId="91053193">
    <w:abstractNumId w:val="15"/>
  </w:num>
  <w:num w:numId="29" w16cid:durableId="1135832935">
    <w:abstractNumId w:val="15"/>
  </w:num>
  <w:num w:numId="30" w16cid:durableId="1606647591">
    <w:abstractNumId w:val="17"/>
  </w:num>
  <w:num w:numId="31" w16cid:durableId="1909800444">
    <w:abstractNumId w:val="20"/>
  </w:num>
  <w:num w:numId="32" w16cid:durableId="952638093">
    <w:abstractNumId w:val="17"/>
  </w:num>
  <w:num w:numId="33" w16cid:durableId="669410453">
    <w:abstractNumId w:val="11"/>
  </w:num>
  <w:num w:numId="34" w16cid:durableId="1518303455">
    <w:abstractNumId w:val="15"/>
  </w:num>
  <w:num w:numId="35" w16cid:durableId="1661233127">
    <w:abstractNumId w:val="15"/>
  </w:num>
  <w:num w:numId="36" w16cid:durableId="1409033664">
    <w:abstractNumId w:val="17"/>
  </w:num>
  <w:num w:numId="37" w16cid:durableId="1497308459">
    <w:abstractNumId w:val="17"/>
  </w:num>
  <w:num w:numId="38" w16cid:durableId="121121165">
    <w:abstractNumId w:val="17"/>
  </w:num>
  <w:num w:numId="39" w16cid:durableId="1452743428">
    <w:abstractNumId w:val="17"/>
  </w:num>
  <w:num w:numId="40" w16cid:durableId="164562978">
    <w:abstractNumId w:val="19"/>
  </w:num>
  <w:num w:numId="41" w16cid:durableId="1268780326">
    <w:abstractNumId w:val="19"/>
  </w:num>
  <w:num w:numId="42" w16cid:durableId="1736970723">
    <w:abstractNumId w:val="15"/>
  </w:num>
  <w:num w:numId="43" w16cid:durableId="1158420563">
    <w:abstractNumId w:val="15"/>
  </w:num>
  <w:num w:numId="44" w16cid:durableId="847911583">
    <w:abstractNumId w:val="17"/>
  </w:num>
  <w:num w:numId="45" w16cid:durableId="1762099188">
    <w:abstractNumId w:val="20"/>
  </w:num>
  <w:num w:numId="46" w16cid:durableId="689988197">
    <w:abstractNumId w:val="20"/>
  </w:num>
  <w:num w:numId="47" w16cid:durableId="1255821729">
    <w:abstractNumId w:val="19"/>
  </w:num>
  <w:num w:numId="48" w16cid:durableId="864826685">
    <w:abstractNumId w:val="19"/>
  </w:num>
  <w:num w:numId="49" w16cid:durableId="769086351">
    <w:abstractNumId w:val="19"/>
  </w:num>
  <w:num w:numId="50" w16cid:durableId="992022897">
    <w:abstractNumId w:val="19"/>
  </w:num>
  <w:num w:numId="51" w16cid:durableId="1054543777">
    <w:abstractNumId w:val="19"/>
  </w:num>
  <w:num w:numId="52" w16cid:durableId="1064644356">
    <w:abstractNumId w:val="19"/>
  </w:num>
  <w:num w:numId="53" w16cid:durableId="637342357">
    <w:abstractNumId w:val="19"/>
  </w:num>
  <w:num w:numId="54" w16cid:durableId="786195751">
    <w:abstractNumId w:val="19"/>
  </w:num>
  <w:num w:numId="55" w16cid:durableId="2069645762">
    <w:abstractNumId w:val="15"/>
  </w:num>
  <w:num w:numId="56" w16cid:durableId="817040319">
    <w:abstractNumId w:val="19"/>
  </w:num>
  <w:num w:numId="57" w16cid:durableId="1519856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006"/>
    <w:rsid w:val="00014232"/>
    <w:rsid w:val="00035C0B"/>
    <w:rsid w:val="00041399"/>
    <w:rsid w:val="000459F1"/>
    <w:rsid w:val="00046858"/>
    <w:rsid w:val="0004781E"/>
    <w:rsid w:val="00050D6D"/>
    <w:rsid w:val="00052674"/>
    <w:rsid w:val="00055720"/>
    <w:rsid w:val="00056E88"/>
    <w:rsid w:val="00057BD7"/>
    <w:rsid w:val="00061391"/>
    <w:rsid w:val="00061496"/>
    <w:rsid w:val="00065257"/>
    <w:rsid w:val="0008233B"/>
    <w:rsid w:val="0008758A"/>
    <w:rsid w:val="00090033"/>
    <w:rsid w:val="00093556"/>
    <w:rsid w:val="000A07BA"/>
    <w:rsid w:val="000A1420"/>
    <w:rsid w:val="000A21EC"/>
    <w:rsid w:val="000B6E88"/>
    <w:rsid w:val="000C1E68"/>
    <w:rsid w:val="000C45F3"/>
    <w:rsid w:val="000D4BA7"/>
    <w:rsid w:val="00126C04"/>
    <w:rsid w:val="00133FA3"/>
    <w:rsid w:val="00140F26"/>
    <w:rsid w:val="001414BF"/>
    <w:rsid w:val="001419A9"/>
    <w:rsid w:val="0014526B"/>
    <w:rsid w:val="00145EC9"/>
    <w:rsid w:val="001461C8"/>
    <w:rsid w:val="00150242"/>
    <w:rsid w:val="0015079E"/>
    <w:rsid w:val="00156467"/>
    <w:rsid w:val="00156B74"/>
    <w:rsid w:val="001753DF"/>
    <w:rsid w:val="00175FCC"/>
    <w:rsid w:val="001760E6"/>
    <w:rsid w:val="00180E80"/>
    <w:rsid w:val="001820F5"/>
    <w:rsid w:val="00182EE2"/>
    <w:rsid w:val="001A2EFD"/>
    <w:rsid w:val="001A3B3D"/>
    <w:rsid w:val="001A42EA"/>
    <w:rsid w:val="001B67DC"/>
    <w:rsid w:val="001B681A"/>
    <w:rsid w:val="001B7555"/>
    <w:rsid w:val="001D6A03"/>
    <w:rsid w:val="001D7BCF"/>
    <w:rsid w:val="001E4887"/>
    <w:rsid w:val="001E7ABF"/>
    <w:rsid w:val="001F12C9"/>
    <w:rsid w:val="001F3C4C"/>
    <w:rsid w:val="002032E6"/>
    <w:rsid w:val="00204023"/>
    <w:rsid w:val="002254A9"/>
    <w:rsid w:val="00231324"/>
    <w:rsid w:val="00233D97"/>
    <w:rsid w:val="00241A61"/>
    <w:rsid w:val="002524EF"/>
    <w:rsid w:val="0026135A"/>
    <w:rsid w:val="00280E27"/>
    <w:rsid w:val="0028250A"/>
    <w:rsid w:val="00283532"/>
    <w:rsid w:val="002850E3"/>
    <w:rsid w:val="00293B62"/>
    <w:rsid w:val="002966F4"/>
    <w:rsid w:val="00297C72"/>
    <w:rsid w:val="002A0838"/>
    <w:rsid w:val="002B2A88"/>
    <w:rsid w:val="002B385A"/>
    <w:rsid w:val="002B7600"/>
    <w:rsid w:val="002C05F9"/>
    <w:rsid w:val="002C3153"/>
    <w:rsid w:val="002C76D5"/>
    <w:rsid w:val="002D4721"/>
    <w:rsid w:val="002E395B"/>
    <w:rsid w:val="002F735F"/>
    <w:rsid w:val="002F7F71"/>
    <w:rsid w:val="003126A7"/>
    <w:rsid w:val="00315EA4"/>
    <w:rsid w:val="003160A5"/>
    <w:rsid w:val="00330213"/>
    <w:rsid w:val="00354FCF"/>
    <w:rsid w:val="0036265D"/>
    <w:rsid w:val="003635E4"/>
    <w:rsid w:val="00376EB4"/>
    <w:rsid w:val="003777BA"/>
    <w:rsid w:val="00387984"/>
    <w:rsid w:val="00391B19"/>
    <w:rsid w:val="003A1059"/>
    <w:rsid w:val="003A19E2"/>
    <w:rsid w:val="003B4DA2"/>
    <w:rsid w:val="003B7336"/>
    <w:rsid w:val="003C0D09"/>
    <w:rsid w:val="003C5886"/>
    <w:rsid w:val="003C6CE6"/>
    <w:rsid w:val="003D3F85"/>
    <w:rsid w:val="003D4DFB"/>
    <w:rsid w:val="003E43CC"/>
    <w:rsid w:val="003E5803"/>
    <w:rsid w:val="003E611D"/>
    <w:rsid w:val="003E7498"/>
    <w:rsid w:val="003F1205"/>
    <w:rsid w:val="00403614"/>
    <w:rsid w:val="00407D57"/>
    <w:rsid w:val="00414689"/>
    <w:rsid w:val="00421EC6"/>
    <w:rsid w:val="00426247"/>
    <w:rsid w:val="00427788"/>
    <w:rsid w:val="0043126E"/>
    <w:rsid w:val="004325FB"/>
    <w:rsid w:val="00435670"/>
    <w:rsid w:val="004403E9"/>
    <w:rsid w:val="00442419"/>
    <w:rsid w:val="004432BA"/>
    <w:rsid w:val="0044407E"/>
    <w:rsid w:val="00444D78"/>
    <w:rsid w:val="00445B2F"/>
    <w:rsid w:val="00452130"/>
    <w:rsid w:val="00453141"/>
    <w:rsid w:val="0045764D"/>
    <w:rsid w:val="00462493"/>
    <w:rsid w:val="00462544"/>
    <w:rsid w:val="004664D7"/>
    <w:rsid w:val="004840EC"/>
    <w:rsid w:val="004848DD"/>
    <w:rsid w:val="004909FC"/>
    <w:rsid w:val="00492624"/>
    <w:rsid w:val="00494F28"/>
    <w:rsid w:val="004A1C8D"/>
    <w:rsid w:val="004A2AF1"/>
    <w:rsid w:val="004B5601"/>
    <w:rsid w:val="004C24CC"/>
    <w:rsid w:val="004D3CD4"/>
    <w:rsid w:val="004D4C7D"/>
    <w:rsid w:val="004D5D0E"/>
    <w:rsid w:val="004D72B5"/>
    <w:rsid w:val="004E46C5"/>
    <w:rsid w:val="004E5CE7"/>
    <w:rsid w:val="004F09C2"/>
    <w:rsid w:val="005004E1"/>
    <w:rsid w:val="005253C5"/>
    <w:rsid w:val="0052677E"/>
    <w:rsid w:val="00531D5B"/>
    <w:rsid w:val="0054348D"/>
    <w:rsid w:val="00547E73"/>
    <w:rsid w:val="00551B7F"/>
    <w:rsid w:val="0055633F"/>
    <w:rsid w:val="005601DC"/>
    <w:rsid w:val="00561C38"/>
    <w:rsid w:val="0056610F"/>
    <w:rsid w:val="00575BCA"/>
    <w:rsid w:val="00575DC6"/>
    <w:rsid w:val="00581146"/>
    <w:rsid w:val="00592640"/>
    <w:rsid w:val="005929D8"/>
    <w:rsid w:val="005A161C"/>
    <w:rsid w:val="005A73DC"/>
    <w:rsid w:val="005B0344"/>
    <w:rsid w:val="005B1CDF"/>
    <w:rsid w:val="005B520E"/>
    <w:rsid w:val="005C0661"/>
    <w:rsid w:val="005C180D"/>
    <w:rsid w:val="005C4A1D"/>
    <w:rsid w:val="005D288E"/>
    <w:rsid w:val="005D4B03"/>
    <w:rsid w:val="005D79DE"/>
    <w:rsid w:val="005D7D8C"/>
    <w:rsid w:val="005E0CA4"/>
    <w:rsid w:val="005E2800"/>
    <w:rsid w:val="005E7D64"/>
    <w:rsid w:val="005F034F"/>
    <w:rsid w:val="00600D47"/>
    <w:rsid w:val="0061797A"/>
    <w:rsid w:val="00626B27"/>
    <w:rsid w:val="00627319"/>
    <w:rsid w:val="006310DE"/>
    <w:rsid w:val="006347CF"/>
    <w:rsid w:val="006418BD"/>
    <w:rsid w:val="00641C16"/>
    <w:rsid w:val="00643647"/>
    <w:rsid w:val="00645D22"/>
    <w:rsid w:val="00651A08"/>
    <w:rsid w:val="00652A7D"/>
    <w:rsid w:val="006538EC"/>
    <w:rsid w:val="00654204"/>
    <w:rsid w:val="00662375"/>
    <w:rsid w:val="00664F4D"/>
    <w:rsid w:val="00670165"/>
    <w:rsid w:val="00670434"/>
    <w:rsid w:val="006708EF"/>
    <w:rsid w:val="006838EB"/>
    <w:rsid w:val="006867F2"/>
    <w:rsid w:val="006A0DD5"/>
    <w:rsid w:val="006A3A7A"/>
    <w:rsid w:val="006A710C"/>
    <w:rsid w:val="006A7EF3"/>
    <w:rsid w:val="006B65E2"/>
    <w:rsid w:val="006B6B66"/>
    <w:rsid w:val="006B73D4"/>
    <w:rsid w:val="006C109F"/>
    <w:rsid w:val="006C130A"/>
    <w:rsid w:val="006C13D0"/>
    <w:rsid w:val="006C3D15"/>
    <w:rsid w:val="006C7253"/>
    <w:rsid w:val="006E100E"/>
    <w:rsid w:val="006F1C7F"/>
    <w:rsid w:val="006F33B5"/>
    <w:rsid w:val="006F6D3D"/>
    <w:rsid w:val="006F703E"/>
    <w:rsid w:val="00701045"/>
    <w:rsid w:val="00702FE3"/>
    <w:rsid w:val="00703F45"/>
    <w:rsid w:val="00704134"/>
    <w:rsid w:val="007041CA"/>
    <w:rsid w:val="007077A6"/>
    <w:rsid w:val="00715BEA"/>
    <w:rsid w:val="00726813"/>
    <w:rsid w:val="007372BA"/>
    <w:rsid w:val="00740679"/>
    <w:rsid w:val="00740EEA"/>
    <w:rsid w:val="0074434E"/>
    <w:rsid w:val="0076095B"/>
    <w:rsid w:val="007627A9"/>
    <w:rsid w:val="00764357"/>
    <w:rsid w:val="007644A2"/>
    <w:rsid w:val="00764AC4"/>
    <w:rsid w:val="00767C45"/>
    <w:rsid w:val="00771A47"/>
    <w:rsid w:val="0079067B"/>
    <w:rsid w:val="007908A2"/>
    <w:rsid w:val="00794804"/>
    <w:rsid w:val="007A0593"/>
    <w:rsid w:val="007A1497"/>
    <w:rsid w:val="007A3627"/>
    <w:rsid w:val="007A41EB"/>
    <w:rsid w:val="007A69D4"/>
    <w:rsid w:val="007B33F1"/>
    <w:rsid w:val="007C0308"/>
    <w:rsid w:val="007C2FF2"/>
    <w:rsid w:val="007D0087"/>
    <w:rsid w:val="007D532D"/>
    <w:rsid w:val="007D6232"/>
    <w:rsid w:val="007E0AA6"/>
    <w:rsid w:val="007E40DE"/>
    <w:rsid w:val="007E69CE"/>
    <w:rsid w:val="007F1F99"/>
    <w:rsid w:val="007F3D02"/>
    <w:rsid w:val="007F6B2F"/>
    <w:rsid w:val="007F768F"/>
    <w:rsid w:val="0080405C"/>
    <w:rsid w:val="00804654"/>
    <w:rsid w:val="00805000"/>
    <w:rsid w:val="0080791D"/>
    <w:rsid w:val="00816401"/>
    <w:rsid w:val="008164C4"/>
    <w:rsid w:val="00835ADC"/>
    <w:rsid w:val="00851E06"/>
    <w:rsid w:val="008555EB"/>
    <w:rsid w:val="00873603"/>
    <w:rsid w:val="00891D14"/>
    <w:rsid w:val="0089693D"/>
    <w:rsid w:val="008A2214"/>
    <w:rsid w:val="008A2C7D"/>
    <w:rsid w:val="008C078E"/>
    <w:rsid w:val="008C4B23"/>
    <w:rsid w:val="008C7A2F"/>
    <w:rsid w:val="008E4512"/>
    <w:rsid w:val="008E7B68"/>
    <w:rsid w:val="008F6E2C"/>
    <w:rsid w:val="00902BD1"/>
    <w:rsid w:val="0092295B"/>
    <w:rsid w:val="009303D9"/>
    <w:rsid w:val="00933C64"/>
    <w:rsid w:val="00946E67"/>
    <w:rsid w:val="00951286"/>
    <w:rsid w:val="0095301D"/>
    <w:rsid w:val="00966DBB"/>
    <w:rsid w:val="00972203"/>
    <w:rsid w:val="0097530A"/>
    <w:rsid w:val="0098133F"/>
    <w:rsid w:val="00997194"/>
    <w:rsid w:val="009C1B38"/>
    <w:rsid w:val="009C7FE5"/>
    <w:rsid w:val="009D7AEA"/>
    <w:rsid w:val="009F2546"/>
    <w:rsid w:val="009F3BC1"/>
    <w:rsid w:val="00A00F98"/>
    <w:rsid w:val="00A059B3"/>
    <w:rsid w:val="00A11E36"/>
    <w:rsid w:val="00A135C6"/>
    <w:rsid w:val="00A161F4"/>
    <w:rsid w:val="00A2274D"/>
    <w:rsid w:val="00A240D0"/>
    <w:rsid w:val="00A261D7"/>
    <w:rsid w:val="00A37581"/>
    <w:rsid w:val="00A5314F"/>
    <w:rsid w:val="00A72B2B"/>
    <w:rsid w:val="00A80B00"/>
    <w:rsid w:val="00A83751"/>
    <w:rsid w:val="00AB1102"/>
    <w:rsid w:val="00AB75BE"/>
    <w:rsid w:val="00AC1328"/>
    <w:rsid w:val="00AC244F"/>
    <w:rsid w:val="00AD6732"/>
    <w:rsid w:val="00AE3409"/>
    <w:rsid w:val="00B06C85"/>
    <w:rsid w:val="00B0757D"/>
    <w:rsid w:val="00B11A60"/>
    <w:rsid w:val="00B155DB"/>
    <w:rsid w:val="00B20005"/>
    <w:rsid w:val="00B21E30"/>
    <w:rsid w:val="00B22613"/>
    <w:rsid w:val="00B248FC"/>
    <w:rsid w:val="00B428A9"/>
    <w:rsid w:val="00B44581"/>
    <w:rsid w:val="00B50AF6"/>
    <w:rsid w:val="00B6357B"/>
    <w:rsid w:val="00B7665F"/>
    <w:rsid w:val="00B806BB"/>
    <w:rsid w:val="00B816C2"/>
    <w:rsid w:val="00B961CD"/>
    <w:rsid w:val="00BA0CF2"/>
    <w:rsid w:val="00BA1025"/>
    <w:rsid w:val="00BA44A9"/>
    <w:rsid w:val="00BA5E2B"/>
    <w:rsid w:val="00BB36D1"/>
    <w:rsid w:val="00BB4176"/>
    <w:rsid w:val="00BC2129"/>
    <w:rsid w:val="00BC3420"/>
    <w:rsid w:val="00BD1C15"/>
    <w:rsid w:val="00BE7D3C"/>
    <w:rsid w:val="00BF5FF6"/>
    <w:rsid w:val="00C0207F"/>
    <w:rsid w:val="00C0441B"/>
    <w:rsid w:val="00C12122"/>
    <w:rsid w:val="00C15D88"/>
    <w:rsid w:val="00C16117"/>
    <w:rsid w:val="00C1617B"/>
    <w:rsid w:val="00C243EA"/>
    <w:rsid w:val="00C246D6"/>
    <w:rsid w:val="00C3075A"/>
    <w:rsid w:val="00C3491D"/>
    <w:rsid w:val="00C374C3"/>
    <w:rsid w:val="00C41467"/>
    <w:rsid w:val="00C416A8"/>
    <w:rsid w:val="00C422A7"/>
    <w:rsid w:val="00C51FB6"/>
    <w:rsid w:val="00C5255C"/>
    <w:rsid w:val="00C570C7"/>
    <w:rsid w:val="00C63AF8"/>
    <w:rsid w:val="00C75786"/>
    <w:rsid w:val="00C76FFC"/>
    <w:rsid w:val="00C80C36"/>
    <w:rsid w:val="00C844ED"/>
    <w:rsid w:val="00C919A4"/>
    <w:rsid w:val="00CA0C88"/>
    <w:rsid w:val="00CA2E51"/>
    <w:rsid w:val="00CA4392"/>
    <w:rsid w:val="00CA4BAB"/>
    <w:rsid w:val="00CB5A65"/>
    <w:rsid w:val="00CC393F"/>
    <w:rsid w:val="00CC77D6"/>
    <w:rsid w:val="00CD7B60"/>
    <w:rsid w:val="00CE0437"/>
    <w:rsid w:val="00CE45A6"/>
    <w:rsid w:val="00CE46EC"/>
    <w:rsid w:val="00CE4BB3"/>
    <w:rsid w:val="00CE5E03"/>
    <w:rsid w:val="00CF3B38"/>
    <w:rsid w:val="00CF7987"/>
    <w:rsid w:val="00D13749"/>
    <w:rsid w:val="00D14349"/>
    <w:rsid w:val="00D143D2"/>
    <w:rsid w:val="00D1700B"/>
    <w:rsid w:val="00D2176E"/>
    <w:rsid w:val="00D31B89"/>
    <w:rsid w:val="00D33ACD"/>
    <w:rsid w:val="00D459A2"/>
    <w:rsid w:val="00D51B42"/>
    <w:rsid w:val="00D5260C"/>
    <w:rsid w:val="00D52DEA"/>
    <w:rsid w:val="00D54BB3"/>
    <w:rsid w:val="00D579E6"/>
    <w:rsid w:val="00D632BE"/>
    <w:rsid w:val="00D63EB1"/>
    <w:rsid w:val="00D72D06"/>
    <w:rsid w:val="00D7521C"/>
    <w:rsid w:val="00D7522C"/>
    <w:rsid w:val="00D7536F"/>
    <w:rsid w:val="00D76668"/>
    <w:rsid w:val="00D86A90"/>
    <w:rsid w:val="00DA4064"/>
    <w:rsid w:val="00DB0B36"/>
    <w:rsid w:val="00DB0E29"/>
    <w:rsid w:val="00DB1F6A"/>
    <w:rsid w:val="00DC061B"/>
    <w:rsid w:val="00DC31A2"/>
    <w:rsid w:val="00DC44E0"/>
    <w:rsid w:val="00DC71E0"/>
    <w:rsid w:val="00DD0344"/>
    <w:rsid w:val="00DD1B9F"/>
    <w:rsid w:val="00DE00E0"/>
    <w:rsid w:val="00DE0158"/>
    <w:rsid w:val="00DE39A2"/>
    <w:rsid w:val="00DF0423"/>
    <w:rsid w:val="00E013AB"/>
    <w:rsid w:val="00E014FC"/>
    <w:rsid w:val="00E15C8E"/>
    <w:rsid w:val="00E331CB"/>
    <w:rsid w:val="00E34B93"/>
    <w:rsid w:val="00E44333"/>
    <w:rsid w:val="00E57242"/>
    <w:rsid w:val="00E6057F"/>
    <w:rsid w:val="00E61E12"/>
    <w:rsid w:val="00E65A0C"/>
    <w:rsid w:val="00E67749"/>
    <w:rsid w:val="00E711FC"/>
    <w:rsid w:val="00E7503B"/>
    <w:rsid w:val="00E7596C"/>
    <w:rsid w:val="00E76783"/>
    <w:rsid w:val="00E846B1"/>
    <w:rsid w:val="00E878F2"/>
    <w:rsid w:val="00E923D1"/>
    <w:rsid w:val="00EA0B81"/>
    <w:rsid w:val="00EA3200"/>
    <w:rsid w:val="00EA457C"/>
    <w:rsid w:val="00EB7FF3"/>
    <w:rsid w:val="00EC4B61"/>
    <w:rsid w:val="00ED0149"/>
    <w:rsid w:val="00ED55CE"/>
    <w:rsid w:val="00ED5FF2"/>
    <w:rsid w:val="00EE1EA2"/>
    <w:rsid w:val="00EE3E1C"/>
    <w:rsid w:val="00EF7BDF"/>
    <w:rsid w:val="00EF7DE3"/>
    <w:rsid w:val="00F03103"/>
    <w:rsid w:val="00F0566D"/>
    <w:rsid w:val="00F110E1"/>
    <w:rsid w:val="00F12284"/>
    <w:rsid w:val="00F124BC"/>
    <w:rsid w:val="00F1451A"/>
    <w:rsid w:val="00F20D8D"/>
    <w:rsid w:val="00F271DE"/>
    <w:rsid w:val="00F27F4C"/>
    <w:rsid w:val="00F31295"/>
    <w:rsid w:val="00F36AE9"/>
    <w:rsid w:val="00F412D4"/>
    <w:rsid w:val="00F55A91"/>
    <w:rsid w:val="00F562B5"/>
    <w:rsid w:val="00F56973"/>
    <w:rsid w:val="00F6077F"/>
    <w:rsid w:val="00F627DA"/>
    <w:rsid w:val="00F6745B"/>
    <w:rsid w:val="00F7288F"/>
    <w:rsid w:val="00F73A79"/>
    <w:rsid w:val="00F77E6B"/>
    <w:rsid w:val="00F837EF"/>
    <w:rsid w:val="00F847A6"/>
    <w:rsid w:val="00F8517F"/>
    <w:rsid w:val="00F9058B"/>
    <w:rsid w:val="00F9441B"/>
    <w:rsid w:val="00F9508B"/>
    <w:rsid w:val="00F96569"/>
    <w:rsid w:val="00FA1A63"/>
    <w:rsid w:val="00FA4C32"/>
    <w:rsid w:val="00FA73A2"/>
    <w:rsid w:val="00FB0D9B"/>
    <w:rsid w:val="00FB6E76"/>
    <w:rsid w:val="00FD29B1"/>
    <w:rsid w:val="00FE1B1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EFF9"/>
  <w15:docId w15:val="{25220037-1A37-8344-AB5C-998546A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uiPriority w:val="99"/>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jc w:val="right"/>
    </w:pPr>
    <w:rPr>
      <w:sz w:val="12"/>
      <w:szCs w:val="12"/>
    </w:rPr>
  </w:style>
  <w:style w:type="paragraph" w:customStyle="1" w:styleId="tablehead">
    <w:name w:val="table head"/>
    <w:p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table" w:styleId="TableGrid">
    <w:name w:val="Table Grid"/>
    <w:basedOn w:val="TableNormal"/>
    <w:uiPriority w:val="59"/>
    <w:rsid w:val="00CA4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3BC1"/>
    <w:rPr>
      <w:color w:val="666666"/>
    </w:rPr>
  </w:style>
  <w:style w:type="character" w:styleId="Strong">
    <w:name w:val="Strong"/>
    <w:basedOn w:val="DefaultParagraphFont"/>
    <w:uiPriority w:val="22"/>
    <w:qFormat/>
    <w:rsid w:val="00ED5FF2"/>
    <w:rPr>
      <w:b/>
      <w:bCs/>
    </w:rPr>
  </w:style>
  <w:style w:type="paragraph" w:styleId="ListParagraph">
    <w:name w:val="List Paragraph"/>
    <w:basedOn w:val="Normal"/>
    <w:uiPriority w:val="34"/>
    <w:qFormat/>
    <w:rsid w:val="00ED5FF2"/>
    <w:pPr>
      <w:ind w:left="720"/>
      <w:contextualSpacing/>
    </w:pPr>
  </w:style>
  <w:style w:type="character" w:styleId="Emphasis">
    <w:name w:val="Emphasis"/>
    <w:basedOn w:val="DefaultParagraphFont"/>
    <w:uiPriority w:val="20"/>
    <w:qFormat/>
    <w:rsid w:val="00462544"/>
    <w:rPr>
      <w:i/>
      <w:iCs/>
    </w:rPr>
  </w:style>
  <w:style w:type="paragraph" w:styleId="NormalWeb">
    <w:name w:val="Normal (Web)"/>
    <w:basedOn w:val="Normal"/>
    <w:uiPriority w:val="99"/>
    <w:unhideWhenUsed/>
    <w:rsid w:val="00643647"/>
    <w:pPr>
      <w:spacing w:before="100" w:beforeAutospacing="1" w:after="100" w:afterAutospacing="1"/>
      <w:jc w:val="left"/>
    </w:pPr>
    <w:rPr>
      <w:rFonts w:eastAsia="Times New Roman"/>
      <w:sz w:val="24"/>
      <w:szCs w:val="24"/>
      <w:lang w:val="en-IN" w:eastAsia="en-GB"/>
    </w:rPr>
  </w:style>
  <w:style w:type="character" w:customStyle="1" w:styleId="apple-tab-span">
    <w:name w:val="apple-tab-span"/>
    <w:basedOn w:val="DefaultParagraphFont"/>
    <w:rsid w:val="00A2274D"/>
  </w:style>
  <w:style w:type="character" w:customStyle="1" w:styleId="fontstyle01">
    <w:name w:val="fontstyle01"/>
    <w:basedOn w:val="DefaultParagraphFont"/>
    <w:rsid w:val="00531D5B"/>
    <w:rPr>
      <w:rFonts w:ascii="NimbusRomNo9L-Regu" w:hAnsi="NimbusRomNo9L-Regu"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0058">
      <w:bodyDiv w:val="1"/>
      <w:marLeft w:val="0"/>
      <w:marRight w:val="0"/>
      <w:marTop w:val="0"/>
      <w:marBottom w:val="0"/>
      <w:divBdr>
        <w:top w:val="none" w:sz="0" w:space="0" w:color="auto"/>
        <w:left w:val="none" w:sz="0" w:space="0" w:color="auto"/>
        <w:bottom w:val="none" w:sz="0" w:space="0" w:color="auto"/>
        <w:right w:val="none" w:sz="0" w:space="0" w:color="auto"/>
      </w:divBdr>
    </w:div>
    <w:div w:id="780224240">
      <w:bodyDiv w:val="1"/>
      <w:marLeft w:val="0"/>
      <w:marRight w:val="0"/>
      <w:marTop w:val="0"/>
      <w:marBottom w:val="0"/>
      <w:divBdr>
        <w:top w:val="none" w:sz="0" w:space="0" w:color="auto"/>
        <w:left w:val="none" w:sz="0" w:space="0" w:color="auto"/>
        <w:bottom w:val="none" w:sz="0" w:space="0" w:color="auto"/>
        <w:right w:val="none" w:sz="0" w:space="0" w:color="auto"/>
      </w:divBdr>
    </w:div>
    <w:div w:id="108580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a18080499" TargetMode="External"/><Relationship Id="rId2" Type="http://schemas.openxmlformats.org/officeDocument/2006/relationships/numbering" Target="numbering.xml"/><Relationship Id="rId16" Type="http://schemas.openxmlformats.org/officeDocument/2006/relationships/hyperlink" Target="https://doi.org/10.1016/j.eswa.2025.128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3390/automation6030029"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gesh.kumar@sot.pdpu.ac.in" TargetMode="External"/><Relationship Id="rId14" Type="http://schemas.openxmlformats.org/officeDocument/2006/relationships/hyperlink" Target="https://doi.org/10.4018/979-8-3373-1270-5.ch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6B0835-CB0A-D747-BE4B-EE8905CE34EB}">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Microsoft Office User</cp:lastModifiedBy>
  <cp:revision>41</cp:revision>
  <cp:lastPrinted>2025-11-20T05:37:00Z</cp:lastPrinted>
  <dcterms:created xsi:type="dcterms:W3CDTF">2025-12-05T01:21:00Z</dcterms:created>
  <dcterms:modified xsi:type="dcterms:W3CDTF">2025-12-05T16:31:00Z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documentId_1072</vt:lpwstr>
  </property>
  <property fmtid="{D5CDD505-2E9C-101B-9397-08002B2CF9AE}" pid="3" name="grammarly_documentContext">
    <vt:lpwstr>{"goals":[],"domain":"general","emotions":[],"dialect":"american"}</vt:lpwstr>
  </property>
  <property fmtid="{D5CDD505-2E9C-101B-9397-08002B2CF9AE}" pid="4" name="GrammarlyDocumentId">
    <vt:lpwstr>898efa7c985e7787aad653ba22d652825275c65d22448edaf9cb2085810265b7</vt:lpwstr>
  </property>
</Properties>
</file>