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2CD4" w14:textId="7BE03545" w:rsidR="009303D9" w:rsidRPr="00AA5DEE" w:rsidRDefault="00B139B0" w:rsidP="00AA5DEE">
      <w:pPr>
        <w:pStyle w:val="Title"/>
        <w:rPr>
          <w:rFonts w:asciiTheme="majorBidi" w:hAnsiTheme="majorBidi"/>
          <w:sz w:val="48"/>
          <w:szCs w:val="48"/>
        </w:rPr>
      </w:pPr>
      <w:r w:rsidRPr="00B139B0">
        <w:rPr>
          <w:rFonts w:asciiTheme="majorBidi" w:hAnsiTheme="majorBidi"/>
          <w:sz w:val="48"/>
          <w:szCs w:val="48"/>
        </w:rPr>
        <w:t xml:space="preserve">A Dual-Task Large Language Model for Adding Diacritics and Translating Jordanian Arabic to </w:t>
      </w:r>
      <w:r w:rsidR="009721D9">
        <w:rPr>
          <w:rFonts w:asciiTheme="majorBidi" w:hAnsiTheme="majorBidi"/>
          <w:sz w:val="48"/>
          <w:szCs w:val="48"/>
        </w:rPr>
        <w:t>Modern Standard Arabic</w:t>
      </w:r>
    </w:p>
    <w:p w14:paraId="20C779BD" w14:textId="77777777" w:rsidR="00D7522C" w:rsidRDefault="00D7522C" w:rsidP="00AA5DEE">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11C3FF66" w14:textId="0FA20BA3" w:rsidR="001A3B3D" w:rsidRPr="00F847A6" w:rsidRDefault="0015374B" w:rsidP="00AA5DEE">
      <w:pPr>
        <w:pStyle w:val="Author"/>
        <w:spacing w:before="100" w:beforeAutospacing="1"/>
        <w:rPr>
          <w:sz w:val="18"/>
          <w:szCs w:val="18"/>
        </w:rPr>
      </w:pPr>
      <w:r>
        <w:rPr>
          <w:sz w:val="18"/>
          <w:szCs w:val="18"/>
        </w:rPr>
        <w:t>Rabie A. Otoum</w:t>
      </w:r>
      <w:r w:rsidR="001A3B3D" w:rsidRPr="00F847A6">
        <w:rPr>
          <w:sz w:val="18"/>
          <w:szCs w:val="18"/>
        </w:rPr>
        <w:t xml:space="preserve"> </w:t>
      </w:r>
      <w:r w:rsidR="001A3B3D" w:rsidRPr="00F847A6">
        <w:rPr>
          <w:sz w:val="18"/>
          <w:szCs w:val="18"/>
        </w:rPr>
        <w:br/>
      </w:r>
      <w:r>
        <w:rPr>
          <w:sz w:val="18"/>
          <w:szCs w:val="18"/>
        </w:rPr>
        <w:t>Computer Engineering Departement</w:t>
      </w:r>
      <w:r w:rsidR="001A3B3D" w:rsidRPr="00F847A6">
        <w:rPr>
          <w:i/>
          <w:sz w:val="18"/>
          <w:szCs w:val="18"/>
        </w:rPr>
        <w:t xml:space="preserve"> </w:t>
      </w:r>
      <w:r w:rsidR="00D72D06" w:rsidRPr="00F847A6">
        <w:rPr>
          <w:sz w:val="18"/>
          <w:szCs w:val="18"/>
        </w:rPr>
        <w:br/>
      </w:r>
      <w:r>
        <w:rPr>
          <w:sz w:val="18"/>
          <w:szCs w:val="18"/>
        </w:rPr>
        <w:t>The University of Jordan</w:t>
      </w:r>
      <w:r w:rsidR="001A3B3D" w:rsidRPr="00F847A6">
        <w:rPr>
          <w:i/>
          <w:sz w:val="18"/>
          <w:szCs w:val="18"/>
        </w:rPr>
        <w:br/>
      </w:r>
      <w:r>
        <w:rPr>
          <w:sz w:val="18"/>
          <w:szCs w:val="18"/>
        </w:rPr>
        <w:t>Amman, Jordan</w:t>
      </w:r>
      <w:r w:rsidR="001A3B3D" w:rsidRPr="00F847A6">
        <w:rPr>
          <w:sz w:val="18"/>
          <w:szCs w:val="18"/>
        </w:rPr>
        <w:br/>
      </w:r>
      <w:hyperlink r:id="rId9" w:history="1">
        <w:r w:rsidR="00AA5DEE" w:rsidRPr="00AA5DEE">
          <w:rPr>
            <w:sz w:val="18"/>
            <w:szCs w:val="18"/>
          </w:rPr>
          <w:t>rby8220177@ju.edu.jo</w:t>
        </w:r>
        <w:r w:rsidR="00AA5DEE" w:rsidRPr="00AA5DEE">
          <w:rPr>
            <w:sz w:val="18"/>
            <w:szCs w:val="18"/>
          </w:rPr>
          <w:br w:type="column"/>
        </w:r>
        <w:r w:rsidR="00AA5DEE" w:rsidRPr="00AA5DEE">
          <w:rPr>
            <w:sz w:val="18"/>
            <w:szCs w:val="18"/>
          </w:rPr>
          <w:t>Gheith</w:t>
        </w:r>
      </w:hyperlink>
      <w:r w:rsidR="00AA5DEE" w:rsidRPr="00AA5DEE">
        <w:rPr>
          <w:sz w:val="18"/>
          <w:szCs w:val="18"/>
        </w:rPr>
        <w:t xml:space="preserve"> A. Abandah</w:t>
      </w:r>
      <w:r w:rsidR="00AA5DEE">
        <w:rPr>
          <w:sz w:val="18"/>
          <w:szCs w:val="18"/>
        </w:rPr>
        <w:br/>
        <w:t>Computer Engineering Departement</w:t>
      </w:r>
      <w:r w:rsidR="00AA5DEE">
        <w:rPr>
          <w:sz w:val="18"/>
          <w:szCs w:val="18"/>
        </w:rPr>
        <w:br/>
        <w:t>The University of Jordan</w:t>
      </w:r>
      <w:r w:rsidR="00AA5DEE">
        <w:rPr>
          <w:sz w:val="18"/>
          <w:szCs w:val="18"/>
        </w:rPr>
        <w:br/>
        <w:t>Amman, Jordan</w:t>
      </w:r>
      <w:r w:rsidR="00AA5DEE">
        <w:rPr>
          <w:sz w:val="18"/>
          <w:szCs w:val="18"/>
        </w:rPr>
        <w:br/>
      </w:r>
      <w:r w:rsidR="00AA5DEE" w:rsidRPr="00AA5DEE">
        <w:rPr>
          <w:sz w:val="18"/>
          <w:szCs w:val="18"/>
        </w:rPr>
        <w:t>abandah@ju.edu.jo</w:t>
      </w:r>
      <w:r w:rsidR="00AA5DEE">
        <w:rPr>
          <w:sz w:val="18"/>
          <w:szCs w:val="18"/>
        </w:rPr>
        <w:br w:type="column"/>
      </w:r>
      <w:r w:rsidR="00AA5DEE" w:rsidRPr="00AA5DEE">
        <w:rPr>
          <w:sz w:val="18"/>
          <w:szCs w:val="18"/>
        </w:rPr>
        <w:t xml:space="preserve">Mohammad </w:t>
      </w:r>
      <w:r w:rsidR="009721D9">
        <w:rPr>
          <w:sz w:val="18"/>
          <w:szCs w:val="18"/>
        </w:rPr>
        <w:t xml:space="preserve">R. </w:t>
      </w:r>
      <w:r w:rsidR="00AA5DEE" w:rsidRPr="00AA5DEE">
        <w:rPr>
          <w:sz w:val="18"/>
          <w:szCs w:val="18"/>
        </w:rPr>
        <w:t>Abdel-Majeed</w:t>
      </w:r>
      <w:r w:rsidR="00AA5DEE">
        <w:rPr>
          <w:sz w:val="18"/>
          <w:szCs w:val="18"/>
        </w:rPr>
        <w:br/>
        <w:t>Computer Engineering Departement</w:t>
      </w:r>
      <w:r w:rsidR="00AA5DEE">
        <w:rPr>
          <w:sz w:val="18"/>
          <w:szCs w:val="18"/>
        </w:rPr>
        <w:br/>
        <w:t>The University of Jordan</w:t>
      </w:r>
      <w:r w:rsidR="00AA5DEE">
        <w:rPr>
          <w:sz w:val="18"/>
          <w:szCs w:val="18"/>
        </w:rPr>
        <w:br/>
        <w:t>Amman, Jordan</w:t>
      </w:r>
      <w:r w:rsidR="00AA5DEE">
        <w:rPr>
          <w:sz w:val="18"/>
          <w:szCs w:val="18"/>
        </w:rPr>
        <w:br/>
      </w:r>
      <w:r w:rsidR="00AA5DEE" w:rsidRPr="00AA5DEE">
        <w:rPr>
          <w:sz w:val="18"/>
          <w:szCs w:val="18"/>
        </w:rPr>
        <w:t>m.abdel-majeed@ju.edu.jo</w:t>
      </w:r>
    </w:p>
    <w:p w14:paraId="0316535E" w14:textId="72FD461F" w:rsidR="009F1D79" w:rsidRPr="000E07A0" w:rsidRDefault="00447BB9" w:rsidP="000E07A0">
      <w:pPr>
        <w:pStyle w:val="Author"/>
        <w:spacing w:before="100" w:beforeAutospacing="1"/>
        <w:rPr>
          <w:color w:val="EE0000"/>
        </w:rPr>
        <w:sectPr w:rsidR="009F1D79" w:rsidRPr="000E07A0" w:rsidSect="003B4E04">
          <w:type w:val="continuous"/>
          <w:pgSz w:w="11906" w:h="16838" w:code="9"/>
          <w:pgMar w:top="450" w:right="893" w:bottom="1440" w:left="893" w:header="720" w:footer="720" w:gutter="0"/>
          <w:cols w:num="3" w:space="720"/>
          <w:docGrid w:linePitch="360"/>
        </w:sectPr>
      </w:pPr>
      <w:r w:rsidRPr="0015374B">
        <w:rPr>
          <w:color w:val="EE0000"/>
        </w:rPr>
        <w:t xml:space="preserve"> </w:t>
      </w:r>
    </w:p>
    <w:p w14:paraId="0A88E65D" w14:textId="3BA8B0E6" w:rsidR="009303D9" w:rsidRPr="005B520E" w:rsidRDefault="009303D9" w:rsidP="000E07A0">
      <w:pPr>
        <w:jc w:val="both"/>
        <w:sectPr w:rsidR="009303D9" w:rsidRPr="005B520E" w:rsidSect="003B4E04">
          <w:type w:val="continuous"/>
          <w:pgSz w:w="11906" w:h="16838" w:code="9"/>
          <w:pgMar w:top="450" w:right="893" w:bottom="1440" w:left="893" w:header="720" w:footer="720" w:gutter="0"/>
          <w:cols w:num="3" w:space="720"/>
          <w:docGrid w:linePitch="360"/>
        </w:sectPr>
      </w:pPr>
    </w:p>
    <w:p w14:paraId="40FA2D84" w14:textId="15B49641" w:rsidR="004D72B5" w:rsidRPr="001C2D77" w:rsidRDefault="009303D9" w:rsidP="001C2D77">
      <w:pPr>
        <w:pStyle w:val="Abstract"/>
      </w:pPr>
      <w:r>
        <w:rPr>
          <w:i/>
          <w:iCs/>
        </w:rPr>
        <w:t>Abstract</w:t>
      </w:r>
      <w:r>
        <w:t>—</w:t>
      </w:r>
      <w:r w:rsidR="00191957" w:rsidRPr="00191957">
        <w:t xml:space="preserve">The Arabic language presents unique challenges for natural language processing due to its complex grammar, diverse dialects, and frequent omission of diacritics. This paper proposes a unified token-free model based on ByT5 that simultaneously performs spelling correction (including Jordanian dialect-to-Modern Standard Arabic </w:t>
      </w:r>
      <w:r w:rsidR="0080643F">
        <w:t xml:space="preserve">(MSA) </w:t>
      </w:r>
      <w:r w:rsidR="00191957" w:rsidRPr="00191957">
        <w:t>translation) and diacritization. Our approach uses task-specific prefixes (</w:t>
      </w:r>
      <w:r w:rsidR="0080643F">
        <w:t>“</w:t>
      </w:r>
      <w:r w:rsidR="00191957" w:rsidRPr="00191957">
        <w:t>correct:</w:t>
      </w:r>
      <w:r w:rsidR="0080643F">
        <w:t>”</w:t>
      </w:r>
      <w:r w:rsidR="00191957" w:rsidRPr="00191957">
        <w:t xml:space="preserve"> for correction and </w:t>
      </w:r>
      <w:r w:rsidR="0080643F">
        <w:t>“</w:t>
      </w:r>
      <w:r w:rsidR="00191957" w:rsidRPr="00191957">
        <w:t>diacritize:</w:t>
      </w:r>
      <w:r w:rsidR="0080643F">
        <w:t>”</w:t>
      </w:r>
      <w:r w:rsidR="00191957" w:rsidRPr="00191957">
        <w:t xml:space="preserve"> for combined correction</w:t>
      </w:r>
      <w:r w:rsidR="0080643F">
        <w:t xml:space="preserve"> and </w:t>
      </w:r>
      <w:r w:rsidR="00191957" w:rsidRPr="00191957">
        <w:t>diacritization) to enable flexible multi-task learning. The model was fine-tuned on the JODA dataset (Jordanian dialect/MSA pairs) and high-quality Tashkeela subsets (Clean-50</w:t>
      </w:r>
      <w:r w:rsidR="002C140B">
        <w:t xml:space="preserve"> and </w:t>
      </w:r>
      <w:r w:rsidR="00191957" w:rsidRPr="00191957">
        <w:t>Clean-400), with synthetic errors inject</w:t>
      </w:r>
      <w:r w:rsidR="002C140B">
        <w:t>ion</w:t>
      </w:r>
      <w:r w:rsidR="00191957" w:rsidRPr="00191957">
        <w:t xml:space="preserve"> to enhance robustness. Automatic evaluation showed an overall </w:t>
      </w:r>
      <w:r w:rsidR="002C140B">
        <w:t>evaluation s</w:t>
      </w:r>
      <w:r w:rsidR="002C140B" w:rsidRPr="00191957">
        <w:t xml:space="preserve">core </w:t>
      </w:r>
      <w:r w:rsidR="00191957" w:rsidRPr="00191957">
        <w:t xml:space="preserve">of 78.06% on JODA and 92.45% on </w:t>
      </w:r>
      <w:r w:rsidR="00D94B36">
        <w:t xml:space="preserve">the </w:t>
      </w:r>
      <w:r w:rsidR="00191957" w:rsidRPr="00191957">
        <w:t>combined test set</w:t>
      </w:r>
      <w:r w:rsidR="00D94B36">
        <w:t xml:space="preserve"> of JODA and Tashkeela</w:t>
      </w:r>
      <w:r w:rsidR="00191957" w:rsidRPr="00191957">
        <w:t>. Manual evaluation of 200 JODA samples revealed a character error rate of 4.41% and diacritic error rate of 1.32%,</w:t>
      </w:r>
      <w:r w:rsidR="002C140B">
        <w:t xml:space="preserve"> </w:t>
      </w:r>
      <w:r w:rsidR="00191957" w:rsidRPr="00191957">
        <w:t>demonstrating</w:t>
      </w:r>
      <w:r w:rsidR="002C140B">
        <w:t xml:space="preserve"> </w:t>
      </w:r>
      <w:r w:rsidR="00191957" w:rsidRPr="00191957">
        <w:t>practical</w:t>
      </w:r>
      <w:r w:rsidR="00D94B36">
        <w:t xml:space="preserve"> </w:t>
      </w:r>
      <w:r w:rsidR="00191957" w:rsidRPr="00191957">
        <w:t>efficacy in handling Arabic</w:t>
      </w:r>
      <w:r w:rsidR="002C140B">
        <w:t>’</w:t>
      </w:r>
      <w:r w:rsidR="00191957" w:rsidRPr="00191957">
        <w:t>s complexities.</w:t>
      </w:r>
    </w:p>
    <w:p w14:paraId="1939009D" w14:textId="597FCC05" w:rsidR="001C2D77" w:rsidRPr="004D72B5" w:rsidRDefault="004D72B5" w:rsidP="001C2D77">
      <w:pPr>
        <w:pStyle w:val="Keywords"/>
      </w:pPr>
      <w:r w:rsidRPr="004D72B5">
        <w:t>Keywords—</w:t>
      </w:r>
      <w:r w:rsidR="001C2D77" w:rsidRPr="001C2D77">
        <w:t>Arabic NLP</w:t>
      </w:r>
      <w:r w:rsidR="00D7522C">
        <w:t>,</w:t>
      </w:r>
      <w:r w:rsidR="009303D9" w:rsidRPr="004D72B5">
        <w:t xml:space="preserve"> </w:t>
      </w:r>
      <w:r w:rsidR="009721D9">
        <w:t>m</w:t>
      </w:r>
      <w:r w:rsidR="001C2D77" w:rsidRPr="001C2D77">
        <w:t xml:space="preserve">ulti-task </w:t>
      </w:r>
      <w:r w:rsidR="009721D9">
        <w:t>l</w:t>
      </w:r>
      <w:r w:rsidR="001C2D77" w:rsidRPr="001C2D77">
        <w:t>earning</w:t>
      </w:r>
      <w:r w:rsidR="00D7522C">
        <w:t>,</w:t>
      </w:r>
      <w:r w:rsidR="009303D9" w:rsidRPr="004D72B5">
        <w:t xml:space="preserve"> </w:t>
      </w:r>
      <w:r w:rsidR="009721D9">
        <w:t>d</w:t>
      </w:r>
      <w:r w:rsidR="001C2D77" w:rsidRPr="001C2D77">
        <w:t xml:space="preserve">ialect </w:t>
      </w:r>
      <w:r w:rsidR="009721D9">
        <w:t>t</w:t>
      </w:r>
      <w:r w:rsidR="001C2D77" w:rsidRPr="001C2D77">
        <w:t>ranslation</w:t>
      </w:r>
      <w:r w:rsidR="00D7522C">
        <w:t>,</w:t>
      </w:r>
      <w:r w:rsidR="009303D9" w:rsidRPr="004D72B5">
        <w:t xml:space="preserve"> </w:t>
      </w:r>
      <w:r w:rsidR="001C2D77" w:rsidRPr="001C2D77">
        <w:t xml:space="preserve">Jordanian </w:t>
      </w:r>
      <w:r w:rsidR="009721D9">
        <w:t>d</w:t>
      </w:r>
      <w:r w:rsidR="001C2D77" w:rsidRPr="001C2D77">
        <w:t>ialect</w:t>
      </w:r>
      <w:r w:rsidR="00D7522C">
        <w:t>,</w:t>
      </w:r>
      <w:r w:rsidR="009303D9" w:rsidRPr="004D72B5">
        <w:t xml:space="preserve"> </w:t>
      </w:r>
      <w:r w:rsidR="009721D9">
        <w:t>Modern Standard Arabic, d</w:t>
      </w:r>
      <w:r w:rsidR="001C2D77" w:rsidRPr="001C2D77">
        <w:t>iacritization</w:t>
      </w:r>
      <w:r w:rsidR="001C2D77">
        <w:t xml:space="preserve">, </w:t>
      </w:r>
      <w:r w:rsidR="009721D9">
        <w:t>s</w:t>
      </w:r>
      <w:r w:rsidR="001C2D77" w:rsidRPr="001C2D77">
        <w:t xml:space="preserve">pelling </w:t>
      </w:r>
      <w:r w:rsidR="009721D9">
        <w:t>c</w:t>
      </w:r>
      <w:r w:rsidR="001C2D77" w:rsidRPr="001C2D77">
        <w:t>orrection</w:t>
      </w:r>
      <w:r w:rsidR="001C2D77">
        <w:t xml:space="preserve">, </w:t>
      </w:r>
      <w:r w:rsidR="001C2D77" w:rsidRPr="001C2D77">
        <w:t>ByT5</w:t>
      </w:r>
      <w:r w:rsidR="001C2D77">
        <w:t xml:space="preserve">, </w:t>
      </w:r>
      <w:r w:rsidR="009721D9">
        <w:t>t</w:t>
      </w:r>
      <w:r w:rsidR="001C2D77" w:rsidRPr="001C2D77">
        <w:t xml:space="preserve">ransformer </w:t>
      </w:r>
      <w:r w:rsidR="009721D9">
        <w:t>m</w:t>
      </w:r>
      <w:r w:rsidR="001C2D77" w:rsidRPr="001C2D77">
        <w:t>odels</w:t>
      </w:r>
    </w:p>
    <w:p w14:paraId="1A521F3C" w14:textId="35EE6B52" w:rsidR="009303D9" w:rsidRPr="00D632BE" w:rsidRDefault="009303D9" w:rsidP="009721D9">
      <w:pPr>
        <w:pStyle w:val="Heading1"/>
        <w:ind w:firstLine="0"/>
      </w:pPr>
      <w:r w:rsidRPr="00D632BE">
        <w:t>Introduction</w:t>
      </w:r>
    </w:p>
    <w:p w14:paraId="5B84FB04" w14:textId="164C6743" w:rsidR="009303D9" w:rsidRDefault="00511484" w:rsidP="00E7596C">
      <w:pPr>
        <w:pStyle w:val="BodyText"/>
      </w:pPr>
      <w:r w:rsidRPr="00511484">
        <w:t xml:space="preserve">The Arabic language, spoken by over 400 million individuals across 22 Arab League nations and significant communities in Africa and Asia [1], presents formidable computational challenges for </w:t>
      </w:r>
      <w:r w:rsidR="00715790">
        <w:t>n</w:t>
      </w:r>
      <w:r w:rsidRPr="00511484">
        <w:t xml:space="preserve">atural </w:t>
      </w:r>
      <w:r w:rsidR="00715790">
        <w:t>l</w:t>
      </w:r>
      <w:r w:rsidRPr="00511484">
        <w:t xml:space="preserve">anguage </w:t>
      </w:r>
      <w:r w:rsidR="00715790">
        <w:t>p</w:t>
      </w:r>
      <w:r w:rsidRPr="00511484">
        <w:t>rocessing (NLP). As a Semitic language, Arabic is characterized by a complex morphological structure, inherent diglossia (the coexistence of Modern Standard Arabic (MSA) and diverse regional dialects), and intricate orthographic nuances, all of which complicate automated text processing</w:t>
      </w:r>
      <w:r w:rsidR="000B3073" w:rsidRPr="000B3073">
        <w:t>.</w:t>
      </w:r>
    </w:p>
    <w:p w14:paraId="5D98EF77" w14:textId="6AF28CFD" w:rsidR="00511484" w:rsidRDefault="00511484" w:rsidP="00E7596C">
      <w:pPr>
        <w:pStyle w:val="BodyText"/>
      </w:pPr>
      <w:r w:rsidRPr="00511484">
        <w:t>Key challenges in Arabic NLP stem from several factors. Orthographic ambiguity is a pervasive issue, leading to common spelling errors. These errors arise from phonetic similarities between distinct letters (</w:t>
      </w:r>
      <w:r w:rsidRPr="009721D9">
        <w:rPr>
          <w:i/>
          <w:iCs/>
        </w:rPr>
        <w:t>e.g.</w:t>
      </w:r>
      <w:r w:rsidRPr="00511484">
        <w:t xml:space="preserve">, </w:t>
      </w:r>
      <w:r w:rsidRPr="00511484">
        <w:rPr>
          <w:rtl/>
        </w:rPr>
        <w:t>ض/ظ</w:t>
      </w:r>
      <w:r w:rsidR="009721D9">
        <w:rPr>
          <w:rFonts w:hint="cs"/>
          <w:rtl/>
        </w:rPr>
        <w:t>،</w:t>
      </w:r>
      <w:r w:rsidRPr="00511484">
        <w:rPr>
          <w:rtl/>
        </w:rPr>
        <w:t xml:space="preserve"> س/ص</w:t>
      </w:r>
      <w:r w:rsidRPr="00511484">
        <w:t>), morphological confusions (</w:t>
      </w:r>
      <w:r w:rsidRPr="002C140B">
        <w:rPr>
          <w:i/>
          <w:iCs/>
        </w:rPr>
        <w:t>e.g.</w:t>
      </w:r>
      <w:r w:rsidRPr="00511484">
        <w:t xml:space="preserve">, </w:t>
      </w:r>
      <w:r w:rsidRPr="00511484">
        <w:rPr>
          <w:rtl/>
        </w:rPr>
        <w:t>ث/ت</w:t>
      </w:r>
      <w:r w:rsidR="002C140B">
        <w:rPr>
          <w:rFonts w:hint="cs"/>
          <w:rtl/>
        </w:rPr>
        <w:t>،</w:t>
      </w:r>
      <w:r w:rsidRPr="00511484">
        <w:rPr>
          <w:rtl/>
        </w:rPr>
        <w:t xml:space="preserve"> ة/ه</w:t>
      </w:r>
      <w:r w:rsidRPr="00511484">
        <w:t>), and practical issues like keyboard input errors due to character proximity (</w:t>
      </w:r>
      <w:r w:rsidRPr="002C140B">
        <w:rPr>
          <w:i/>
          <w:iCs/>
        </w:rPr>
        <w:t>e.g.</w:t>
      </w:r>
      <w:r w:rsidRPr="00511484">
        <w:t xml:space="preserve">, </w:t>
      </w:r>
      <w:r w:rsidRPr="00511484">
        <w:rPr>
          <w:rtl/>
        </w:rPr>
        <w:t>ب/ي</w:t>
      </w:r>
      <w:r w:rsidRPr="00511484">
        <w:t>) [2]. Furthermore, the encoding of Arabic text itself adds computational complexity, as characters often require two bytes per character in UTF-8 encoding. A critical obstacle is diacritic omission</w:t>
      </w:r>
      <w:r w:rsidR="00AB7144">
        <w:t>.</w:t>
      </w:r>
      <w:r w:rsidRPr="00511484">
        <w:t xml:space="preserve"> </w:t>
      </w:r>
      <w:r w:rsidR="00AB7144">
        <w:t>Diacritics</w:t>
      </w:r>
      <w:r w:rsidR="00543D36">
        <w:t xml:space="preserve"> are </w:t>
      </w:r>
      <w:r w:rsidR="00543D36" w:rsidRPr="00543D36">
        <w:t>symbols placed above or below letters to indicate short vowels and specific phonetic and grammatical characteristics</w:t>
      </w:r>
      <w:r w:rsidRPr="00511484">
        <w:t xml:space="preserve">. This omission introduces significant semantic ambiguity; for instance, the unvocalized form </w:t>
      </w:r>
      <w:r w:rsidR="002C140B">
        <w:t>“</w:t>
      </w:r>
      <w:r w:rsidRPr="00511484">
        <w:rPr>
          <w:rtl/>
        </w:rPr>
        <w:t>كتب</w:t>
      </w:r>
      <w:r w:rsidR="002C140B">
        <w:t>”</w:t>
      </w:r>
      <w:r w:rsidRPr="00511484">
        <w:t xml:space="preserve"> could mean </w:t>
      </w:r>
      <w:r w:rsidR="002C140B">
        <w:t>“</w:t>
      </w:r>
      <w:r w:rsidRPr="00511484">
        <w:rPr>
          <w:rtl/>
        </w:rPr>
        <w:t>كَتَبَ</w:t>
      </w:r>
      <w:r w:rsidR="002C140B">
        <w:t>”</w:t>
      </w:r>
      <w:r w:rsidRPr="00511484">
        <w:t xml:space="preserve"> (he wrote) or </w:t>
      </w:r>
      <w:r w:rsidR="002C140B">
        <w:t>“</w:t>
      </w:r>
      <w:r w:rsidRPr="00511484">
        <w:rPr>
          <w:rtl/>
        </w:rPr>
        <w:t>كُتِبَ</w:t>
      </w:r>
      <w:r w:rsidR="002C140B">
        <w:t>”</w:t>
      </w:r>
      <w:r w:rsidRPr="00511484">
        <w:t xml:space="preserve"> (it was written) [</w:t>
      </w:r>
      <w:r w:rsidR="00450FFE">
        <w:t>3</w:t>
      </w:r>
      <w:r w:rsidRPr="00511484">
        <w:t>].</w:t>
      </w:r>
    </w:p>
    <w:p w14:paraId="75897C7F" w14:textId="0C8183D6" w:rsidR="00511484" w:rsidRDefault="00511484" w:rsidP="00E7596C">
      <w:pPr>
        <w:pStyle w:val="BodyText"/>
      </w:pPr>
      <w:r w:rsidRPr="00511484">
        <w:t>Adding to these complexities is the profound dialectal diversity within Arabic. Regional dialects, such as Egyptian, Levantine, and Gulf, diverge substantially from MSA in vocabulary, grammar, and pronunciation. Even within a single region, like Jordan, distinct urban, rural, and Bedouin variations exist [</w:t>
      </w:r>
      <w:r w:rsidR="001B11D4">
        <w:t>4</w:t>
      </w:r>
      <w:r w:rsidRPr="00511484">
        <w:t>]. The proliferation of social media has amplified the usage of these colloquial forms (</w:t>
      </w:r>
      <w:r w:rsidRPr="002C140B">
        <w:rPr>
          <w:i/>
          <w:iCs/>
        </w:rPr>
        <w:t>e.g.</w:t>
      </w:r>
      <w:r w:rsidRPr="00511484">
        <w:t xml:space="preserve">, </w:t>
      </w:r>
      <w:r w:rsidR="002C140B">
        <w:t>“</w:t>
      </w:r>
      <w:r w:rsidRPr="00511484">
        <w:rPr>
          <w:rtl/>
        </w:rPr>
        <w:t>شو</w:t>
      </w:r>
      <w:r w:rsidR="002C140B">
        <w:t>”</w:t>
      </w:r>
      <w:r w:rsidRPr="00511484">
        <w:t xml:space="preserve"> in dialect </w:t>
      </w:r>
      <w:r w:rsidRPr="002C140B">
        <w:rPr>
          <w:i/>
          <w:iCs/>
        </w:rPr>
        <w:t>vs</w:t>
      </w:r>
      <w:r w:rsidRPr="00511484">
        <w:t xml:space="preserve">. MSA </w:t>
      </w:r>
      <w:r w:rsidR="002C140B">
        <w:t>“</w:t>
      </w:r>
      <w:r w:rsidRPr="00511484">
        <w:rPr>
          <w:rtl/>
        </w:rPr>
        <w:t>ماذا</w:t>
      </w:r>
      <w:r w:rsidR="002C140B">
        <w:t>”</w:t>
      </w:r>
      <w:r w:rsidRPr="00511484">
        <w:t xml:space="preserve"> for </w:t>
      </w:r>
      <w:r w:rsidR="002C140B">
        <w:t>“</w:t>
      </w:r>
      <w:r w:rsidRPr="00511484">
        <w:t>"what</w:t>
      </w:r>
      <w:r w:rsidR="002C140B">
        <w:t>”</w:t>
      </w:r>
      <w:r w:rsidRPr="00511484">
        <w:t>) [</w:t>
      </w:r>
      <w:r w:rsidR="001B11D4">
        <w:t>5</w:t>
      </w:r>
      <w:r w:rsidRPr="00511484">
        <w:t>], making dialectal content a significant portion of digital communication.</w:t>
      </w:r>
    </w:p>
    <w:p w14:paraId="487F4B7D" w14:textId="70E91D66" w:rsidR="00511484" w:rsidRDefault="00511484" w:rsidP="00E7596C">
      <w:pPr>
        <w:pStyle w:val="BodyText"/>
      </w:pPr>
      <w:r w:rsidRPr="00511484">
        <w:t>The aforementioned challenges highlight the limitations of traditional rule-based NLP approaches, which struggle to cope with such inherent variability and errors. Moreover, deploying separate, single-task models for problems like spelling correction, dialect normalization, and diacritization incurs considerable computational inefficiencies during development and deployment. While recent advancements in deep learning, particularly Large Language Models (LLMs), offer promising avenues, a unified approach is essential for practical applications. Multi-task learning (MTL) frameworks have emerged as a viable solution, enabling a single model to jointly handle related tasks, thereby improving generalization capabilities and reducing overall training costs. Furthermore, token-free models, such as ByT5, are particularly well-suited for morphologically rich languages like Arabic. By processing text at the byte level, these models circumvent the inherent challenges and potential errors associated with traditional tokenization in such complex linguistic contexts.</w:t>
      </w:r>
    </w:p>
    <w:p w14:paraId="18F1CFE5" w14:textId="0DA4706A" w:rsidR="00511484" w:rsidRPr="005B520E" w:rsidRDefault="004C4F2B" w:rsidP="00E7596C">
      <w:pPr>
        <w:pStyle w:val="BodyText"/>
      </w:pPr>
      <w:r w:rsidRPr="004C4F2B">
        <w:t xml:space="preserve">This research addresses key gaps by presenting a unified ByT5 model that simultaneously performs spelling correction (including Jordanian dialect to MSA conversion) and </w:t>
      </w:r>
      <w:r>
        <w:t xml:space="preserve">optional </w:t>
      </w:r>
      <w:r w:rsidRPr="004C4F2B">
        <w:t>diacritization. Through fine-tuning on diverse datasets, including JODA and subsets of Tashkeela, the model demonstrates adaptability to both MSA and Jordanian dialects</w:t>
      </w:r>
      <w:r w:rsidR="00511484" w:rsidRPr="00511484">
        <w:t>.</w:t>
      </w:r>
    </w:p>
    <w:p w14:paraId="179EA777" w14:textId="1BC15F86" w:rsidR="009303D9" w:rsidRDefault="009721D9" w:rsidP="009721D9">
      <w:pPr>
        <w:pStyle w:val="Heading1"/>
        <w:ind w:firstLine="0"/>
      </w:pPr>
      <w:r w:rsidRPr="00D97F77">
        <w:t xml:space="preserve">Related </w:t>
      </w:r>
      <w:r>
        <w:t>W</w:t>
      </w:r>
      <w:r w:rsidRPr="00D97F77">
        <w:t>ork</w:t>
      </w:r>
    </w:p>
    <w:p w14:paraId="635839F5" w14:textId="7DBF076D" w:rsidR="00224496" w:rsidRPr="00224496" w:rsidRDefault="00224496" w:rsidP="00224496">
      <w:pPr>
        <w:pStyle w:val="BodyText"/>
      </w:pPr>
      <w:r w:rsidRPr="00224496">
        <w:t>Addressing the multifaceted challenges of Arabic NLP, previous research has broadly focused on specific sub-tasks, including dialect-to-MSA translation, spelling correction, and automatic diacritization. More recently, MTL approaches have emerged to improve efficiency and generalization by leveraging shared representations across related tasks.</w:t>
      </w:r>
    </w:p>
    <w:p w14:paraId="3C8B3FFF" w14:textId="35DFD3AE" w:rsidR="009303D9" w:rsidRPr="00BE4F36" w:rsidRDefault="00D97F77" w:rsidP="00ED0149">
      <w:pPr>
        <w:pStyle w:val="Heading2"/>
      </w:pPr>
      <w:r w:rsidRPr="00BE4F36">
        <w:t>Dialect-to-MSA Translation</w:t>
      </w:r>
    </w:p>
    <w:p w14:paraId="66739D0E" w14:textId="5B1CD72B" w:rsidR="009303D9" w:rsidRPr="005B520E" w:rsidRDefault="00B47875" w:rsidP="00B47875">
      <w:pPr>
        <w:pStyle w:val="BodyText"/>
      </w:pPr>
      <w:r w:rsidRPr="00B47875">
        <w:t xml:space="preserve">Bridging the gap between diverse Arabic dialects and MSA is challenging due to inherent linguistic divergence and the scarcity of large-scale parallel corpora. Recent efforts have </w:t>
      </w:r>
      <w:r w:rsidRPr="00B47875">
        <w:lastRenderedPageBreak/>
        <w:t xml:space="preserve">primarily leveraged neural architectures. Alimi </w:t>
      </w:r>
      <w:r w:rsidRPr="002C140B">
        <w:rPr>
          <w:i/>
          <w:iCs/>
        </w:rPr>
        <w:t>et al</w:t>
      </w:r>
      <w:r w:rsidRPr="00B47875">
        <w:t>. [</w:t>
      </w:r>
      <w:r>
        <w:t>5</w:t>
      </w:r>
      <w:r w:rsidRPr="00B47875">
        <w:t>] fine-tuned a T5 variant (AraT5v2-base-1024) to translate Maghrebi and Levantine dialects to MSA. Utilizing 31,114 parallel sentences, including 6,200 Jordanian samples, their model achieved a BLEU score of 48.38% on Levantine dialects, surpassing T5X</w:t>
      </w:r>
      <w:r>
        <w:t>.</w:t>
      </w:r>
    </w:p>
    <w:p w14:paraId="7C5D0763" w14:textId="54EBFDE1" w:rsidR="009303D9" w:rsidRDefault="0095788C" w:rsidP="00E7596C">
      <w:pPr>
        <w:pStyle w:val="BodyText"/>
      </w:pPr>
      <w:r w:rsidRPr="0095788C">
        <w:t>Al-Ibrahim and Duwairi [</w:t>
      </w:r>
      <w:r>
        <w:t>6</w:t>
      </w:r>
      <w:r w:rsidRPr="0095788C">
        <w:t>] focused on translating Jordanian dialect into MSA using an RNN encoder-decoder NMT architecture. They developed two manually annotated datasets: a word-level dataset (24,200 pairs) and a sentence-level dataset (500 sentences), collected from local resources and extensively preprocessed. While their RNN model achieved 91.3% accuracy at the word level, sentence-level translation showed lower accuracy at 63.2% due to increased complexity. Despite limited training data, their findings demonstrated the feasibility and effectiveness of deep learning for Jordanian dialect translation.</w:t>
      </w:r>
    </w:p>
    <w:p w14:paraId="2757E3F0" w14:textId="6BF2CE12" w:rsidR="000E1B61" w:rsidRPr="00BE4F36" w:rsidRDefault="000D76E1" w:rsidP="000E1B61">
      <w:pPr>
        <w:pStyle w:val="Heading2"/>
      </w:pPr>
      <w:r w:rsidRPr="00BE4F36">
        <w:t>Spelling Errors Correction</w:t>
      </w:r>
    </w:p>
    <w:p w14:paraId="71D04686" w14:textId="4B535771" w:rsidR="000E1B61" w:rsidRDefault="007774C7" w:rsidP="00301D5D">
      <w:pPr>
        <w:pStyle w:val="BodyText"/>
      </w:pPr>
      <w:r w:rsidRPr="007774C7">
        <w:t>Arabic spelling correction systems aim to rectify orthographic errors stemming from various sources, including phonetic similarities, keyboard input issues, morphological ambiguities, and the inconsistent orthography prevalent in unvocalized or dialectal text. Modern approaches frequently leverage synthetic error injection to address this diverse range of error types</w:t>
      </w:r>
      <w:r w:rsidR="00301D5D" w:rsidRPr="00301D5D">
        <w:t>. Al-Qaraghuli and Jaafar [</w:t>
      </w:r>
      <w:r w:rsidR="003E2050">
        <w:t>7</w:t>
      </w:r>
      <w:r w:rsidR="00301D5D" w:rsidRPr="00301D5D">
        <w:t xml:space="preserve">] developed a custom 4-layer Transformer based on T5 for correcting </w:t>
      </w:r>
      <w:r w:rsidR="002C140B">
        <w:t>“</w:t>
      </w:r>
      <w:r w:rsidR="00301D5D" w:rsidRPr="00301D5D">
        <w:t>soft errors,</w:t>
      </w:r>
      <w:r w:rsidR="002C140B">
        <w:t>”</w:t>
      </w:r>
      <w:r w:rsidR="00301D5D" w:rsidRPr="00301D5D">
        <w:t xml:space="preserve"> such as </w:t>
      </w:r>
      <w:r w:rsidR="00301D5D" w:rsidRPr="00B06842">
        <w:rPr>
          <w:i/>
          <w:iCs/>
        </w:rPr>
        <w:t>hamza</w:t>
      </w:r>
      <w:r w:rsidR="00301D5D" w:rsidRPr="00301D5D">
        <w:t xml:space="preserve"> and </w:t>
      </w:r>
      <w:r w:rsidR="00301D5D" w:rsidRPr="00B06842">
        <w:rPr>
          <w:i/>
          <w:iCs/>
        </w:rPr>
        <w:t>teh marbuta</w:t>
      </w:r>
      <w:r w:rsidR="00301D5D" w:rsidRPr="00301D5D">
        <w:t xml:space="preserve"> confusion. Their model, trained on a Wiki-40B Arabic subset with 10% error injection, achieved a </w:t>
      </w:r>
      <w:r w:rsidR="002C140B" w:rsidRPr="00301D5D">
        <w:t xml:space="preserve">character error rate </w:t>
      </w:r>
      <w:r w:rsidR="00301D5D" w:rsidRPr="00301D5D">
        <w:t>(CER) of 0.77% on the Test</w:t>
      </w:r>
      <w:r w:rsidR="002C140B">
        <w:t>-</w:t>
      </w:r>
      <w:r w:rsidR="00301D5D" w:rsidRPr="00301D5D">
        <w:t>200 dataset and a 97.8% correction accuracy.</w:t>
      </w:r>
    </w:p>
    <w:p w14:paraId="779E6E63" w14:textId="4EC08DC6" w:rsidR="000D76E1" w:rsidRDefault="000D76E1" w:rsidP="00301D5D">
      <w:pPr>
        <w:pStyle w:val="BodyText"/>
      </w:pPr>
      <w:r w:rsidRPr="000D76E1">
        <w:t>Similarly, Hasan and Abandah [</w:t>
      </w:r>
      <w:r w:rsidR="00793646">
        <w:t>2</w:t>
      </w:r>
      <w:r w:rsidRPr="000D76E1">
        <w:t>] utilized a Transformer with adversarial training to address lexical and semantic errors prevalent in social media text. Evaluated on the REALMS corpus (4,123 real error samples), their approach achieved a 1.14% CER on REALMS and a 99.12% accuracy on synthetically generated data.</w:t>
      </w:r>
    </w:p>
    <w:p w14:paraId="4169B0FB" w14:textId="574E7892" w:rsidR="006B0814" w:rsidRDefault="006B0814" w:rsidP="00301D5D">
      <w:pPr>
        <w:pStyle w:val="BodyText"/>
      </w:pPr>
      <w:r w:rsidRPr="006B0814">
        <w:t xml:space="preserve">Abandah </w:t>
      </w:r>
      <w:r w:rsidRPr="00355726">
        <w:rPr>
          <w:i/>
          <w:iCs/>
        </w:rPr>
        <w:t>et al</w:t>
      </w:r>
      <w:r w:rsidRPr="006B0814">
        <w:t>. [</w:t>
      </w:r>
      <w:r w:rsidR="003E2050">
        <w:t>8</w:t>
      </w:r>
      <w:r w:rsidRPr="006B0814">
        <w:t>] addressed soft Arabic spelling correction at the character level using BiLSTM networks, avoiding more complex encoder-decoder models. They trained on 55,000 sequences from Tashkeela and 26,000 from Arabic Treebank Part 3, investigating two strategies: transformed input and stochastic error injection. The latter, with a 40% injection rate, proved more effective. Their best two-layer BiLSTM model achieved CER of 1.28% on the Test</w:t>
      </w:r>
      <w:r w:rsidR="002C140B">
        <w:t>-</w:t>
      </w:r>
      <w:r w:rsidRPr="006B0814">
        <w:t>200 dataset, demonstrating robust performance for common orthographic confusions.</w:t>
      </w:r>
    </w:p>
    <w:p w14:paraId="4A4161B0" w14:textId="27A46473" w:rsidR="009F6081" w:rsidRPr="00BE4F36" w:rsidRDefault="009F6081" w:rsidP="009F6081">
      <w:pPr>
        <w:pStyle w:val="Heading2"/>
      </w:pPr>
      <w:r w:rsidRPr="00BE4F36">
        <w:t>Diacritization</w:t>
      </w:r>
    </w:p>
    <w:p w14:paraId="494D8B62" w14:textId="5D71F9EC" w:rsidR="009F6081" w:rsidRDefault="009F6081" w:rsidP="009F6081">
      <w:pPr>
        <w:pStyle w:val="BodyText"/>
      </w:pPr>
      <w:r w:rsidRPr="009F6081">
        <w:t>Automatic diacritization, the process of restoring omitted short vowels and grammatical markers (</w:t>
      </w:r>
      <w:r w:rsidRPr="00E75489">
        <w:rPr>
          <w:i/>
          <w:iCs/>
        </w:rPr>
        <w:t>harakat</w:t>
      </w:r>
      <w:r w:rsidRPr="009F6081">
        <w:t xml:space="preserve">), is crucial for resolving semantic ambiguity. Recent advancements in this area increasingly employ token-free models to bypass the complexities of traditional tokenization. Al-Rfooh </w:t>
      </w:r>
      <w:r w:rsidRPr="00355726">
        <w:rPr>
          <w:i/>
          <w:iCs/>
        </w:rPr>
        <w:t>et al</w:t>
      </w:r>
      <w:r w:rsidRPr="009F6081">
        <w:t>. [</w:t>
      </w:r>
      <w:r w:rsidR="003E2050">
        <w:t>9</w:t>
      </w:r>
      <w:r w:rsidRPr="009F6081">
        <w:t xml:space="preserve">] proposed a byte-level diacritization model using ByT5 with curriculum learning. Trained on the Clean-400 subset of the Tashkeela corpus, their model achieved a </w:t>
      </w:r>
      <w:r w:rsidR="002C140B" w:rsidRPr="009F6081">
        <w:t>diacrit</w:t>
      </w:r>
      <w:r w:rsidR="002C140B">
        <w:t>ic</w:t>
      </w:r>
      <w:r w:rsidR="002C140B" w:rsidRPr="009F6081">
        <w:t xml:space="preserve"> error rate </w:t>
      </w:r>
      <w:r w:rsidRPr="009F6081">
        <w:t xml:space="preserve">(DER) of 0.74% and a 40% </w:t>
      </w:r>
      <w:r w:rsidR="002C140B" w:rsidRPr="009F6081">
        <w:t xml:space="preserve">word error rate </w:t>
      </w:r>
      <w:r w:rsidRPr="009F6081">
        <w:t>(WER) reduction compared to existing baselines.</w:t>
      </w:r>
    </w:p>
    <w:p w14:paraId="374525ED" w14:textId="50951EA7" w:rsidR="00785644" w:rsidRDefault="00785644" w:rsidP="009F6081">
      <w:pPr>
        <w:pStyle w:val="BodyText"/>
      </w:pPr>
      <w:r w:rsidRPr="00785644">
        <w:t>Skiredj and Berrada [1</w:t>
      </w:r>
      <w:r w:rsidR="003E2050">
        <w:t>0</w:t>
      </w:r>
      <w:r w:rsidRPr="00785644">
        <w:t xml:space="preserve">] presented PTCAD (Pre-FineTuned Token Classification for Arabic Diacritization), a two-phase approach leveraging pre-trained language models for Arabic text diacritization (ATD). They framed ATD as a </w:t>
      </w:r>
      <w:r w:rsidRPr="00785644">
        <w:t>token classification problem, employing a multi-stage training strategy. The first phase involved pre-finetuning a BERT-like model on various tasks including language modeling and segmentation, while the second phase focused on fine-tuning it specifically for ATD as a token classification task. Their model was pre-finetuned using OpenITI and cleaned Tashkeela data, and fine-tuned on a high-quality subset of Tashkeela. PTCAD achieved a DER of 1.1% and WER of 4.19% on Fadel’s Tashkeela, and 0.87% DER and 3.53% WER on Abbad’s version, underscoring the effectiveness of adapting BERT-like models for Arabic diacritization.</w:t>
      </w:r>
    </w:p>
    <w:p w14:paraId="4AD263D2" w14:textId="2885D969" w:rsidR="006B5323" w:rsidRPr="00BE4F36" w:rsidRDefault="006B5323" w:rsidP="006B5323">
      <w:pPr>
        <w:pStyle w:val="Heading2"/>
      </w:pPr>
      <w:r w:rsidRPr="00BE4F36">
        <w:t>Multi-Task Learning (MTL)</w:t>
      </w:r>
    </w:p>
    <w:p w14:paraId="044C3E58" w14:textId="5634D133" w:rsidR="006B5323" w:rsidRDefault="00C41570" w:rsidP="00C41570">
      <w:pPr>
        <w:pStyle w:val="BodyText"/>
      </w:pPr>
      <w:r w:rsidRPr="00C41570">
        <w:t xml:space="preserve">Multi-task learning offers a promising avenue for improving computational efficiency and generalization by allowing models to share representations across related NLP tasks. Almajdoubah </w:t>
      </w:r>
      <w:r w:rsidRPr="00355726">
        <w:rPr>
          <w:i/>
          <w:iCs/>
        </w:rPr>
        <w:t>et al</w:t>
      </w:r>
      <w:r w:rsidRPr="00C41570">
        <w:t>. [1</w:t>
      </w:r>
      <w:r w:rsidR="003E2050">
        <w:t>1</w:t>
      </w:r>
      <w:r w:rsidRPr="00C41570">
        <w:t>] developed an encoder-decoder LSTM with attention mechanism for the joint task of diacritization and "soft" spelling correction. Their model, trained on error-injected Tashkeela and Wiki-40B data, demonstrated 99.56% accuracy on Tashkeela.</w:t>
      </w:r>
    </w:p>
    <w:p w14:paraId="79C22023" w14:textId="18A12B59" w:rsidR="000E1B61" w:rsidRPr="005B520E" w:rsidRDefault="00D85EC7" w:rsidP="00A105F3">
      <w:pPr>
        <w:pStyle w:val="BodyText"/>
      </w:pPr>
      <w:r w:rsidRPr="00D85EC7">
        <w:t xml:space="preserve">The task of simultaneously correcting spelling errors and restoring diacritics has received less research attention. It is useful to expand this perspective by examining related research across various languages, as insights gained from one language can often inform solutions for others. For instance, a study by Stankevičius </w:t>
      </w:r>
      <w:r w:rsidRPr="00355726">
        <w:rPr>
          <w:i/>
          <w:iCs/>
        </w:rPr>
        <w:t>et al</w:t>
      </w:r>
      <w:r w:rsidRPr="00D85EC7">
        <w:t>. [1</w:t>
      </w:r>
      <w:r w:rsidR="003E2050">
        <w:t>2</w:t>
      </w:r>
      <w:r w:rsidRPr="00D85EC7">
        <w:t>] on the ByT5 model across 13 languages found it achieved an average diacritic restoration accuracy of 98.3% and a combined task accuracy of 94.6%. Despite limitations with uncommon words, the ByT5 model demonstrated robust generalization, correctly restoring diacritics on over 76% of previously unseen words.</w:t>
      </w:r>
    </w:p>
    <w:p w14:paraId="17F150FC" w14:textId="7B2377D7" w:rsidR="009303D9" w:rsidRDefault="00B5592D" w:rsidP="009721D9">
      <w:pPr>
        <w:pStyle w:val="Heading1"/>
        <w:ind w:firstLine="0"/>
      </w:pPr>
      <w:r>
        <w:t>Datasets</w:t>
      </w:r>
    </w:p>
    <w:p w14:paraId="1FBC9C4E" w14:textId="62B8B692" w:rsidR="00D7522C" w:rsidRPr="00D7522C" w:rsidRDefault="00EA129C" w:rsidP="00EA129C">
      <w:pPr>
        <w:pStyle w:val="BodyText"/>
        <w:rPr>
          <w:lang w:val="en-US"/>
        </w:rPr>
      </w:pPr>
      <w:r w:rsidRPr="00EA129C">
        <w:rPr>
          <w:lang w:val="en-US"/>
        </w:rPr>
        <w:t xml:space="preserve">Our research utilizes two primary datasets to address the complexities of Arabic spelling correction, dialect normalization, </w:t>
      </w:r>
      <w:r w:rsidRPr="00EA129C">
        <w:t>and</w:t>
      </w:r>
      <w:r w:rsidRPr="00EA129C">
        <w:rPr>
          <w:lang w:val="en-US"/>
        </w:rPr>
        <w:t xml:space="preserve"> diacritization: the Tashkeela dataset, for its comprehensive MSA content and diacritization, and the JODA dataset, for its focus on Jordanian dialect and real-world spelling variations.</w:t>
      </w:r>
    </w:p>
    <w:p w14:paraId="22217789" w14:textId="2BEC2BA9" w:rsidR="009303D9" w:rsidRPr="00BE4F36" w:rsidRDefault="00EA129C" w:rsidP="00ED0149">
      <w:pPr>
        <w:pStyle w:val="Heading2"/>
      </w:pPr>
      <w:r w:rsidRPr="00BE4F36">
        <w:t>Tashkeela Dataset</w:t>
      </w:r>
    </w:p>
    <w:p w14:paraId="78F3884D" w14:textId="5354AA03" w:rsidR="009303D9" w:rsidRDefault="00EA129C" w:rsidP="00E7596C">
      <w:pPr>
        <w:pStyle w:val="BodyText"/>
      </w:pPr>
      <w:r w:rsidRPr="00EA129C">
        <w:t>The Tashkeela dataset, originally collected by Zerrouki and Balla [</w:t>
      </w:r>
      <w:r>
        <w:t>1</w:t>
      </w:r>
      <w:r w:rsidR="003E2050">
        <w:t>3</w:t>
      </w:r>
      <w:r w:rsidRPr="00EA129C">
        <w:t>]</w:t>
      </w:r>
      <w:r>
        <w:t xml:space="preserve"> </w:t>
      </w:r>
      <w:r w:rsidRPr="00EA129C">
        <w:t>, comprises approximately 75.5 million words predominantly (98.85%) in Classical Arabic (CA), gathered from diacritized internet texts, primarily Islamic classical books. For our work, we leverage high-quality subsets of Tashkeela, specifically Clean-50</w:t>
      </w:r>
      <w:r w:rsidR="006556B7">
        <w:t>,</w:t>
      </w:r>
      <w:r w:rsidR="006556B7" w:rsidRPr="006556B7">
        <w:t xml:space="preserve"> </w:t>
      </w:r>
      <w:r w:rsidR="006556B7" w:rsidRPr="00EA129C">
        <w:t xml:space="preserve">extracted by Fadel </w:t>
      </w:r>
      <w:r w:rsidR="006556B7" w:rsidRPr="002C140B">
        <w:rPr>
          <w:i/>
          <w:iCs/>
        </w:rPr>
        <w:t>et al</w:t>
      </w:r>
      <w:r w:rsidR="006556B7" w:rsidRPr="00EA129C">
        <w:t>. [</w:t>
      </w:r>
      <w:r w:rsidR="006556B7">
        <w:t>1</w:t>
      </w:r>
      <w:r w:rsidR="003E2050">
        <w:t>4</w:t>
      </w:r>
      <w:r w:rsidR="006556B7" w:rsidRPr="00EA129C">
        <w:t xml:space="preserve">], </w:t>
      </w:r>
      <w:r w:rsidR="006556B7">
        <w:t xml:space="preserve"> </w:t>
      </w:r>
      <w:r w:rsidRPr="00EA129C">
        <w:t>and Clean-400</w:t>
      </w:r>
      <w:r w:rsidR="006556B7">
        <w:t xml:space="preserve">, extracted by </w:t>
      </w:r>
      <w:r w:rsidR="006556B7" w:rsidRPr="00EA129C">
        <w:t>Karim and Abandah [</w:t>
      </w:r>
      <w:r w:rsidR="006556B7">
        <w:t>1</w:t>
      </w:r>
      <w:r w:rsidR="003E2050">
        <w:t>5</w:t>
      </w:r>
      <w:r w:rsidR="006556B7" w:rsidRPr="00EA129C">
        <w:t>]</w:t>
      </w:r>
      <w:r w:rsidRPr="00EA129C">
        <w:t>, which were derived through rigorous filtering processes to ensure data purity and quality</w:t>
      </w:r>
      <w:r w:rsidR="009303D9" w:rsidRPr="005B520E">
        <w:t>.</w:t>
      </w:r>
    </w:p>
    <w:p w14:paraId="47AF7F8C" w14:textId="485CE99E" w:rsidR="003C5846" w:rsidRPr="005B520E" w:rsidRDefault="003C5846" w:rsidP="00E7596C">
      <w:pPr>
        <w:pStyle w:val="BodyText"/>
      </w:pPr>
      <w:r w:rsidRPr="003C5846">
        <w:t xml:space="preserve">In our experiments, to balance performance and computational cost while preserving full contextual information, we processed full sentences. Sentence boundaries were identified using punctuation marks such as full stop, comma, and dotted comma. We tested various maximum input and output sequence lengths. Our selection of lengths was informed by Al-Rfooh </w:t>
      </w:r>
      <w:r w:rsidRPr="002C140B">
        <w:rPr>
          <w:i/>
          <w:iCs/>
        </w:rPr>
        <w:t>et al</w:t>
      </w:r>
      <w:r w:rsidRPr="003C5846">
        <w:t>. [</w:t>
      </w:r>
      <w:r w:rsidR="00D9275E">
        <w:t>9</w:t>
      </w:r>
      <w:r w:rsidRPr="003C5846">
        <w:t>], who demonstrated superior performance with longer sequence lengths.</w:t>
      </w:r>
    </w:p>
    <w:p w14:paraId="31C0E164" w14:textId="3A8BDD24" w:rsidR="009303D9" w:rsidRPr="00BE4F36" w:rsidRDefault="00653D55" w:rsidP="00ED0149">
      <w:pPr>
        <w:pStyle w:val="Heading2"/>
      </w:pPr>
      <w:r w:rsidRPr="00BE4F36">
        <w:t>JODA Dataset</w:t>
      </w:r>
    </w:p>
    <w:p w14:paraId="09B0DD54" w14:textId="162B882B" w:rsidR="00C702C1" w:rsidRDefault="00653D55" w:rsidP="00D85413">
      <w:pPr>
        <w:pStyle w:val="BodyText"/>
      </w:pPr>
      <w:r w:rsidRPr="00653D55">
        <w:t>The JODA dataset</w:t>
      </w:r>
      <w:r w:rsidR="00895104">
        <w:t xml:space="preserve">, </w:t>
      </w:r>
      <w:r w:rsidR="00455938" w:rsidRPr="00455938">
        <w:t xml:space="preserve">which was produced by Abandah </w:t>
      </w:r>
      <w:r w:rsidR="00455938" w:rsidRPr="002C140B">
        <w:rPr>
          <w:i/>
          <w:iCs/>
        </w:rPr>
        <w:t>et al</w:t>
      </w:r>
      <w:r w:rsidR="00455938" w:rsidRPr="00455938">
        <w:t>.</w:t>
      </w:r>
      <w:r w:rsidR="00455938">
        <w:t xml:space="preserve"> [1</w:t>
      </w:r>
      <w:r w:rsidR="003E2050">
        <w:t>6</w:t>
      </w:r>
      <w:r w:rsidR="00455938">
        <w:t>],</w:t>
      </w:r>
      <w:r w:rsidR="00895104">
        <w:t xml:space="preserve"> </w:t>
      </w:r>
      <w:r w:rsidRPr="00653D55">
        <w:t xml:space="preserve">is specifically designed for Arabic dialect processing, </w:t>
      </w:r>
      <w:r w:rsidRPr="00653D55">
        <w:lastRenderedPageBreak/>
        <w:t>containing sequences in Jordanian dialect alongside MSA sequences with minor spelling discrepancies. It comprises a total of 59,135 samples. These samples are robustly divided into training</w:t>
      </w:r>
      <w:r w:rsidR="00A202B9">
        <w:t xml:space="preserve"> (92%)</w:t>
      </w:r>
      <w:r w:rsidRPr="00653D55">
        <w:t>, validation</w:t>
      </w:r>
      <w:r w:rsidR="00A202B9">
        <w:t xml:space="preserve"> (4%)</w:t>
      </w:r>
      <w:r w:rsidRPr="00653D55">
        <w:t>, and test</w:t>
      </w:r>
      <w:r w:rsidR="00A202B9">
        <w:t xml:space="preserve"> (4%)</w:t>
      </w:r>
      <w:r w:rsidRPr="00653D55">
        <w:t xml:space="preserve"> subsets using stratified sampling. This stratification ensures a balanced distribution of data from different sources and language types (Jordanian dialect and MSA) across all splits, critical for unbiased model evaluation.</w:t>
      </w:r>
      <w:r w:rsidR="00D85413">
        <w:t xml:space="preserve"> However, </w:t>
      </w:r>
      <w:r w:rsidR="00D85413" w:rsidRPr="00D85413">
        <w:rPr>
          <w:lang w:val="en-US"/>
        </w:rPr>
        <w:t>52,948</w:t>
      </w:r>
      <w:r w:rsidR="00D85413">
        <w:rPr>
          <w:lang w:val="en-US"/>
        </w:rPr>
        <w:t xml:space="preserve"> only were used in this study based on quality of diacritization and will be discussed later.</w:t>
      </w:r>
    </w:p>
    <w:p w14:paraId="2BB1D772" w14:textId="11FCD0FD" w:rsidR="00783DE3" w:rsidRDefault="00C702C1" w:rsidP="00783DE3">
      <w:pPr>
        <w:pStyle w:val="BodyText"/>
      </w:pPr>
      <w:r w:rsidRPr="00C702C1">
        <w:t>Finally, we also considered the REALMS dataset [</w:t>
      </w:r>
      <w:r>
        <w:t>2</w:t>
      </w:r>
      <w:r w:rsidRPr="00C702C1">
        <w:t>], which consists of 4,123 sequences containing real spelling mistakes collected from various social media platforms. This dataset was diacritized using the same approach adopted for the JODA dataset. However, experiments showed that the inclusion of REALMS into our training data, while initially promising for specific aspects, ultimately led to a degradation in overall model performance and incurred higher computational costs. Consequently, we opted to proceed with the JODA+Clean-400 combination as our optimal training dataset.</w:t>
      </w:r>
    </w:p>
    <w:p w14:paraId="4719EA3D" w14:textId="5911E4DC" w:rsidR="00783DE3" w:rsidRDefault="00783DE3" w:rsidP="00783DE3">
      <w:pPr>
        <w:pStyle w:val="BodyText"/>
      </w:pPr>
      <w:r>
        <w:fldChar w:fldCharType="begin"/>
      </w:r>
      <w:r>
        <w:instrText xml:space="preserve"> REF _Ref215340082 \h  \* MERGEFORMAT </w:instrText>
      </w:r>
      <w:r>
        <w:fldChar w:fldCharType="separate"/>
      </w:r>
      <w:r w:rsidRPr="00783DE3">
        <w:t>Table I</w:t>
      </w:r>
      <w:r>
        <w:fldChar w:fldCharType="end"/>
      </w:r>
      <w:r w:rsidRPr="00783DE3">
        <w:t xml:space="preserve"> summarizes the characteristics and utilization of each dataset employed in this study, including those used for the ablation analysis and the final model configuration.</w:t>
      </w:r>
    </w:p>
    <w:p w14:paraId="54D60A7E" w14:textId="48383FDB" w:rsidR="00783DE3" w:rsidRPr="00783DE3" w:rsidRDefault="00783DE3" w:rsidP="00783DE3">
      <w:pPr>
        <w:pStyle w:val="Caption"/>
        <w:keepNext/>
        <w:rPr>
          <w:i w:val="0"/>
          <w:iCs w:val="0"/>
          <w:smallCaps/>
          <w:color w:val="auto"/>
          <w:sz w:val="16"/>
          <w:szCs w:val="16"/>
        </w:rPr>
      </w:pPr>
      <w:bookmarkStart w:id="0" w:name="_Ref215340082"/>
      <w:r w:rsidRPr="00783DE3">
        <w:rPr>
          <w:i w:val="0"/>
          <w:iCs w:val="0"/>
          <w:smallCaps/>
          <w:color w:val="auto"/>
          <w:sz w:val="16"/>
          <w:szCs w:val="16"/>
        </w:rPr>
        <w:t xml:space="preserve">Table </w:t>
      </w:r>
      <w:r w:rsidRPr="00783DE3">
        <w:rPr>
          <w:i w:val="0"/>
          <w:iCs w:val="0"/>
          <w:smallCaps/>
          <w:color w:val="auto"/>
          <w:sz w:val="16"/>
          <w:szCs w:val="16"/>
        </w:rPr>
        <w:fldChar w:fldCharType="begin"/>
      </w:r>
      <w:r w:rsidRPr="00783DE3">
        <w:rPr>
          <w:i w:val="0"/>
          <w:iCs w:val="0"/>
          <w:smallCaps/>
          <w:color w:val="auto"/>
          <w:sz w:val="16"/>
          <w:szCs w:val="16"/>
        </w:rPr>
        <w:instrText xml:space="preserve"> SEQ Table \* ROMAN </w:instrText>
      </w:r>
      <w:r w:rsidRPr="00783DE3">
        <w:rPr>
          <w:i w:val="0"/>
          <w:iCs w:val="0"/>
          <w:smallCaps/>
          <w:color w:val="auto"/>
          <w:sz w:val="16"/>
          <w:szCs w:val="16"/>
        </w:rPr>
        <w:fldChar w:fldCharType="separate"/>
      </w:r>
      <w:r w:rsidRPr="00783DE3">
        <w:rPr>
          <w:i w:val="0"/>
          <w:iCs w:val="0"/>
          <w:smallCaps/>
          <w:color w:val="auto"/>
          <w:sz w:val="16"/>
          <w:szCs w:val="16"/>
        </w:rPr>
        <w:t>I</w:t>
      </w:r>
      <w:r w:rsidRPr="00783DE3">
        <w:rPr>
          <w:i w:val="0"/>
          <w:iCs w:val="0"/>
          <w:smallCaps/>
          <w:color w:val="auto"/>
          <w:sz w:val="16"/>
          <w:szCs w:val="16"/>
        </w:rPr>
        <w:fldChar w:fldCharType="end"/>
      </w:r>
      <w:bookmarkEnd w:id="0"/>
      <w:r w:rsidRPr="00783DE3">
        <w:rPr>
          <w:i w:val="0"/>
          <w:iCs w:val="0"/>
          <w:smallCaps/>
          <w:color w:val="auto"/>
          <w:sz w:val="16"/>
          <w:szCs w:val="16"/>
        </w:rPr>
        <w:t>. Datasets Used for Training and Ablation, Including Final Model Composition.</w:t>
      </w:r>
    </w:p>
    <w:tbl>
      <w:tblPr>
        <w:tblStyle w:val="TableGrid"/>
        <w:tblW w:w="5000" w:type="pct"/>
        <w:tblLayout w:type="fixed"/>
        <w:tblLook w:val="04A0" w:firstRow="1" w:lastRow="0" w:firstColumn="1" w:lastColumn="0" w:noHBand="0" w:noVBand="1"/>
      </w:tblPr>
      <w:tblGrid>
        <w:gridCol w:w="987"/>
        <w:gridCol w:w="1843"/>
        <w:gridCol w:w="1134"/>
        <w:gridCol w:w="892"/>
      </w:tblGrid>
      <w:tr w:rsidR="00947D42" w:rsidRPr="006C2BBA" w14:paraId="2554C28F" w14:textId="789D3625" w:rsidTr="00947D42">
        <w:trPr>
          <w:trHeight w:val="559"/>
        </w:trPr>
        <w:tc>
          <w:tcPr>
            <w:tcW w:w="1016" w:type="pct"/>
            <w:noWrap/>
            <w:hideMark/>
          </w:tcPr>
          <w:p w14:paraId="689761BD" w14:textId="77777777" w:rsidR="00FF2356" w:rsidRDefault="00FF2356" w:rsidP="00947D42">
            <w:pPr>
              <w:rPr>
                <w:b/>
                <w:bCs/>
                <w:sz w:val="16"/>
                <w:szCs w:val="16"/>
              </w:rPr>
            </w:pPr>
          </w:p>
          <w:p w14:paraId="01AEB09B" w14:textId="4CB2208B" w:rsidR="00A34DE6" w:rsidRPr="00C66109" w:rsidRDefault="00A34DE6" w:rsidP="00947D42">
            <w:pPr>
              <w:rPr>
                <w:b/>
                <w:bCs/>
                <w:sz w:val="16"/>
                <w:szCs w:val="16"/>
              </w:rPr>
            </w:pPr>
            <w:r>
              <w:rPr>
                <w:b/>
                <w:bCs/>
                <w:sz w:val="16"/>
                <w:szCs w:val="16"/>
              </w:rPr>
              <w:t>Dataset</w:t>
            </w:r>
          </w:p>
        </w:tc>
        <w:tc>
          <w:tcPr>
            <w:tcW w:w="1898" w:type="pct"/>
            <w:noWrap/>
            <w:hideMark/>
          </w:tcPr>
          <w:p w14:paraId="3DB465CC" w14:textId="77777777" w:rsidR="00FF2356" w:rsidRDefault="00FF2356" w:rsidP="00947D42">
            <w:pPr>
              <w:rPr>
                <w:b/>
                <w:bCs/>
                <w:sz w:val="16"/>
                <w:szCs w:val="16"/>
              </w:rPr>
            </w:pPr>
          </w:p>
          <w:p w14:paraId="25B9D83B" w14:textId="50393508" w:rsidR="00A34DE6" w:rsidRPr="00C66109" w:rsidRDefault="00A34DE6" w:rsidP="00947D42">
            <w:pPr>
              <w:rPr>
                <w:b/>
                <w:bCs/>
                <w:sz w:val="16"/>
                <w:szCs w:val="16"/>
              </w:rPr>
            </w:pPr>
            <w:r w:rsidRPr="00A34DE6">
              <w:rPr>
                <w:b/>
                <w:bCs/>
                <w:sz w:val="16"/>
                <w:szCs w:val="16"/>
              </w:rPr>
              <w:t>Type/Domain</w:t>
            </w:r>
          </w:p>
        </w:tc>
        <w:tc>
          <w:tcPr>
            <w:tcW w:w="1168" w:type="pct"/>
            <w:noWrap/>
            <w:hideMark/>
          </w:tcPr>
          <w:p w14:paraId="65A92747" w14:textId="3F31EE49" w:rsidR="00A34DE6" w:rsidRPr="00C66109" w:rsidRDefault="00A34DE6" w:rsidP="00947D42">
            <w:pPr>
              <w:rPr>
                <w:b/>
                <w:bCs/>
                <w:sz w:val="16"/>
                <w:szCs w:val="16"/>
              </w:rPr>
            </w:pPr>
            <w:r w:rsidRPr="00A34DE6">
              <w:rPr>
                <w:b/>
                <w:bCs/>
                <w:sz w:val="16"/>
                <w:szCs w:val="16"/>
              </w:rPr>
              <w:t>Total Sequences</w:t>
            </w:r>
          </w:p>
        </w:tc>
        <w:tc>
          <w:tcPr>
            <w:tcW w:w="918" w:type="pct"/>
          </w:tcPr>
          <w:p w14:paraId="4233212D" w14:textId="4AF68573" w:rsidR="00A34DE6" w:rsidRPr="00A34DE6" w:rsidRDefault="00947D42" w:rsidP="00947D42">
            <w:pPr>
              <w:rPr>
                <w:b/>
                <w:bCs/>
                <w:sz w:val="16"/>
                <w:szCs w:val="16"/>
              </w:rPr>
            </w:pPr>
            <w:r>
              <w:rPr>
                <w:b/>
                <w:bCs/>
                <w:sz w:val="16"/>
                <w:szCs w:val="16"/>
              </w:rPr>
              <w:t xml:space="preserve">Used in Best </w:t>
            </w:r>
            <w:r w:rsidR="00D85413">
              <w:rPr>
                <w:b/>
                <w:bCs/>
                <w:sz w:val="16"/>
                <w:szCs w:val="16"/>
              </w:rPr>
              <w:t>Model?</w:t>
            </w:r>
          </w:p>
        </w:tc>
      </w:tr>
      <w:tr w:rsidR="00947D42" w:rsidRPr="006C2BBA" w14:paraId="34EE3EA1" w14:textId="3E8C9F61" w:rsidTr="00947D42">
        <w:trPr>
          <w:trHeight w:val="317"/>
        </w:trPr>
        <w:tc>
          <w:tcPr>
            <w:tcW w:w="1016" w:type="pct"/>
            <w:noWrap/>
            <w:hideMark/>
          </w:tcPr>
          <w:p w14:paraId="67624E70" w14:textId="77777777" w:rsidR="00FF2356" w:rsidRDefault="00FF2356" w:rsidP="00947D42">
            <w:pPr>
              <w:rPr>
                <w:sz w:val="16"/>
                <w:szCs w:val="16"/>
              </w:rPr>
            </w:pPr>
          </w:p>
          <w:p w14:paraId="3FB8B3C7" w14:textId="54C0113E" w:rsidR="00A34DE6" w:rsidRPr="00C66109" w:rsidRDefault="00A34DE6" w:rsidP="00947D42">
            <w:pPr>
              <w:rPr>
                <w:sz w:val="16"/>
                <w:szCs w:val="16"/>
              </w:rPr>
            </w:pPr>
            <w:r>
              <w:rPr>
                <w:sz w:val="16"/>
                <w:szCs w:val="16"/>
              </w:rPr>
              <w:t>JODA</w:t>
            </w:r>
          </w:p>
        </w:tc>
        <w:tc>
          <w:tcPr>
            <w:tcW w:w="1898" w:type="pct"/>
            <w:noWrap/>
            <w:hideMark/>
          </w:tcPr>
          <w:p w14:paraId="2BD5AC3D" w14:textId="471D00D3" w:rsidR="00A34DE6" w:rsidRPr="00C66109" w:rsidRDefault="00A34DE6" w:rsidP="00947D42">
            <w:pPr>
              <w:rPr>
                <w:sz w:val="16"/>
                <w:szCs w:val="16"/>
              </w:rPr>
            </w:pPr>
            <w:r w:rsidRPr="00A34DE6">
              <w:rPr>
                <w:sz w:val="16"/>
                <w:szCs w:val="16"/>
              </w:rPr>
              <w:t xml:space="preserve">dialectal-to-MSA pairs </w:t>
            </w:r>
            <w:r w:rsidR="00947D42">
              <w:rPr>
                <w:sz w:val="16"/>
                <w:szCs w:val="16"/>
              </w:rPr>
              <w:t xml:space="preserve">with </w:t>
            </w:r>
            <w:r w:rsidRPr="00A34DE6">
              <w:rPr>
                <w:sz w:val="16"/>
                <w:szCs w:val="16"/>
              </w:rPr>
              <w:t>human orthographic errors.</w:t>
            </w:r>
          </w:p>
        </w:tc>
        <w:tc>
          <w:tcPr>
            <w:tcW w:w="1168" w:type="pct"/>
            <w:noWrap/>
            <w:hideMark/>
          </w:tcPr>
          <w:p w14:paraId="4F00AE13" w14:textId="77777777" w:rsidR="00947D42" w:rsidRDefault="00947D42" w:rsidP="00947D42">
            <w:pPr>
              <w:rPr>
                <w:sz w:val="16"/>
                <w:szCs w:val="16"/>
              </w:rPr>
            </w:pPr>
          </w:p>
          <w:p w14:paraId="3F3D7CEC" w14:textId="4C575FBD" w:rsidR="00A34DE6" w:rsidRPr="00C66109" w:rsidRDefault="00A34DE6" w:rsidP="00947D42">
            <w:pPr>
              <w:rPr>
                <w:sz w:val="16"/>
                <w:szCs w:val="16"/>
              </w:rPr>
            </w:pPr>
            <w:bookmarkStart w:id="1" w:name="_Hlk215339699"/>
            <w:r w:rsidRPr="00A34DE6">
              <w:rPr>
                <w:sz w:val="16"/>
                <w:szCs w:val="16"/>
              </w:rPr>
              <w:t>52,948</w:t>
            </w:r>
            <w:bookmarkEnd w:id="1"/>
          </w:p>
        </w:tc>
        <w:tc>
          <w:tcPr>
            <w:tcW w:w="918" w:type="pct"/>
          </w:tcPr>
          <w:p w14:paraId="06474826" w14:textId="77777777" w:rsidR="00947D42" w:rsidRDefault="00947D42" w:rsidP="00947D42">
            <w:pPr>
              <w:rPr>
                <w:sz w:val="16"/>
                <w:szCs w:val="16"/>
              </w:rPr>
            </w:pPr>
          </w:p>
          <w:p w14:paraId="33CB1286" w14:textId="6A2AC7FE" w:rsidR="00A34DE6" w:rsidRPr="00C66109" w:rsidRDefault="00947D42" w:rsidP="00947D42">
            <w:pPr>
              <w:rPr>
                <w:sz w:val="16"/>
                <w:szCs w:val="16"/>
              </w:rPr>
            </w:pPr>
            <w:r>
              <w:rPr>
                <w:sz w:val="16"/>
                <w:szCs w:val="16"/>
              </w:rPr>
              <w:t>Yes</w:t>
            </w:r>
          </w:p>
        </w:tc>
      </w:tr>
      <w:tr w:rsidR="00947D42" w:rsidRPr="006C2BBA" w14:paraId="0272185C" w14:textId="109260B2" w:rsidTr="00947D42">
        <w:trPr>
          <w:trHeight w:val="561"/>
        </w:trPr>
        <w:tc>
          <w:tcPr>
            <w:tcW w:w="1016" w:type="pct"/>
            <w:noWrap/>
            <w:hideMark/>
          </w:tcPr>
          <w:p w14:paraId="50C0F628" w14:textId="77777777" w:rsidR="00FF2356" w:rsidRDefault="00FF2356" w:rsidP="00947D42">
            <w:pPr>
              <w:rPr>
                <w:sz w:val="16"/>
                <w:szCs w:val="16"/>
              </w:rPr>
            </w:pPr>
          </w:p>
          <w:p w14:paraId="32E5789C" w14:textId="41681380" w:rsidR="00A34DE6" w:rsidRPr="00C66109" w:rsidRDefault="00A34DE6" w:rsidP="00947D42">
            <w:pPr>
              <w:rPr>
                <w:sz w:val="16"/>
                <w:szCs w:val="16"/>
              </w:rPr>
            </w:pPr>
            <w:r>
              <w:rPr>
                <w:sz w:val="16"/>
                <w:szCs w:val="16"/>
              </w:rPr>
              <w:t>Clean-50</w:t>
            </w:r>
          </w:p>
        </w:tc>
        <w:tc>
          <w:tcPr>
            <w:tcW w:w="1898" w:type="pct"/>
            <w:noWrap/>
            <w:hideMark/>
          </w:tcPr>
          <w:p w14:paraId="2850D583" w14:textId="3D31AE7D" w:rsidR="00A34DE6" w:rsidRPr="00C66109" w:rsidRDefault="00947D42" w:rsidP="00947D42">
            <w:pPr>
              <w:rPr>
                <w:sz w:val="16"/>
                <w:szCs w:val="16"/>
              </w:rPr>
            </w:pPr>
            <w:r w:rsidRPr="00947D42">
              <w:rPr>
                <w:sz w:val="16"/>
                <w:szCs w:val="16"/>
              </w:rPr>
              <w:t>High-quality, error-free text</w:t>
            </w:r>
            <w:r>
              <w:rPr>
                <w:sz w:val="16"/>
                <w:szCs w:val="16"/>
              </w:rPr>
              <w:t xml:space="preserve">. </w:t>
            </w:r>
            <w:r w:rsidR="00A34DE6" w:rsidRPr="00A34DE6">
              <w:rPr>
                <w:sz w:val="16"/>
                <w:szCs w:val="16"/>
              </w:rPr>
              <w:t>Primarily</w:t>
            </w:r>
            <w:r>
              <w:rPr>
                <w:sz w:val="16"/>
                <w:szCs w:val="16"/>
              </w:rPr>
              <w:t xml:space="preserve"> </w:t>
            </w:r>
            <w:r w:rsidR="00A34DE6">
              <w:rPr>
                <w:sz w:val="16"/>
                <w:szCs w:val="16"/>
              </w:rPr>
              <w:t>CA</w:t>
            </w:r>
          </w:p>
        </w:tc>
        <w:tc>
          <w:tcPr>
            <w:tcW w:w="1168" w:type="pct"/>
            <w:noWrap/>
            <w:hideMark/>
          </w:tcPr>
          <w:p w14:paraId="4B1E986A" w14:textId="77777777" w:rsidR="00947D42" w:rsidRDefault="00947D42" w:rsidP="00947D42">
            <w:pPr>
              <w:rPr>
                <w:sz w:val="16"/>
                <w:szCs w:val="16"/>
              </w:rPr>
            </w:pPr>
          </w:p>
          <w:p w14:paraId="401BB817" w14:textId="248CDD9D" w:rsidR="00A34DE6" w:rsidRPr="00C66109" w:rsidRDefault="00A34DE6" w:rsidP="00947D42">
            <w:pPr>
              <w:rPr>
                <w:sz w:val="16"/>
                <w:szCs w:val="16"/>
              </w:rPr>
            </w:pPr>
            <w:r>
              <w:rPr>
                <w:sz w:val="16"/>
                <w:szCs w:val="16"/>
              </w:rPr>
              <w:t>50,000</w:t>
            </w:r>
          </w:p>
        </w:tc>
        <w:tc>
          <w:tcPr>
            <w:tcW w:w="918" w:type="pct"/>
          </w:tcPr>
          <w:p w14:paraId="7173B9DE" w14:textId="77777777" w:rsidR="00947D42" w:rsidRDefault="00947D42" w:rsidP="00947D42">
            <w:pPr>
              <w:rPr>
                <w:sz w:val="16"/>
                <w:szCs w:val="16"/>
              </w:rPr>
            </w:pPr>
          </w:p>
          <w:p w14:paraId="5A94411D" w14:textId="77A78A5B" w:rsidR="00A34DE6" w:rsidRPr="00C66109" w:rsidRDefault="00947D42" w:rsidP="00947D42">
            <w:pPr>
              <w:rPr>
                <w:sz w:val="16"/>
                <w:szCs w:val="16"/>
              </w:rPr>
            </w:pPr>
            <w:r>
              <w:rPr>
                <w:sz w:val="16"/>
                <w:szCs w:val="16"/>
              </w:rPr>
              <w:t>No</w:t>
            </w:r>
          </w:p>
        </w:tc>
      </w:tr>
      <w:tr w:rsidR="00947D42" w:rsidRPr="006C2BBA" w14:paraId="47818597" w14:textId="0492D513" w:rsidTr="00947D42">
        <w:trPr>
          <w:trHeight w:val="569"/>
        </w:trPr>
        <w:tc>
          <w:tcPr>
            <w:tcW w:w="1016" w:type="pct"/>
            <w:noWrap/>
            <w:hideMark/>
          </w:tcPr>
          <w:p w14:paraId="25F4573C" w14:textId="77777777" w:rsidR="00FF2356" w:rsidRDefault="00FF2356" w:rsidP="00947D42">
            <w:pPr>
              <w:rPr>
                <w:sz w:val="16"/>
                <w:szCs w:val="16"/>
              </w:rPr>
            </w:pPr>
          </w:p>
          <w:p w14:paraId="6E1D3844" w14:textId="15B04283" w:rsidR="00947D42" w:rsidRPr="00C66109" w:rsidRDefault="00947D42" w:rsidP="00947D42">
            <w:pPr>
              <w:rPr>
                <w:sz w:val="16"/>
                <w:szCs w:val="16"/>
              </w:rPr>
            </w:pPr>
            <w:r>
              <w:rPr>
                <w:sz w:val="16"/>
                <w:szCs w:val="16"/>
              </w:rPr>
              <w:t>Clean-400</w:t>
            </w:r>
          </w:p>
        </w:tc>
        <w:tc>
          <w:tcPr>
            <w:tcW w:w="1898" w:type="pct"/>
            <w:noWrap/>
            <w:hideMark/>
          </w:tcPr>
          <w:p w14:paraId="72048768" w14:textId="7FC99FD9" w:rsidR="00947D42" w:rsidRPr="00C66109" w:rsidRDefault="00947D42" w:rsidP="00947D42">
            <w:pPr>
              <w:rPr>
                <w:sz w:val="16"/>
                <w:szCs w:val="16"/>
              </w:rPr>
            </w:pPr>
            <w:r w:rsidRPr="00947D42">
              <w:rPr>
                <w:sz w:val="16"/>
                <w:szCs w:val="16"/>
              </w:rPr>
              <w:t>High-quality, error-free text</w:t>
            </w:r>
            <w:r>
              <w:rPr>
                <w:sz w:val="16"/>
                <w:szCs w:val="16"/>
              </w:rPr>
              <w:t xml:space="preserve">. </w:t>
            </w:r>
            <w:r w:rsidRPr="00A34DE6">
              <w:rPr>
                <w:sz w:val="16"/>
                <w:szCs w:val="16"/>
              </w:rPr>
              <w:t>Primarily</w:t>
            </w:r>
            <w:r>
              <w:rPr>
                <w:sz w:val="16"/>
                <w:szCs w:val="16"/>
              </w:rPr>
              <w:t xml:space="preserve"> CA</w:t>
            </w:r>
          </w:p>
        </w:tc>
        <w:tc>
          <w:tcPr>
            <w:tcW w:w="1168" w:type="pct"/>
            <w:noWrap/>
            <w:hideMark/>
          </w:tcPr>
          <w:p w14:paraId="5FFC3930" w14:textId="77777777" w:rsidR="00947D42" w:rsidRDefault="00947D42" w:rsidP="00947D42">
            <w:pPr>
              <w:rPr>
                <w:sz w:val="16"/>
                <w:szCs w:val="16"/>
              </w:rPr>
            </w:pPr>
          </w:p>
          <w:p w14:paraId="32CB978B" w14:textId="655A9B14" w:rsidR="00947D42" w:rsidRPr="00C66109" w:rsidRDefault="00947D42" w:rsidP="00947D42">
            <w:pPr>
              <w:rPr>
                <w:sz w:val="16"/>
                <w:szCs w:val="16"/>
              </w:rPr>
            </w:pPr>
            <w:r>
              <w:rPr>
                <w:sz w:val="16"/>
                <w:szCs w:val="16"/>
              </w:rPr>
              <w:t>400,000</w:t>
            </w:r>
          </w:p>
        </w:tc>
        <w:tc>
          <w:tcPr>
            <w:tcW w:w="918" w:type="pct"/>
          </w:tcPr>
          <w:p w14:paraId="648DE60B" w14:textId="77777777" w:rsidR="00947D42" w:rsidRDefault="00947D42" w:rsidP="00947D42">
            <w:pPr>
              <w:rPr>
                <w:sz w:val="16"/>
                <w:szCs w:val="16"/>
              </w:rPr>
            </w:pPr>
          </w:p>
          <w:p w14:paraId="1004DDB9" w14:textId="7FAE80BE" w:rsidR="00947D42" w:rsidRPr="00C66109" w:rsidRDefault="00947D42" w:rsidP="00947D42">
            <w:pPr>
              <w:rPr>
                <w:sz w:val="16"/>
                <w:szCs w:val="16"/>
              </w:rPr>
            </w:pPr>
            <w:r>
              <w:rPr>
                <w:sz w:val="16"/>
                <w:szCs w:val="16"/>
              </w:rPr>
              <w:t>Yes</w:t>
            </w:r>
          </w:p>
        </w:tc>
      </w:tr>
      <w:tr w:rsidR="00947D42" w:rsidRPr="006C2BBA" w14:paraId="39ACF776" w14:textId="25BAAEF1" w:rsidTr="00947D42">
        <w:trPr>
          <w:trHeight w:val="317"/>
        </w:trPr>
        <w:tc>
          <w:tcPr>
            <w:tcW w:w="1016" w:type="pct"/>
            <w:noWrap/>
            <w:hideMark/>
          </w:tcPr>
          <w:p w14:paraId="47B0444E" w14:textId="77777777" w:rsidR="00FF2356" w:rsidRDefault="00FF2356" w:rsidP="00947D42">
            <w:pPr>
              <w:rPr>
                <w:sz w:val="16"/>
                <w:szCs w:val="16"/>
              </w:rPr>
            </w:pPr>
          </w:p>
          <w:p w14:paraId="4EEEC061" w14:textId="29C362C1" w:rsidR="00A34DE6" w:rsidRPr="00C66109" w:rsidRDefault="00A34DE6" w:rsidP="00947D42">
            <w:pPr>
              <w:rPr>
                <w:sz w:val="16"/>
                <w:szCs w:val="16"/>
              </w:rPr>
            </w:pPr>
            <w:r>
              <w:rPr>
                <w:sz w:val="16"/>
                <w:szCs w:val="16"/>
              </w:rPr>
              <w:t>REALMS</w:t>
            </w:r>
          </w:p>
        </w:tc>
        <w:tc>
          <w:tcPr>
            <w:tcW w:w="1898" w:type="pct"/>
            <w:noWrap/>
            <w:hideMark/>
          </w:tcPr>
          <w:p w14:paraId="385730DD" w14:textId="2BEBA844" w:rsidR="00A34DE6" w:rsidRPr="00C66109" w:rsidRDefault="00947D42" w:rsidP="00947D42">
            <w:pPr>
              <w:rPr>
                <w:sz w:val="16"/>
                <w:szCs w:val="16"/>
              </w:rPr>
            </w:pPr>
            <w:r w:rsidRPr="00947D42">
              <w:rPr>
                <w:sz w:val="16"/>
                <w:szCs w:val="16"/>
              </w:rPr>
              <w:t xml:space="preserve">Noisy, unnormalized data </w:t>
            </w:r>
            <w:r>
              <w:rPr>
                <w:sz w:val="16"/>
                <w:szCs w:val="16"/>
              </w:rPr>
              <w:t>collected from s</w:t>
            </w:r>
            <w:r w:rsidR="00A34DE6" w:rsidRPr="00A34DE6">
              <w:rPr>
                <w:sz w:val="16"/>
                <w:szCs w:val="16"/>
              </w:rPr>
              <w:t xml:space="preserve">ocial </w:t>
            </w:r>
            <w:r>
              <w:rPr>
                <w:sz w:val="16"/>
                <w:szCs w:val="16"/>
              </w:rPr>
              <w:t>m</w:t>
            </w:r>
            <w:r w:rsidR="00A34DE6" w:rsidRPr="00A34DE6">
              <w:rPr>
                <w:sz w:val="16"/>
                <w:szCs w:val="16"/>
              </w:rPr>
              <w:t>edia</w:t>
            </w:r>
            <w:r>
              <w:rPr>
                <w:sz w:val="16"/>
                <w:szCs w:val="16"/>
              </w:rPr>
              <w:t xml:space="preserve"> platforms</w:t>
            </w:r>
            <w:r w:rsidR="00A34DE6" w:rsidRPr="00A34DE6">
              <w:rPr>
                <w:sz w:val="16"/>
                <w:szCs w:val="16"/>
              </w:rPr>
              <w:t xml:space="preserve"> (MSA/Dialect mix)</w:t>
            </w:r>
          </w:p>
        </w:tc>
        <w:tc>
          <w:tcPr>
            <w:tcW w:w="1168" w:type="pct"/>
            <w:noWrap/>
            <w:hideMark/>
          </w:tcPr>
          <w:p w14:paraId="11E2E125" w14:textId="77777777" w:rsidR="00947D42" w:rsidRDefault="00947D42" w:rsidP="00947D42">
            <w:pPr>
              <w:rPr>
                <w:sz w:val="16"/>
                <w:szCs w:val="16"/>
              </w:rPr>
            </w:pPr>
          </w:p>
          <w:p w14:paraId="03FA7025" w14:textId="22CC4795" w:rsidR="00A34DE6" w:rsidRPr="00C66109" w:rsidRDefault="00A34DE6" w:rsidP="00947D42">
            <w:pPr>
              <w:rPr>
                <w:sz w:val="16"/>
                <w:szCs w:val="16"/>
              </w:rPr>
            </w:pPr>
            <w:r>
              <w:rPr>
                <w:sz w:val="16"/>
                <w:szCs w:val="16"/>
              </w:rPr>
              <w:t>4,123</w:t>
            </w:r>
          </w:p>
        </w:tc>
        <w:tc>
          <w:tcPr>
            <w:tcW w:w="918" w:type="pct"/>
          </w:tcPr>
          <w:p w14:paraId="682C0946" w14:textId="77777777" w:rsidR="00947D42" w:rsidRDefault="00947D42" w:rsidP="00947D42">
            <w:pPr>
              <w:rPr>
                <w:sz w:val="16"/>
                <w:szCs w:val="16"/>
              </w:rPr>
            </w:pPr>
          </w:p>
          <w:p w14:paraId="05D617E4" w14:textId="32BF18ED" w:rsidR="00A34DE6" w:rsidRPr="00C66109" w:rsidRDefault="00947D42" w:rsidP="00947D42">
            <w:pPr>
              <w:rPr>
                <w:sz w:val="16"/>
                <w:szCs w:val="16"/>
              </w:rPr>
            </w:pPr>
            <w:r>
              <w:rPr>
                <w:sz w:val="16"/>
                <w:szCs w:val="16"/>
              </w:rPr>
              <w:t>No</w:t>
            </w:r>
          </w:p>
        </w:tc>
      </w:tr>
    </w:tbl>
    <w:p w14:paraId="0D1BE1B6" w14:textId="77777777" w:rsidR="00A34DE6" w:rsidRPr="00C702C1" w:rsidRDefault="00A34DE6" w:rsidP="00947D42">
      <w:pPr>
        <w:pStyle w:val="BodyText"/>
        <w:ind w:firstLine="0"/>
      </w:pPr>
    </w:p>
    <w:p w14:paraId="5D2DD83B" w14:textId="00FC265A" w:rsidR="009303D9" w:rsidRDefault="00355726" w:rsidP="009721D9">
      <w:pPr>
        <w:pStyle w:val="Heading1"/>
        <w:ind w:firstLine="0"/>
      </w:pPr>
      <w:r>
        <w:t>Datasets Preparation</w:t>
      </w:r>
    </w:p>
    <w:p w14:paraId="42CD3244" w14:textId="2AB7868C" w:rsidR="009303D9" w:rsidRPr="005B520E" w:rsidRDefault="00326166" w:rsidP="00E7596C">
      <w:pPr>
        <w:pStyle w:val="BodyText"/>
      </w:pPr>
      <w:r w:rsidRPr="00326166">
        <w:t xml:space="preserve">To optimize our model's performance across spelling correction, dialect normalization, and diacritization, we prepared the datasets through synthetic error injection </w:t>
      </w:r>
      <w:r w:rsidR="0044480B">
        <w:t xml:space="preserve">into Tashkeela dataset </w:t>
      </w:r>
      <w:r w:rsidRPr="00326166">
        <w:t>and the diacritization of the JODA dataset. This preparation aimed to enhance the model's exposure to real-world linguistic variations and ensure consistency across diverse data sources</w:t>
      </w:r>
      <w:r w:rsidR="009303D9" w:rsidRPr="005B520E">
        <w:t>.</w:t>
      </w:r>
    </w:p>
    <w:p w14:paraId="550E2495" w14:textId="57C6C987" w:rsidR="009303D9" w:rsidRPr="00BE4F36" w:rsidRDefault="00326166" w:rsidP="00ED0149">
      <w:pPr>
        <w:pStyle w:val="Heading2"/>
      </w:pPr>
      <w:r w:rsidRPr="00BE4F36">
        <w:t>Synthetic Error Injection</w:t>
      </w:r>
    </w:p>
    <w:p w14:paraId="44E5524D" w14:textId="086C80EA" w:rsidR="002850E3" w:rsidRDefault="00326166" w:rsidP="00326166">
      <w:pPr>
        <w:pStyle w:val="BodyText"/>
      </w:pPr>
      <w:r w:rsidRPr="00326166">
        <w:t>To align the characteristics of the clean Tashkeela dataset</w:t>
      </w:r>
      <w:r w:rsidR="006C3C96">
        <w:t>s</w:t>
      </w:r>
      <w:r w:rsidRPr="00326166">
        <w:t xml:space="preserve"> with the more varied JODA dataset (which includes dialectal texts and human errors), we stochastically injected synthetic errors into the undiacritized input sequences of the Tashkeela Clean-50 and Clean-400 subsets. This approach helps simulate common orthographic mistakes prevalent in Arabic, stemming from phonetic similarities, morphological ambiguities, and inconsistent orthography</w:t>
      </w:r>
      <w:r w:rsidR="002850E3">
        <w:rPr>
          <w:i/>
        </w:rPr>
        <w:t>.</w:t>
      </w:r>
      <w:r w:rsidR="00B32DC3">
        <w:rPr>
          <w:i/>
        </w:rPr>
        <w:t xml:space="preserve"> </w:t>
      </w:r>
      <w:r w:rsidR="00B32DC3" w:rsidRPr="00B32DC3">
        <w:rPr>
          <w:i/>
        </w:rPr>
        <w:t>Two distinct error injection techniques were employed with specific probabilities:</w:t>
      </w:r>
    </w:p>
    <w:p w14:paraId="5B7FC3D7" w14:textId="67E00F4B" w:rsidR="002B4654" w:rsidRPr="00510C24" w:rsidRDefault="00B32DC3" w:rsidP="00E3684F">
      <w:pPr>
        <w:pStyle w:val="Heading3"/>
        <w:rPr>
          <w:i w:val="0"/>
          <w:iCs w:val="0"/>
        </w:rPr>
      </w:pPr>
      <w:r w:rsidRPr="008D74AB">
        <w:rPr>
          <w:b/>
          <w:bCs/>
          <w:i w:val="0"/>
          <w:iCs w:val="0"/>
        </w:rPr>
        <w:t>Soft Orthographic Error Injection</w:t>
      </w:r>
      <w:r w:rsidR="009303D9" w:rsidRPr="008D74AB">
        <w:rPr>
          <w:b/>
          <w:bCs/>
          <w:i w:val="0"/>
          <w:iCs w:val="0"/>
        </w:rPr>
        <w:t>:</w:t>
      </w:r>
      <w:r w:rsidR="009303D9" w:rsidRPr="00510C24">
        <w:rPr>
          <w:i w:val="0"/>
          <w:iCs w:val="0"/>
        </w:rPr>
        <w:t xml:space="preserve"> </w:t>
      </w:r>
      <w:r w:rsidRPr="00510C24">
        <w:rPr>
          <w:i w:val="0"/>
          <w:iCs w:val="0"/>
        </w:rPr>
        <w:t>This method introduces lexical and semantic errors by mimicking confusions between similar-looking or sounding letters (e.g., variations of alef, hamza, and teh marbuta). We adopted the methodology by Abandah et al. [</w:t>
      </w:r>
      <w:r w:rsidR="00D4546C" w:rsidRPr="00510C24">
        <w:rPr>
          <w:i w:val="0"/>
          <w:iCs w:val="0"/>
        </w:rPr>
        <w:t>8</w:t>
      </w:r>
      <w:r w:rsidRPr="00510C24">
        <w:rPr>
          <w:i w:val="0"/>
          <w:iCs w:val="0"/>
        </w:rPr>
        <w:t>] , where letters are replaced with alternative forms from predefined groups based on an error injection rate of 10%.</w:t>
      </w:r>
    </w:p>
    <w:p w14:paraId="4AC68130" w14:textId="1688AA64" w:rsidR="006F6D3D" w:rsidRPr="00510C24" w:rsidRDefault="006610D2" w:rsidP="00E3684F">
      <w:pPr>
        <w:pStyle w:val="Heading3"/>
        <w:rPr>
          <w:i w:val="0"/>
          <w:iCs w:val="0"/>
        </w:rPr>
      </w:pPr>
      <w:r w:rsidRPr="008D74AB">
        <w:rPr>
          <w:b/>
          <w:bCs/>
          <w:i w:val="0"/>
          <w:iCs w:val="0"/>
        </w:rPr>
        <w:t>Random Orthographic Distortion:</w:t>
      </w:r>
      <w:r w:rsidRPr="00510C24">
        <w:rPr>
          <w:i w:val="0"/>
          <w:iCs w:val="0"/>
        </w:rPr>
        <w:t xml:space="preserve"> </w:t>
      </w:r>
      <w:r w:rsidR="000F503F" w:rsidRPr="00510C24">
        <w:rPr>
          <w:i w:val="0"/>
          <w:iCs w:val="0"/>
        </w:rPr>
        <w:t>Expanding on Khaleel and Abandah [</w:t>
      </w:r>
      <w:r w:rsidR="00297B9D" w:rsidRPr="00510C24">
        <w:rPr>
          <w:i w:val="0"/>
          <w:iCs w:val="0"/>
        </w:rPr>
        <w:t>1</w:t>
      </w:r>
      <w:r w:rsidR="003E2050" w:rsidRPr="00510C24">
        <w:rPr>
          <w:i w:val="0"/>
          <w:iCs w:val="0"/>
        </w:rPr>
        <w:t>7</w:t>
      </w:r>
      <w:r w:rsidR="000F503F" w:rsidRPr="00510C24">
        <w:rPr>
          <w:i w:val="0"/>
          <w:iCs w:val="0"/>
        </w:rPr>
        <w:t>], this technique replicates a broader spectrum of common error patterns beyond soft-spelling mistakes. Artificial errors were introduced through letter exaggeration (repeating a letter 2-4 times), deletion, insertion, swapping, and random letter replacement. A fixed error injection rate of 5% was applied across the dataset. Each error form (exaggeration, deletion, insertion, swapping) was assigned a 10% probability, with random letter replacement assigned a 60% probability. This strategy enhances the model's robustness to diverse real-world orthographic distortions.</w:t>
      </w:r>
    </w:p>
    <w:p w14:paraId="3C56E4E8" w14:textId="4F658DBC" w:rsidR="009303D9" w:rsidRPr="00BE4F36" w:rsidRDefault="004960DC" w:rsidP="00ED0149">
      <w:pPr>
        <w:pStyle w:val="Heading2"/>
      </w:pPr>
      <w:r w:rsidRPr="00BE4F36">
        <w:t>JODA Dataset Diacritization</w:t>
      </w:r>
    </w:p>
    <w:p w14:paraId="6C986348" w14:textId="7FF6303A" w:rsidR="009303D9" w:rsidRDefault="00AB6F9F" w:rsidP="00E7596C">
      <w:pPr>
        <w:pStyle w:val="BodyText"/>
      </w:pPr>
      <w:r w:rsidRPr="00AB6F9F">
        <w:t>The MSA texts within the JODA dataset lacked diacritics, which are critical for accurate Arabic understanding. To ensure the MSA target sequences were fully diacritized for our dialect-to-MSA conversion task, we fine-tuned a ByT5-small model specifically for Arabic diacritization</w:t>
      </w:r>
      <w:r w:rsidR="009303D9" w:rsidRPr="005B520E">
        <w:t>.</w:t>
      </w:r>
    </w:p>
    <w:p w14:paraId="356A3BA0" w14:textId="6F70DE1E" w:rsidR="00AB6F9F" w:rsidRDefault="00AB6F9F" w:rsidP="00E7596C">
      <w:pPr>
        <w:pStyle w:val="BodyText"/>
      </w:pPr>
      <w:r w:rsidRPr="00AB6F9F">
        <w:t>The Clean-400 dataset served as the primary resource for training our diacritization model. All diacritics were initially removed from the Clean-400 text to create un-diacritized input sequences, which were then paired with their original fully diacritized versions for training. The entire model development and training workflow utilized the PyTorch Lightning framework, ensuring reproducibility and scalability.</w:t>
      </w:r>
    </w:p>
    <w:p w14:paraId="7D06DC91" w14:textId="4685D2A7" w:rsidR="00AB6F9F" w:rsidRPr="005B520E" w:rsidRDefault="00AB6F9F" w:rsidP="00E7596C">
      <w:pPr>
        <w:pStyle w:val="BodyText"/>
      </w:pPr>
      <w:r w:rsidRPr="00AB6F9F">
        <w:t>The optimal configuration achieved a DER of 1.54% (including the last letter diacritic) on the Clean-400 test set, which improved to 0.74% when excluding the last letter diacritic after filtering mismatched sequences. These results confirmed the model's suitability for accurately diacritizing the JODA dataset</w:t>
      </w:r>
      <w:r w:rsidR="004C4FF4">
        <w:t>’</w:t>
      </w:r>
      <w:r w:rsidRPr="00AB6F9F">
        <w:t>s MSA column. Based on this, 52,948 out of 54,135 MSA sequences from JODA were successfully diacritized and integrated into the dataset; these were specifically the sequences with zero errors in the letters, while the original letter</w:t>
      </w:r>
      <w:r w:rsidR="006D59D3">
        <w:t>s</w:t>
      </w:r>
      <w:r w:rsidRPr="00AB6F9F">
        <w:t xml:space="preserve"> content of the sentences remained unaltered.</w:t>
      </w:r>
    </w:p>
    <w:p w14:paraId="04D6A610" w14:textId="29D69F04" w:rsidR="009303D9" w:rsidRPr="00BE4F36" w:rsidRDefault="002E6C8B" w:rsidP="002E6C8B">
      <w:pPr>
        <w:pStyle w:val="Heading2"/>
      </w:pPr>
      <w:r w:rsidRPr="00BE4F36">
        <w:t>Multi-Task Learning (MTL) Setup</w:t>
      </w:r>
    </w:p>
    <w:p w14:paraId="39D7A7EF" w14:textId="0E9AD5A3" w:rsidR="00575BCA" w:rsidRDefault="002E6C8B" w:rsidP="00FC79E8">
      <w:pPr>
        <w:pStyle w:val="BodyText"/>
        <w:rPr>
          <w:lang w:val="en-US"/>
        </w:rPr>
      </w:pPr>
      <w:r w:rsidRPr="002E6C8B">
        <w:t>To leverage the ByT5 architecture's versatility, we adopted MTL framework, treating all objectives as text-to-text problems. Inspired by the original T5 model</w:t>
      </w:r>
      <w:r w:rsidR="004C4FF4">
        <w:t>’</w:t>
      </w:r>
      <w:r w:rsidRPr="002E6C8B">
        <w:t>s design, we employed task-specific prefixes to delineate between different tasks, enabling the model to discern and generate appropriate output for each input sequence</w:t>
      </w:r>
      <w:r>
        <w:t>.</w:t>
      </w:r>
      <w:r w:rsidR="00FC79E8">
        <w:t xml:space="preserve"> </w:t>
      </w:r>
      <w:r w:rsidR="00FC79E8" w:rsidRPr="00FC79E8">
        <w:rPr>
          <w:lang w:val="en-US"/>
        </w:rPr>
        <w:t>Our MTL setup incorporated two primary tasks:</w:t>
      </w:r>
    </w:p>
    <w:p w14:paraId="2FB7AB26" w14:textId="4869E5AE" w:rsidR="008E08A5" w:rsidRPr="00510C24" w:rsidRDefault="00FC79E8" w:rsidP="00C5595E">
      <w:pPr>
        <w:pStyle w:val="Heading3"/>
        <w:rPr>
          <w:i w:val="0"/>
          <w:iCs w:val="0"/>
        </w:rPr>
      </w:pPr>
      <w:bookmarkStart w:id="2" w:name="_Hlk214735783"/>
      <w:r w:rsidRPr="00C85DC5">
        <w:rPr>
          <w:b/>
          <w:bCs/>
          <w:i w:val="0"/>
          <w:iCs w:val="0"/>
        </w:rPr>
        <w:t>Orthographic Correction:</w:t>
      </w:r>
      <w:r w:rsidRPr="00510C24">
        <w:rPr>
          <w:i w:val="0"/>
          <w:iCs w:val="0"/>
        </w:rPr>
        <w:t xml:space="preserve"> Transforming text from Jordanian dialect or MSA with errors into corrected MSA text. This task used the prefix </w:t>
      </w:r>
      <w:r w:rsidR="0064193C" w:rsidRPr="00510C24">
        <w:rPr>
          <w:i w:val="0"/>
          <w:iCs w:val="0"/>
        </w:rPr>
        <w:t>“</w:t>
      </w:r>
      <w:r w:rsidRPr="00510C24">
        <w:rPr>
          <w:i w:val="0"/>
          <w:iCs w:val="0"/>
        </w:rPr>
        <w:t>correct:</w:t>
      </w:r>
      <w:r w:rsidR="004C4FF4" w:rsidRPr="00510C24">
        <w:rPr>
          <w:i w:val="0"/>
          <w:iCs w:val="0"/>
        </w:rPr>
        <w:t>”</w:t>
      </w:r>
      <w:r w:rsidRPr="00510C24">
        <w:rPr>
          <w:i w:val="0"/>
          <w:iCs w:val="0"/>
        </w:rPr>
        <w:t>.</w:t>
      </w:r>
    </w:p>
    <w:bookmarkEnd w:id="2"/>
    <w:p w14:paraId="398C830F" w14:textId="364A29C7" w:rsidR="00FC79E8" w:rsidRPr="00510C24" w:rsidRDefault="00FC79E8" w:rsidP="00C5595E">
      <w:pPr>
        <w:pStyle w:val="Heading3"/>
        <w:rPr>
          <w:i w:val="0"/>
          <w:iCs w:val="0"/>
        </w:rPr>
      </w:pPr>
      <w:r w:rsidRPr="00C85DC5">
        <w:rPr>
          <w:b/>
          <w:bCs/>
          <w:i w:val="0"/>
          <w:iCs w:val="0"/>
        </w:rPr>
        <w:t>Correction and Diacritization:</w:t>
      </w:r>
      <w:r w:rsidRPr="00510C24">
        <w:rPr>
          <w:i w:val="0"/>
          <w:iCs w:val="0"/>
        </w:rPr>
        <w:t xml:space="preserve"> Expanding on the first task, this involved generating corrected and fully diacritized MSA text. This task used the prefix </w:t>
      </w:r>
      <w:r w:rsidR="004C4FF4" w:rsidRPr="00510C24">
        <w:rPr>
          <w:i w:val="0"/>
          <w:iCs w:val="0"/>
        </w:rPr>
        <w:t>“</w:t>
      </w:r>
      <w:r w:rsidRPr="00510C24">
        <w:rPr>
          <w:i w:val="0"/>
          <w:iCs w:val="0"/>
        </w:rPr>
        <w:t>diacritize:</w:t>
      </w:r>
      <w:r w:rsidR="004C4FF4" w:rsidRPr="00510C24">
        <w:rPr>
          <w:i w:val="0"/>
          <w:iCs w:val="0"/>
        </w:rPr>
        <w:t>”</w:t>
      </w:r>
      <w:r w:rsidRPr="00510C24">
        <w:rPr>
          <w:i w:val="0"/>
          <w:iCs w:val="0"/>
        </w:rPr>
        <w:t>.</w:t>
      </w:r>
    </w:p>
    <w:p w14:paraId="6443B2A0" w14:textId="30F65C48" w:rsidR="00912E4A" w:rsidRDefault="00912E4A" w:rsidP="00912E4A">
      <w:pPr>
        <w:pStyle w:val="BodyText"/>
        <w:spacing w:line="240" w:lineRule="auto"/>
      </w:pPr>
      <w:r w:rsidRPr="00912E4A">
        <w:lastRenderedPageBreak/>
        <w:t xml:space="preserve">These prefixes were chosen for brevity to minimize input sequence length impact and for distinctiveness to ensure clear task differentiation during training. (Refer to </w:t>
      </w:r>
      <w:r w:rsidR="00E8344E">
        <w:fldChar w:fldCharType="begin"/>
      </w:r>
      <w:r w:rsidR="00E8344E">
        <w:instrText xml:space="preserve"> REF _Ref202802723 \h  \* MERGEFORMAT </w:instrText>
      </w:r>
      <w:r w:rsidR="00E8344E">
        <w:fldChar w:fldCharType="separate"/>
      </w:r>
      <w:r w:rsidR="00176FB4" w:rsidRPr="00176FB4">
        <w:t>Fig. 1</w:t>
      </w:r>
      <w:r w:rsidR="00E8344E">
        <w:fldChar w:fldCharType="end"/>
      </w:r>
      <w:r w:rsidRPr="00912E4A">
        <w:t xml:space="preserve"> for a diagram of our text-to-text framework with input/output examples for each task).</w:t>
      </w:r>
    </w:p>
    <w:p w14:paraId="4A1340F5" w14:textId="77777777" w:rsidR="0041151B" w:rsidRDefault="00E8344E" w:rsidP="0041151B">
      <w:pPr>
        <w:pStyle w:val="BodyText"/>
        <w:keepNext/>
        <w:spacing w:line="240" w:lineRule="auto"/>
        <w:jc w:val="center"/>
      </w:pPr>
      <w:r>
        <w:rPr>
          <w:rFonts w:asciiTheme="majorBidi" w:hAnsiTheme="majorBidi" w:cstheme="majorBidi"/>
          <w:noProof/>
          <w:sz w:val="24"/>
          <w:szCs w:val="24"/>
          <w:lang w:bidi="ar-JO"/>
        </w:rPr>
        <w:drawing>
          <wp:inline distT="0" distB="0" distL="0" distR="0" wp14:anchorId="32A97A58" wp14:editId="482B9697">
            <wp:extent cx="2995378" cy="902826"/>
            <wp:effectExtent l="0" t="0" r="0" b="0"/>
            <wp:docPr id="36557509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5065" cy="911774"/>
                    </a:xfrm>
                    <a:prstGeom prst="rect">
                      <a:avLst/>
                    </a:prstGeom>
                    <a:noFill/>
                  </pic:spPr>
                </pic:pic>
              </a:graphicData>
            </a:graphic>
          </wp:inline>
        </w:drawing>
      </w:r>
    </w:p>
    <w:p w14:paraId="0F292C13" w14:textId="76A4BA08" w:rsidR="00FC79E8" w:rsidRPr="00256C27" w:rsidRDefault="0041151B" w:rsidP="0041151B">
      <w:pPr>
        <w:pStyle w:val="Caption"/>
        <w:rPr>
          <w:sz w:val="16"/>
          <w:szCs w:val="16"/>
        </w:rPr>
      </w:pPr>
      <w:r w:rsidRPr="00256C27">
        <w:rPr>
          <w:i w:val="0"/>
          <w:iCs w:val="0"/>
          <w:color w:val="auto"/>
          <w:sz w:val="16"/>
          <w:szCs w:val="16"/>
        </w:rPr>
        <w:t xml:space="preserve">Fig.  </w:t>
      </w:r>
      <w:r w:rsidRPr="00256C27">
        <w:rPr>
          <w:i w:val="0"/>
          <w:iCs w:val="0"/>
          <w:color w:val="auto"/>
          <w:sz w:val="16"/>
          <w:szCs w:val="16"/>
        </w:rPr>
        <w:fldChar w:fldCharType="begin"/>
      </w:r>
      <w:r w:rsidRPr="00256C27">
        <w:rPr>
          <w:i w:val="0"/>
          <w:iCs w:val="0"/>
          <w:color w:val="auto"/>
          <w:sz w:val="16"/>
          <w:szCs w:val="16"/>
        </w:rPr>
        <w:instrText xml:space="preserve"> SEQ Fig._ \* ARABIC </w:instrText>
      </w:r>
      <w:r w:rsidRPr="00256C27">
        <w:rPr>
          <w:i w:val="0"/>
          <w:iCs w:val="0"/>
          <w:color w:val="auto"/>
          <w:sz w:val="16"/>
          <w:szCs w:val="16"/>
        </w:rPr>
        <w:fldChar w:fldCharType="separate"/>
      </w:r>
      <w:r w:rsidRPr="00256C27">
        <w:rPr>
          <w:i w:val="0"/>
          <w:iCs w:val="0"/>
          <w:noProof/>
          <w:color w:val="auto"/>
          <w:sz w:val="16"/>
          <w:szCs w:val="16"/>
        </w:rPr>
        <w:t>1</w:t>
      </w:r>
      <w:r w:rsidRPr="00256C27">
        <w:rPr>
          <w:i w:val="0"/>
          <w:iCs w:val="0"/>
          <w:color w:val="auto"/>
          <w:sz w:val="16"/>
          <w:szCs w:val="16"/>
        </w:rPr>
        <w:fldChar w:fldCharType="end"/>
      </w:r>
      <w:r w:rsidRPr="00256C27">
        <w:rPr>
          <w:i w:val="0"/>
          <w:iCs w:val="0"/>
          <w:color w:val="auto"/>
          <w:sz w:val="16"/>
          <w:szCs w:val="16"/>
        </w:rPr>
        <w:t>.</w:t>
      </w:r>
      <w:r w:rsidR="00355726" w:rsidRPr="00256C27">
        <w:rPr>
          <w:i w:val="0"/>
          <w:iCs w:val="0"/>
          <w:color w:val="auto"/>
          <w:sz w:val="16"/>
          <w:szCs w:val="16"/>
        </w:rPr>
        <w:tab/>
        <w:t>The</w:t>
      </w:r>
      <w:r w:rsidRPr="00256C27">
        <w:rPr>
          <w:i w:val="0"/>
          <w:iCs w:val="0"/>
          <w:color w:val="auto"/>
          <w:sz w:val="16"/>
          <w:szCs w:val="16"/>
        </w:rPr>
        <w:t xml:space="preserve"> ByT5 </w:t>
      </w:r>
      <w:r w:rsidR="00355726" w:rsidRPr="00256C27">
        <w:rPr>
          <w:i w:val="0"/>
          <w:iCs w:val="0"/>
          <w:color w:val="auto"/>
          <w:sz w:val="16"/>
          <w:szCs w:val="16"/>
        </w:rPr>
        <w:t>model text-to-text framework</w:t>
      </w:r>
      <w:r w:rsidRPr="00256C27">
        <w:rPr>
          <w:sz w:val="16"/>
          <w:szCs w:val="16"/>
        </w:rPr>
        <w:t>.</w:t>
      </w:r>
    </w:p>
    <w:p w14:paraId="105BEB7C" w14:textId="76B45AAA" w:rsidR="0017696C" w:rsidRDefault="0017696C" w:rsidP="009721D9">
      <w:pPr>
        <w:pStyle w:val="Heading1"/>
        <w:ind w:firstLine="0"/>
      </w:pPr>
      <w:r>
        <w:t>Experiments and Results</w:t>
      </w:r>
    </w:p>
    <w:p w14:paraId="011CCE88" w14:textId="418C1BAA" w:rsidR="0017696C" w:rsidRDefault="0017696C" w:rsidP="0017696C">
      <w:pPr>
        <w:pStyle w:val="BodyText"/>
      </w:pPr>
      <w:r w:rsidRPr="0017696C">
        <w:t xml:space="preserve">This section details our experimental methodology to evaluate and optimize the ByT5 model </w:t>
      </w:r>
      <w:r w:rsidR="008F41E0">
        <w:t>which was fine-tuned</w:t>
      </w:r>
      <w:r w:rsidRPr="0017696C">
        <w:t xml:space="preserve"> to develop a single, robust </w:t>
      </w:r>
      <w:r w:rsidR="008F41E0">
        <w:t>system</w:t>
      </w:r>
      <w:r w:rsidRPr="0017696C">
        <w:t xml:space="preserve"> capable of transforming input text into corrected MSA, with the option for diacritized output.</w:t>
      </w:r>
    </w:p>
    <w:p w14:paraId="248509BC" w14:textId="04304408" w:rsidR="008F41E0" w:rsidRPr="00BE4F36" w:rsidRDefault="008F41E0" w:rsidP="008F41E0">
      <w:pPr>
        <w:pStyle w:val="Heading2"/>
      </w:pPr>
      <w:r w:rsidRPr="00BE4F36">
        <w:t>Model Selection</w:t>
      </w:r>
    </w:p>
    <w:p w14:paraId="1ED32BF8" w14:textId="4161017A" w:rsidR="008F41E0" w:rsidRDefault="006353A7" w:rsidP="008F41E0">
      <w:pPr>
        <w:pStyle w:val="BodyText"/>
      </w:pPr>
      <w:r w:rsidRPr="006353A7">
        <w:t xml:space="preserve">Choosing the appropriate ByT5 model architecture parameters was crucial for balancing performance and computational efficiency. The ByT5 model was initially selected due to its byte-level processing capability, which is particularly well-suited for morphologically rich languages like Arabic where traditional tokenization can be challenging and error-prone. Informed by </w:t>
      </w:r>
      <w:r>
        <w:t xml:space="preserve">the </w:t>
      </w:r>
      <w:r w:rsidRPr="006353A7">
        <w:t>authors of the ByT5 model</w:t>
      </w:r>
      <w:r>
        <w:t>,</w:t>
      </w:r>
      <w:r w:rsidRPr="006353A7">
        <w:t xml:space="preserve"> larger models generally exhibit superior performance [</w:t>
      </w:r>
      <w:r>
        <w:t>1</w:t>
      </w:r>
      <w:r w:rsidR="003E2050">
        <w:t>8</w:t>
      </w:r>
      <w:r w:rsidRPr="006353A7">
        <w:t>]</w:t>
      </w:r>
      <w:r>
        <w:t>.</w:t>
      </w:r>
      <w:r w:rsidRPr="006353A7">
        <w:t xml:space="preserve"> </w:t>
      </w:r>
      <w:r>
        <w:t>W</w:t>
      </w:r>
      <w:r w:rsidRPr="006353A7">
        <w:t>e then opted for the ByT5-Base model with its 600 million parameters. This choice offered a judicious trade-off between model capacity and our available computational resources, with its extensive pre-training mitigating overfitting risks even with smaller fine-tuning datasets.</w:t>
      </w:r>
    </w:p>
    <w:p w14:paraId="27ED8627" w14:textId="0E7C0B82" w:rsidR="00A62009" w:rsidRDefault="00A62009" w:rsidP="008F41E0">
      <w:pPr>
        <w:pStyle w:val="BodyText"/>
      </w:pPr>
      <w:r w:rsidRPr="00A62009">
        <w:t>We further investigated the impact of the trainable parameters ratio, which represents the percentage of parameters updated during training. We trialed ratios of 25%, 50%, 75%, and 100%. Our findings indicated that a 75% ratio generally outperformed 25% and 50% ratios, achieving similar performance to the 100% ratio but with significantly reduced computational cost. Specifically, the performance gain of the 100% ratio over the 75% ratio was marginal</w:t>
      </w:r>
      <w:r>
        <w:t xml:space="preserve"> (0.15%)</w:t>
      </w:r>
      <w:r w:rsidRPr="00A62009">
        <w:t>, yet it incurred a 12.45% increase in training duration. This suggested that ByT5's multilingual pre-training had already captured essential Arabic linguistic characteristics, allowing for effective fine-tuning with a substantial portion of frozen parameters.</w:t>
      </w:r>
    </w:p>
    <w:p w14:paraId="7609A8F1" w14:textId="7F3FBD5E" w:rsidR="004D4606" w:rsidRDefault="008F4659" w:rsidP="008F41E0">
      <w:pPr>
        <w:pStyle w:val="BodyText"/>
      </w:pPr>
      <w:r w:rsidRPr="008F4659">
        <w:t>We also examined the influence of precision on training stability and resource consumption, comparing 32-bit (FP32) and 16-bit mixed precision (BF16-mixed). Our experiments showed that BF16-mixed precision resulted in only a marginal 0.15% performance degradation while approximately halving the training time. Consequently, BF16-mixed precision was adopted. Based on these findings, the ByT5-Base model with a 75% trainable parameter ratio and BF16-mixed precision offered the best balance of performance and efficiency.</w:t>
      </w:r>
    </w:p>
    <w:p w14:paraId="6DE1235B" w14:textId="4CF96008" w:rsidR="004D4606" w:rsidRDefault="004D4606" w:rsidP="004D4606">
      <w:pPr>
        <w:pStyle w:val="Heading2"/>
      </w:pPr>
      <w:r w:rsidRPr="004D4606">
        <w:t>Hyperparameters Tuning</w:t>
      </w:r>
    </w:p>
    <w:p w14:paraId="228BF274" w14:textId="1BBADAF2" w:rsidR="004D4606" w:rsidRDefault="004D4606" w:rsidP="008F41E0">
      <w:pPr>
        <w:pStyle w:val="BodyText"/>
      </w:pPr>
      <w:r w:rsidRPr="004D4606">
        <w:t xml:space="preserve">Optimizing hyperparameters was paramount to achieving enhanced performance and efficiency. Our tuning process involved a systematic experimental approach to identify optimal configurations for training stability, convergence </w:t>
      </w:r>
      <w:r w:rsidRPr="004D4606">
        <w:t>velocity, and model accuracy. We employed a strategy of sometimes varying one parameter at a time to isolate effects and, at other times, adjusting multiple parameters simultaneously to explore broader configurations.</w:t>
      </w:r>
      <w:r>
        <w:t xml:space="preserve"> </w:t>
      </w:r>
      <w:r w:rsidRPr="004D4606">
        <w:t>Key hyperparameters subjected to adjustment included</w:t>
      </w:r>
      <w:r>
        <w:t>:</w:t>
      </w:r>
    </w:p>
    <w:p w14:paraId="61B1DE23" w14:textId="4425E79C" w:rsidR="004D4606" w:rsidRPr="00510C24" w:rsidRDefault="004D4606" w:rsidP="005F588B">
      <w:pPr>
        <w:pStyle w:val="Heading3"/>
        <w:rPr>
          <w:i w:val="0"/>
          <w:iCs w:val="0"/>
        </w:rPr>
      </w:pPr>
      <w:r w:rsidRPr="00C85DC5">
        <w:rPr>
          <w:b/>
          <w:bCs/>
          <w:i w:val="0"/>
          <w:iCs w:val="0"/>
        </w:rPr>
        <w:t>Maximum input and output sequence lengths:</w:t>
      </w:r>
      <w:r w:rsidRPr="00510C24">
        <w:rPr>
          <w:i w:val="0"/>
          <w:iCs w:val="0"/>
        </w:rPr>
        <w:t xml:space="preserve"> </w:t>
      </w:r>
      <w:r w:rsidR="00571599" w:rsidRPr="00510C24">
        <w:rPr>
          <w:i w:val="0"/>
          <w:iCs w:val="0"/>
        </w:rPr>
        <w:t>We observed that while longer sequences generally yielded higher model performance, this came at the expense of increased computational demand. Therefore, we utilized the longest sequence lengths that our computational resources could handle.</w:t>
      </w:r>
    </w:p>
    <w:p w14:paraId="6F3E6C88" w14:textId="78511C79" w:rsidR="004D4606" w:rsidRPr="00510C24" w:rsidRDefault="004D4606" w:rsidP="005F588B">
      <w:pPr>
        <w:pStyle w:val="Heading3"/>
        <w:rPr>
          <w:i w:val="0"/>
          <w:iCs w:val="0"/>
        </w:rPr>
      </w:pPr>
      <w:r w:rsidRPr="00C85DC5">
        <w:rPr>
          <w:b/>
          <w:bCs/>
          <w:i w:val="0"/>
          <w:iCs w:val="0"/>
        </w:rPr>
        <w:t>Learning Rate:</w:t>
      </w:r>
      <w:r w:rsidRPr="00510C24">
        <w:rPr>
          <w:i w:val="0"/>
          <w:iCs w:val="0"/>
        </w:rPr>
        <w:t xml:space="preserve"> </w:t>
      </w:r>
      <w:r w:rsidR="00412D53" w:rsidRPr="00510C24">
        <w:rPr>
          <w:i w:val="0"/>
          <w:iCs w:val="0"/>
        </w:rPr>
        <w:t>Three learning rates</w:t>
      </w:r>
      <w:r w:rsidR="00571599" w:rsidRPr="00510C24">
        <w:rPr>
          <w:i w:val="0"/>
          <w:iCs w:val="0"/>
        </w:rPr>
        <w:t xml:space="preserve"> (</w:t>
      </w:r>
      <w:r w:rsidR="00412D53" w:rsidRPr="00510C24">
        <w:rPr>
          <w:i w:val="0"/>
          <w:iCs w:val="0"/>
        </w:rPr>
        <w:t>0.001, 0.003, and 0.0001</w:t>
      </w:r>
      <w:r w:rsidR="00571599" w:rsidRPr="00510C24">
        <w:rPr>
          <w:i w:val="0"/>
          <w:iCs w:val="0"/>
        </w:rPr>
        <w:t>)</w:t>
      </w:r>
      <w:r w:rsidR="00412D53" w:rsidRPr="00510C24">
        <w:rPr>
          <w:i w:val="0"/>
          <w:iCs w:val="0"/>
        </w:rPr>
        <w:t xml:space="preserve"> were trialed in order to explore su</w:t>
      </w:r>
      <w:r w:rsidR="00E16B9B" w:rsidRPr="00510C24">
        <w:rPr>
          <w:i w:val="0"/>
          <w:iCs w:val="0"/>
        </w:rPr>
        <w:t>i</w:t>
      </w:r>
      <w:r w:rsidR="00412D53" w:rsidRPr="00510C24">
        <w:rPr>
          <w:i w:val="0"/>
          <w:iCs w:val="0"/>
        </w:rPr>
        <w:t>table value specific for ou</w:t>
      </w:r>
      <w:r w:rsidR="000D3658" w:rsidRPr="00510C24">
        <w:rPr>
          <w:i w:val="0"/>
          <w:iCs w:val="0"/>
        </w:rPr>
        <w:t>r</w:t>
      </w:r>
      <w:r w:rsidR="00412D53" w:rsidRPr="00510C24">
        <w:rPr>
          <w:i w:val="0"/>
          <w:iCs w:val="0"/>
        </w:rPr>
        <w:t xml:space="preserve"> setup. A learning rate of 0.001 yields the best performance, outperforming the other learning rates.</w:t>
      </w:r>
    </w:p>
    <w:p w14:paraId="285829E0" w14:textId="0FD28692" w:rsidR="00412D53" w:rsidRPr="00510C24" w:rsidRDefault="00412D53" w:rsidP="005F588B">
      <w:pPr>
        <w:pStyle w:val="Heading3"/>
        <w:rPr>
          <w:i w:val="0"/>
          <w:iCs w:val="0"/>
        </w:rPr>
      </w:pPr>
      <w:r w:rsidRPr="00C85DC5">
        <w:rPr>
          <w:b/>
          <w:bCs/>
          <w:i w:val="0"/>
          <w:iCs w:val="0"/>
        </w:rPr>
        <w:t>Batch size:</w:t>
      </w:r>
      <w:r w:rsidRPr="00510C24">
        <w:rPr>
          <w:i w:val="0"/>
          <w:iCs w:val="0"/>
        </w:rPr>
        <w:t xml:space="preserve"> To investigate its effect, we conducted a controlled experiment comparing two batch sizes: 128 and 256, which was adopted by Al-Rfooh, et al. [</w:t>
      </w:r>
      <w:r w:rsidR="0081552C" w:rsidRPr="00510C24">
        <w:rPr>
          <w:i w:val="0"/>
          <w:iCs w:val="0"/>
        </w:rPr>
        <w:t>9</w:t>
      </w:r>
      <w:r w:rsidRPr="00510C24">
        <w:rPr>
          <w:i w:val="0"/>
          <w:iCs w:val="0"/>
        </w:rPr>
        <w:t xml:space="preserve">], and we concluded that a batch size of 128 yields </w:t>
      </w:r>
      <w:r w:rsidR="00BC7969" w:rsidRPr="00510C24">
        <w:rPr>
          <w:i w:val="0"/>
          <w:iCs w:val="0"/>
        </w:rPr>
        <w:t xml:space="preserve">a slight </w:t>
      </w:r>
      <w:r w:rsidRPr="00510C24">
        <w:rPr>
          <w:i w:val="0"/>
          <w:iCs w:val="0"/>
        </w:rPr>
        <w:t xml:space="preserve">better overall performance in terms of both </w:t>
      </w:r>
      <w:r w:rsidR="00F72968" w:rsidRPr="00510C24">
        <w:rPr>
          <w:i w:val="0"/>
          <w:iCs w:val="0"/>
        </w:rPr>
        <w:t xml:space="preserve">training </w:t>
      </w:r>
      <w:r w:rsidRPr="00510C24">
        <w:rPr>
          <w:i w:val="0"/>
          <w:iCs w:val="0"/>
        </w:rPr>
        <w:t>stability</w:t>
      </w:r>
      <w:r w:rsidR="00F72968" w:rsidRPr="00510C24">
        <w:rPr>
          <w:i w:val="0"/>
          <w:iCs w:val="0"/>
        </w:rPr>
        <w:t xml:space="preserve"> and performance.</w:t>
      </w:r>
    </w:p>
    <w:p w14:paraId="634DC711" w14:textId="5D50116C" w:rsidR="003A0976" w:rsidRPr="00510C24" w:rsidRDefault="003A0976" w:rsidP="005F588B">
      <w:pPr>
        <w:pStyle w:val="Heading3"/>
        <w:rPr>
          <w:i w:val="0"/>
          <w:iCs w:val="0"/>
        </w:rPr>
      </w:pPr>
      <w:r w:rsidRPr="00C85DC5">
        <w:rPr>
          <w:b/>
          <w:bCs/>
          <w:i w:val="0"/>
          <w:iCs w:val="0"/>
        </w:rPr>
        <w:t>Max Number of Epochs:</w:t>
      </w:r>
      <w:r w:rsidR="0068028C" w:rsidRPr="00510C24">
        <w:rPr>
          <w:i w:val="0"/>
          <w:iCs w:val="0"/>
        </w:rPr>
        <w:t xml:space="preserve"> </w:t>
      </w:r>
      <w:r w:rsidR="00571599" w:rsidRPr="00510C24">
        <w:rPr>
          <w:i w:val="0"/>
          <w:iCs w:val="0"/>
        </w:rPr>
        <w:t xml:space="preserve">In our initial experiments, we explored a maximum of 10 epochs. However, most models began to exhibit signs of overfitting before the fifth epoch. Consequently, for subsequent experiments, we adopted a maximum of </w:t>
      </w:r>
      <w:r w:rsidR="00130239" w:rsidRPr="00510C24">
        <w:rPr>
          <w:i w:val="0"/>
          <w:iCs w:val="0"/>
        </w:rPr>
        <w:t>5</w:t>
      </w:r>
      <w:r w:rsidR="00571599" w:rsidRPr="00510C24">
        <w:rPr>
          <w:i w:val="0"/>
          <w:iCs w:val="0"/>
        </w:rPr>
        <w:t xml:space="preserve"> epochs, complemented by early stopping with a patience of 2.</w:t>
      </w:r>
    </w:p>
    <w:p w14:paraId="75E1F5FD" w14:textId="7BBF1EA9" w:rsidR="00504E33" w:rsidRPr="00BE4F36" w:rsidRDefault="00282189" w:rsidP="00282189">
      <w:pPr>
        <w:pStyle w:val="Heading2"/>
      </w:pPr>
      <w:r w:rsidRPr="00BE4F36">
        <w:t>Ablation Studies</w:t>
      </w:r>
    </w:p>
    <w:p w14:paraId="4EBF6708" w14:textId="77777777" w:rsidR="000F5D1B" w:rsidRPr="00510C24" w:rsidRDefault="000F5D1B" w:rsidP="000F5D1B">
      <w:pPr>
        <w:pStyle w:val="BodyText"/>
      </w:pPr>
      <w:r w:rsidRPr="00510C24">
        <w:t>To validate our design choices and assess the individual contribution of model components, we conducted an ablation study focusing on three key aspects: dataset composition, synthetic error injection, and the multi-task prefixing strategy.</w:t>
      </w:r>
    </w:p>
    <w:p w14:paraId="7BF95DB7" w14:textId="062F05AF" w:rsidR="000F5D1B" w:rsidRPr="00510C24" w:rsidRDefault="000F5D1B" w:rsidP="00A563E6">
      <w:pPr>
        <w:pStyle w:val="Heading3"/>
        <w:rPr>
          <w:i w:val="0"/>
          <w:iCs w:val="0"/>
        </w:rPr>
      </w:pPr>
      <w:bookmarkStart w:id="3" w:name="_Hlk214736359"/>
      <w:r w:rsidRPr="00C85DC5">
        <w:rPr>
          <w:b/>
          <w:bCs/>
          <w:i w:val="0"/>
          <w:iCs w:val="0"/>
        </w:rPr>
        <w:t>Impact of Dataset Composition:</w:t>
      </w:r>
      <w:r w:rsidRPr="00510C24">
        <w:rPr>
          <w:b/>
          <w:bCs/>
          <w:i w:val="0"/>
          <w:iCs w:val="0"/>
        </w:rPr>
        <w:t xml:space="preserve"> </w:t>
      </w:r>
      <w:r w:rsidRPr="00510C24">
        <w:rPr>
          <w:i w:val="0"/>
          <w:iCs w:val="0"/>
        </w:rPr>
        <w:t>We investigated the impact of scaling the training data on the model’s generalization capabilities.</w:t>
      </w:r>
      <w:bookmarkEnd w:id="3"/>
      <w:r w:rsidRPr="00510C24">
        <w:rPr>
          <w:i w:val="0"/>
          <w:iCs w:val="0"/>
        </w:rPr>
        <w:t xml:space="preserve"> As illustrated in </w:t>
      </w:r>
      <w:r w:rsidRPr="00510C24">
        <w:rPr>
          <w:i w:val="0"/>
          <w:iCs w:val="0"/>
        </w:rPr>
        <w:fldChar w:fldCharType="begin"/>
      </w:r>
      <w:r w:rsidRPr="00510C24">
        <w:rPr>
          <w:i w:val="0"/>
          <w:iCs w:val="0"/>
        </w:rPr>
        <w:instrText xml:space="preserve"> REF _Ref206258254 \h  \* MERGEFORMAT </w:instrText>
      </w:r>
      <w:r w:rsidRPr="00510C24">
        <w:rPr>
          <w:i w:val="0"/>
          <w:iCs w:val="0"/>
        </w:rPr>
      </w:r>
      <w:r w:rsidRPr="00510C24">
        <w:rPr>
          <w:i w:val="0"/>
          <w:iCs w:val="0"/>
        </w:rPr>
        <w:fldChar w:fldCharType="separate"/>
      </w:r>
      <w:r w:rsidRPr="00510C24">
        <w:rPr>
          <w:i w:val="0"/>
          <w:iCs w:val="0"/>
        </w:rPr>
        <w:t>Fig.  2</w:t>
      </w:r>
      <w:r w:rsidRPr="00510C24">
        <w:rPr>
          <w:i w:val="0"/>
          <w:iCs w:val="0"/>
        </w:rPr>
        <w:fldChar w:fldCharType="end"/>
      </w:r>
      <w:r w:rsidRPr="00510C24">
        <w:rPr>
          <w:i w:val="0"/>
          <w:iCs w:val="0"/>
        </w:rPr>
        <w:t>, training on the JODA dataset alone yielded an Evaluation Score</w:t>
      </w:r>
      <w:r w:rsidR="005F7321" w:rsidRPr="00510C24">
        <w:rPr>
          <w:i w:val="0"/>
          <w:iCs w:val="0"/>
        </w:rPr>
        <w:t xml:space="preserve"> (Equation 1)</w:t>
      </w:r>
      <w:r w:rsidRPr="00510C24">
        <w:rPr>
          <w:i w:val="0"/>
          <w:iCs w:val="0"/>
        </w:rPr>
        <w:t xml:space="preserve"> of 76.72%, limited by the dataset's size and the machine-generated nature of its diacritics. Integrating high-quality formal Arabic data (Clean-50) improved the score to 77.73%. The most significant gain was observed when scaling to Clean-400 (combined with JODA), which achieved the highest stable Evaluation Score of 78.06%. This demonstrates that while dialectal data is essential for translation, large-scale high-quality </w:t>
      </w:r>
      <w:r w:rsidR="005F7321" w:rsidRPr="00510C24">
        <w:rPr>
          <w:i w:val="0"/>
          <w:iCs w:val="0"/>
        </w:rPr>
        <w:t>formal Arabic</w:t>
      </w:r>
      <w:r w:rsidRPr="00510C24">
        <w:rPr>
          <w:i w:val="0"/>
          <w:iCs w:val="0"/>
        </w:rPr>
        <w:t xml:space="preserve"> data is critical for the model's grammatical and diacritization stability.</w:t>
      </w:r>
    </w:p>
    <w:p w14:paraId="78A6E1F8" w14:textId="1DB02A74" w:rsidR="00504E33" w:rsidRPr="000F5D1B" w:rsidRDefault="00504E33" w:rsidP="00410DA2">
      <w:pPr>
        <w:pStyle w:val="BodyText"/>
      </w:pPr>
    </w:p>
    <w:p w14:paraId="17F3E0AF" w14:textId="56B0B565" w:rsidR="002712DE" w:rsidRPr="002A72A0" w:rsidRDefault="004C4FF4" w:rsidP="002712DE">
      <w:pPr>
        <w:rPr>
          <w:rFonts w:ascii="Symbol" w:eastAsiaTheme="minorEastAsia" w:hAnsi="Symbol"/>
          <w:sz w:val="16"/>
          <w:szCs w:val="16"/>
          <w:lang w:bidi="ar-JO"/>
        </w:rPr>
      </w:pPr>
      <m:oMath>
        <m:r>
          <m:rPr>
            <m:nor/>
          </m:rPr>
          <w:rPr>
            <w:rFonts w:ascii="Cambria Math" w:hAnsi="Cambria Math" w:cstheme="majorBidi"/>
            <w:sz w:val="16"/>
            <w:szCs w:val="16"/>
            <w:lang w:bidi="ar-JO"/>
          </w:rPr>
          <m:t>Evaluation Score</m:t>
        </m:r>
        <m:r>
          <w:rPr>
            <w:rFonts w:ascii="Cambria Math" w:hAnsi="Cambria Math" w:cstheme="majorBidi"/>
            <w:sz w:val="16"/>
            <w:szCs w:val="16"/>
            <w:lang w:bidi="ar-JO"/>
          </w:rPr>
          <m:t>=</m:t>
        </m:r>
        <m:f>
          <m:fPr>
            <m:ctrlPr>
              <w:rPr>
                <w:rFonts w:ascii="Cambria Math" w:hAnsi="Cambria Math" w:cstheme="majorBidi"/>
                <w:i/>
                <w:sz w:val="16"/>
                <w:szCs w:val="16"/>
                <w:lang w:bidi="ar-JO"/>
              </w:rPr>
            </m:ctrlPr>
          </m:fPr>
          <m:num>
            <m:r>
              <m:rPr>
                <m:nor/>
              </m:rPr>
              <w:rPr>
                <w:rFonts w:ascii="Cambria Math" w:hAnsi="Cambria Math" w:cstheme="majorBidi"/>
                <w:sz w:val="16"/>
                <w:szCs w:val="16"/>
                <w:lang w:bidi="ar-JO"/>
              </w:rPr>
              <m:t>BLEU</m:t>
            </m:r>
            <m:r>
              <w:rPr>
                <w:rFonts w:ascii="Cambria Math" w:hAnsi="Cambria Math" w:cstheme="majorBidi"/>
                <w:sz w:val="16"/>
                <w:szCs w:val="16"/>
                <w:lang w:bidi="ar-JO"/>
              </w:rPr>
              <m:t>+</m:t>
            </m:r>
            <m:d>
              <m:dPr>
                <m:ctrlPr>
                  <w:rPr>
                    <w:rFonts w:ascii="Cambria Math" w:hAnsi="Cambria Math" w:cstheme="majorBidi"/>
                    <w:i/>
                    <w:sz w:val="16"/>
                    <w:szCs w:val="16"/>
                    <w:lang w:bidi="ar-JO"/>
                  </w:rPr>
                </m:ctrlPr>
              </m:dPr>
              <m:e>
                <m:r>
                  <w:rPr>
                    <w:rFonts w:ascii="Cambria Math" w:hAnsi="Cambria Math" w:cstheme="majorBidi"/>
                    <w:sz w:val="16"/>
                    <w:szCs w:val="16"/>
                    <w:lang w:bidi="ar-JO"/>
                  </w:rPr>
                  <m:t>100-</m:t>
                </m:r>
                <m:r>
                  <m:rPr>
                    <m:nor/>
                  </m:rPr>
                  <w:rPr>
                    <w:rFonts w:ascii="Cambria Math" w:hAnsi="Cambria Math" w:cstheme="majorBidi"/>
                    <w:sz w:val="16"/>
                    <w:szCs w:val="16"/>
                    <w:lang w:bidi="ar-JO"/>
                  </w:rPr>
                  <m:t>CER</m:t>
                </m:r>
              </m:e>
            </m:d>
            <m:r>
              <w:rPr>
                <w:rFonts w:ascii="Cambria Math" w:hAnsi="Cambria Math" w:cstheme="majorBidi"/>
                <w:sz w:val="16"/>
                <w:szCs w:val="16"/>
                <w:lang w:bidi="ar-JO"/>
              </w:rPr>
              <m:t>+</m:t>
            </m:r>
            <m:d>
              <m:dPr>
                <m:ctrlPr>
                  <w:rPr>
                    <w:rFonts w:ascii="Cambria Math" w:hAnsi="Cambria Math" w:cstheme="majorBidi"/>
                    <w:i/>
                    <w:sz w:val="16"/>
                    <w:szCs w:val="16"/>
                    <w:lang w:bidi="ar-JO"/>
                  </w:rPr>
                </m:ctrlPr>
              </m:dPr>
              <m:e>
                <m:r>
                  <w:rPr>
                    <w:rFonts w:ascii="Cambria Math" w:hAnsi="Cambria Math" w:cstheme="majorBidi"/>
                    <w:sz w:val="16"/>
                    <w:szCs w:val="16"/>
                    <w:lang w:bidi="ar-JO"/>
                  </w:rPr>
                  <m:t>100-</m:t>
                </m:r>
                <m:r>
                  <m:rPr>
                    <m:nor/>
                  </m:rPr>
                  <w:rPr>
                    <w:rFonts w:ascii="Cambria Math" w:hAnsi="Cambria Math" w:cstheme="majorBidi"/>
                    <w:sz w:val="16"/>
                    <w:szCs w:val="16"/>
                    <w:lang w:bidi="ar-JO"/>
                  </w:rPr>
                  <m:t>DER</m:t>
                </m:r>
              </m:e>
            </m:d>
            <m:r>
              <w:rPr>
                <w:rFonts w:ascii="Cambria Math" w:hAnsi="Cambria Math" w:cstheme="majorBidi"/>
                <w:sz w:val="16"/>
                <w:szCs w:val="16"/>
                <w:lang w:bidi="ar-JO"/>
              </w:rPr>
              <m:t>+(100-</m:t>
            </m:r>
            <m:r>
              <m:rPr>
                <m:nor/>
              </m:rPr>
              <w:rPr>
                <w:rFonts w:ascii="Cambria Math" w:hAnsi="Cambria Math" w:cstheme="majorBidi"/>
                <w:sz w:val="16"/>
                <w:szCs w:val="16"/>
                <w:lang w:bidi="ar-JO"/>
              </w:rPr>
              <m:t>WER</m:t>
            </m:r>
            <m:r>
              <w:rPr>
                <w:rFonts w:ascii="Cambria Math" w:hAnsi="Cambria Math" w:cstheme="majorBidi"/>
                <w:sz w:val="16"/>
                <w:szCs w:val="16"/>
                <w:lang w:bidi="ar-JO"/>
              </w:rPr>
              <m:t>)</m:t>
            </m:r>
          </m:num>
          <m:den>
            <m:r>
              <w:rPr>
                <w:rFonts w:ascii="Cambria Math" w:hAnsi="Cambria Math" w:cstheme="majorBidi"/>
                <w:sz w:val="16"/>
                <w:szCs w:val="16"/>
                <w:lang w:bidi="ar-JO"/>
              </w:rPr>
              <m:t>4</m:t>
            </m:r>
          </m:den>
        </m:f>
      </m:oMath>
      <w:r w:rsidR="002712DE">
        <w:rPr>
          <w:rFonts w:eastAsiaTheme="minorEastAsia"/>
          <w:sz w:val="16"/>
          <w:szCs w:val="16"/>
          <w:lang w:bidi="ar-JO"/>
        </w:rPr>
        <w:tab/>
      </w:r>
      <w:r>
        <w:rPr>
          <w:rFonts w:eastAsiaTheme="minorEastAsia"/>
          <w:sz w:val="16"/>
          <w:szCs w:val="16"/>
          <w:lang w:bidi="ar-JO"/>
        </w:rPr>
        <w:tab/>
      </w:r>
      <w:r w:rsidR="002712DE" w:rsidRPr="002A72A0">
        <w:rPr>
          <w:rFonts w:ascii="Symbol" w:eastAsiaTheme="minorEastAsia" w:hAnsi="Symbol"/>
          <w:sz w:val="16"/>
          <w:szCs w:val="16"/>
          <w:lang w:bidi="ar-JO"/>
        </w:rPr>
        <w:t>(1)</w:t>
      </w:r>
    </w:p>
    <w:p w14:paraId="2BE3B6D2" w14:textId="43134558" w:rsidR="002712DE" w:rsidRPr="00504E33" w:rsidRDefault="002712DE" w:rsidP="002712DE">
      <w:pPr>
        <w:pStyle w:val="BodyText"/>
        <w:jc w:val="left"/>
      </w:pPr>
    </w:p>
    <w:p w14:paraId="615DB667" w14:textId="77777777" w:rsidR="0041151B" w:rsidRDefault="00C34BBF" w:rsidP="0041151B">
      <w:pPr>
        <w:keepNext/>
      </w:pPr>
      <w:r w:rsidRPr="001B67C9">
        <w:rPr>
          <w:noProof/>
        </w:rPr>
        <w:lastRenderedPageBreak/>
        <w:drawing>
          <wp:inline distT="0" distB="0" distL="0" distR="0" wp14:anchorId="4F40D5BF" wp14:editId="76BC39A2">
            <wp:extent cx="3089910" cy="1851795"/>
            <wp:effectExtent l="0" t="0" r="0" b="0"/>
            <wp:docPr id="2" name="Picture 1" descr="A graph with green and white bars&#10;&#10;AI-generated content may be incorrect.">
              <a:extLst xmlns:a="http://schemas.openxmlformats.org/drawingml/2006/main">
                <a:ext uri="{FF2B5EF4-FFF2-40B4-BE49-F238E27FC236}">
                  <a16:creationId xmlns:a16="http://schemas.microsoft.com/office/drawing/2014/main" id="{DACB38D7-68C7-BD9C-9671-38420621DD3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graph with green and white bars&#10;&#10;AI-generated content may be incorrect.">
                      <a:extLst>
                        <a:ext uri="{FF2B5EF4-FFF2-40B4-BE49-F238E27FC236}">
                          <a16:creationId xmlns:a16="http://schemas.microsoft.com/office/drawing/2014/main" id="{DACB38D7-68C7-BD9C-9671-38420621DD3C}"/>
                        </a:ext>
                      </a:extLst>
                    </pic:cNvPr>
                    <pic:cNvPicPr>
                      <a:picLocks noChangeAspect="1"/>
                    </pic:cNvPicPr>
                  </pic:nvPicPr>
                  <pic:blipFill>
                    <a:blip r:embed="rId11"/>
                    <a:stretch>
                      <a:fillRect/>
                    </a:stretch>
                  </pic:blipFill>
                  <pic:spPr>
                    <a:xfrm>
                      <a:off x="0" y="0"/>
                      <a:ext cx="3089910" cy="1851795"/>
                    </a:xfrm>
                    <a:prstGeom prst="rect">
                      <a:avLst/>
                    </a:prstGeom>
                  </pic:spPr>
                </pic:pic>
              </a:graphicData>
            </a:graphic>
          </wp:inline>
        </w:drawing>
      </w:r>
    </w:p>
    <w:p w14:paraId="75B3011B" w14:textId="6714C65E" w:rsidR="004D4606" w:rsidRPr="00256C27" w:rsidRDefault="0041151B" w:rsidP="0041151B">
      <w:pPr>
        <w:pStyle w:val="Caption"/>
        <w:rPr>
          <w:i w:val="0"/>
          <w:iCs w:val="0"/>
          <w:color w:val="auto"/>
          <w:sz w:val="16"/>
          <w:szCs w:val="16"/>
        </w:rPr>
      </w:pPr>
      <w:bookmarkStart w:id="4" w:name="_Ref206258254"/>
      <w:r w:rsidRPr="00256C27">
        <w:rPr>
          <w:i w:val="0"/>
          <w:iCs w:val="0"/>
          <w:color w:val="auto"/>
          <w:sz w:val="16"/>
          <w:szCs w:val="16"/>
        </w:rPr>
        <w:t xml:space="preserve">Fig.  </w:t>
      </w:r>
      <w:r w:rsidRPr="00256C27">
        <w:rPr>
          <w:i w:val="0"/>
          <w:iCs w:val="0"/>
          <w:color w:val="auto"/>
          <w:sz w:val="16"/>
          <w:szCs w:val="16"/>
        </w:rPr>
        <w:fldChar w:fldCharType="begin"/>
      </w:r>
      <w:r w:rsidRPr="00256C27">
        <w:rPr>
          <w:i w:val="0"/>
          <w:iCs w:val="0"/>
          <w:color w:val="auto"/>
          <w:sz w:val="16"/>
          <w:szCs w:val="16"/>
        </w:rPr>
        <w:instrText xml:space="preserve"> SEQ Fig._ \* ARABIC </w:instrText>
      </w:r>
      <w:r w:rsidRPr="00256C27">
        <w:rPr>
          <w:i w:val="0"/>
          <w:iCs w:val="0"/>
          <w:color w:val="auto"/>
          <w:sz w:val="16"/>
          <w:szCs w:val="16"/>
        </w:rPr>
        <w:fldChar w:fldCharType="separate"/>
      </w:r>
      <w:r w:rsidRPr="00256C27">
        <w:rPr>
          <w:i w:val="0"/>
          <w:iCs w:val="0"/>
          <w:color w:val="auto"/>
          <w:sz w:val="16"/>
          <w:szCs w:val="16"/>
        </w:rPr>
        <w:t>2</w:t>
      </w:r>
      <w:r w:rsidRPr="00256C27">
        <w:rPr>
          <w:i w:val="0"/>
          <w:iCs w:val="0"/>
          <w:color w:val="auto"/>
          <w:sz w:val="16"/>
          <w:szCs w:val="16"/>
        </w:rPr>
        <w:fldChar w:fldCharType="end"/>
      </w:r>
      <w:bookmarkEnd w:id="4"/>
      <w:r w:rsidRPr="00256C27">
        <w:rPr>
          <w:i w:val="0"/>
          <w:iCs w:val="0"/>
          <w:color w:val="auto"/>
          <w:sz w:val="16"/>
          <w:szCs w:val="16"/>
        </w:rPr>
        <w:t>.</w:t>
      </w:r>
      <w:r w:rsidR="00355726" w:rsidRPr="00256C27">
        <w:rPr>
          <w:i w:val="0"/>
          <w:iCs w:val="0"/>
          <w:color w:val="auto"/>
          <w:sz w:val="16"/>
          <w:szCs w:val="16"/>
        </w:rPr>
        <w:tab/>
      </w:r>
      <w:r w:rsidRPr="00256C27">
        <w:rPr>
          <w:i w:val="0"/>
          <w:iCs w:val="0"/>
          <w:color w:val="auto"/>
          <w:sz w:val="16"/>
          <w:szCs w:val="16"/>
        </w:rPr>
        <w:t xml:space="preserve">Evaluation </w:t>
      </w:r>
      <w:r w:rsidR="00355726" w:rsidRPr="00256C27">
        <w:rPr>
          <w:i w:val="0"/>
          <w:iCs w:val="0"/>
          <w:color w:val="auto"/>
          <w:sz w:val="16"/>
          <w:szCs w:val="16"/>
        </w:rPr>
        <w:t>score comparison across four dataset configurations</w:t>
      </w:r>
      <w:r w:rsidRPr="00256C27">
        <w:rPr>
          <w:i w:val="0"/>
          <w:iCs w:val="0"/>
          <w:color w:val="auto"/>
          <w:sz w:val="16"/>
          <w:szCs w:val="16"/>
        </w:rPr>
        <w:t>.</w:t>
      </w:r>
    </w:p>
    <w:p w14:paraId="2D151C29" w14:textId="77777777" w:rsidR="0013028D" w:rsidRDefault="0013028D" w:rsidP="0013028D"/>
    <w:p w14:paraId="22C62CCE" w14:textId="69D38406" w:rsidR="00C84B62" w:rsidRPr="00510C24" w:rsidRDefault="0013028D" w:rsidP="00A563E6">
      <w:pPr>
        <w:pStyle w:val="Heading3"/>
        <w:rPr>
          <w:i w:val="0"/>
          <w:iCs w:val="0"/>
        </w:rPr>
      </w:pPr>
      <w:r w:rsidRPr="00C85DC5">
        <w:rPr>
          <w:b/>
          <w:bCs/>
          <w:i w:val="0"/>
          <w:iCs w:val="0"/>
        </w:rPr>
        <w:t xml:space="preserve">Impact of </w:t>
      </w:r>
      <w:r w:rsidR="00FC79A2" w:rsidRPr="00C85DC5">
        <w:rPr>
          <w:b/>
          <w:bCs/>
          <w:i w:val="0"/>
          <w:iCs w:val="0"/>
        </w:rPr>
        <w:t>Synthetic Error Injection</w:t>
      </w:r>
      <w:r w:rsidRPr="00C85DC5">
        <w:rPr>
          <w:b/>
          <w:bCs/>
          <w:i w:val="0"/>
          <w:iCs w:val="0"/>
        </w:rPr>
        <w:t>:</w:t>
      </w:r>
      <w:r w:rsidRPr="00510C24">
        <w:rPr>
          <w:b/>
          <w:bCs/>
          <w:i w:val="0"/>
          <w:iCs w:val="0"/>
        </w:rPr>
        <w:t xml:space="preserve"> </w:t>
      </w:r>
      <w:r w:rsidR="00F35951" w:rsidRPr="00510C24">
        <w:rPr>
          <w:i w:val="0"/>
          <w:iCs w:val="0"/>
        </w:rPr>
        <w:t>we incorporated synthetic error injection to bridge the domain gap between the grammatically pristine Tashkeela corpus and the noisy, dialectal content of the JODA dataset. The inclusion of this component is justified by established findings in Arabic NLP research regarding its role in enhancing model robustness. Abandah et al. [8] demonstrated the effectiveness of stochastic error injection in training models to handle soft spelling mistakes. Furthermore, Khaleel and Abandah [17] highlighted that extending injection patterns to include random orthographic distortions</w:t>
      </w:r>
      <w:r w:rsidR="00D440F9" w:rsidRPr="00510C24">
        <w:rPr>
          <w:i w:val="0"/>
          <w:iCs w:val="0"/>
        </w:rPr>
        <w:t xml:space="preserve">, </w:t>
      </w:r>
      <w:r w:rsidR="00F35951" w:rsidRPr="00510C24">
        <w:rPr>
          <w:i w:val="0"/>
          <w:iCs w:val="0"/>
        </w:rPr>
        <w:t>such as letter exaggeration, deletion, and swapping</w:t>
      </w:r>
      <w:r w:rsidR="00D440F9" w:rsidRPr="00510C24">
        <w:rPr>
          <w:i w:val="0"/>
          <w:iCs w:val="0"/>
        </w:rPr>
        <w:t xml:space="preserve">, </w:t>
      </w:r>
      <w:r w:rsidR="00F35951" w:rsidRPr="00510C24">
        <w:rPr>
          <w:i w:val="0"/>
          <w:iCs w:val="0"/>
        </w:rPr>
        <w:t>improves the capability to correct a wider spectrum of real-world errors. Relying on these proven methodologies, we integrated these injection strategies to ensure the model actively learns to rectify errors rather than merely reproducing the clean input sequences inherent to the Tashkeela subsets.</w:t>
      </w:r>
    </w:p>
    <w:p w14:paraId="0EB048FC" w14:textId="0E304CD4" w:rsidR="00D440F9" w:rsidRPr="00510C24" w:rsidRDefault="00D440F9" w:rsidP="00A563E6">
      <w:pPr>
        <w:pStyle w:val="Heading3"/>
        <w:rPr>
          <w:i w:val="0"/>
          <w:iCs w:val="0"/>
        </w:rPr>
      </w:pPr>
      <w:r w:rsidRPr="00C85DC5">
        <w:rPr>
          <w:b/>
          <w:bCs/>
          <w:i w:val="0"/>
          <w:iCs w:val="0"/>
        </w:rPr>
        <w:t>Impact of Prefixing Strategy (Multi-Task Learning):</w:t>
      </w:r>
      <w:r w:rsidRPr="00510C24">
        <w:rPr>
          <w:b/>
          <w:bCs/>
          <w:i w:val="0"/>
          <w:iCs w:val="0"/>
        </w:rPr>
        <w:t xml:space="preserve"> </w:t>
      </w:r>
      <w:r w:rsidRPr="00510C24">
        <w:rPr>
          <w:i w:val="0"/>
          <w:iCs w:val="0"/>
        </w:rPr>
        <w:t>We evaluated the efficacy of the multi-task learning (MTL) strategy by comparing our unified model (using "correct:" and "diacritize:" prefixes) against the theoretical alternative of deploying single-task models. A dedicated diacritization model inherently fails to correct spelling errors, propagating orthographic mistakes into the output, while a correction-only model strips necessary diacritics. The use of task-specific prefixes allowed a single 600M-parameter model to switch distinctively between tasks. This approach effectively halves the computational overhead compared to maintaining separate models, without degrading performance on the individual tasks.</w:t>
      </w:r>
    </w:p>
    <w:p w14:paraId="6F960E02" w14:textId="0FCFB9EA" w:rsidR="001E79ED" w:rsidRPr="00BE4F36" w:rsidRDefault="001E79ED" w:rsidP="001E79ED">
      <w:pPr>
        <w:pStyle w:val="Heading2"/>
      </w:pPr>
      <w:r w:rsidRPr="00BE4F36">
        <w:t>Computational Efficiency</w:t>
      </w:r>
    </w:p>
    <w:p w14:paraId="6AA450DE" w14:textId="200E9ED1" w:rsidR="001E79ED" w:rsidRDefault="001E79ED" w:rsidP="001E79ED">
      <w:pPr>
        <w:pStyle w:val="BodyText"/>
      </w:pPr>
      <w:r w:rsidRPr="001E79ED">
        <w:t>To facilitate reproducibility and benchmarking, we report the computational characteristics of our fine-tuning process. The model size, ByT5-Base with approximately 600 million parameters, is detailed in Section V-A</w:t>
      </w:r>
      <w:r w:rsidR="002F71A2">
        <w:t>.</w:t>
      </w:r>
    </w:p>
    <w:p w14:paraId="5CDB0A5D" w14:textId="7862CF4D" w:rsidR="002F71A2" w:rsidRDefault="002F71A2" w:rsidP="001E79ED">
      <w:pPr>
        <w:pStyle w:val="BodyText"/>
      </w:pPr>
      <w:r w:rsidRPr="002F71A2">
        <w:rPr>
          <w:b/>
          <w:bCs/>
        </w:rPr>
        <w:t>Training Time:</w:t>
      </w:r>
      <w:r w:rsidRPr="002F71A2">
        <w:t xml:space="preserve"> The final model configuration, which involved training for 4 epochs (14,155 steps), was executed on a computing environment equipped with 4</w:t>
      </w:r>
      <w:r w:rsidR="00D159AC">
        <w:t xml:space="preserve"> </w:t>
      </w:r>
      <w:r w:rsidR="00D159AC" w:rsidRPr="00D159AC">
        <w:t>×</w:t>
      </w:r>
      <w:r w:rsidRPr="002F71A2">
        <w:t xml:space="preserve"> NVIDIA H100 GPUs. The total duration for this training run required approximately 4.6 hours (278 minutes), utilizing BF16 mixed precision to reduce memory usage and enhance efficiency</w:t>
      </w:r>
      <w:r w:rsidR="00D159AC">
        <w:t xml:space="preserve"> and 75% of trainable parameters ratio</w:t>
      </w:r>
      <w:r w:rsidRPr="002F71A2">
        <w:t>.</w:t>
      </w:r>
    </w:p>
    <w:p w14:paraId="0354B6DC" w14:textId="099C4CED" w:rsidR="001E79ED" w:rsidRPr="001E79ED" w:rsidRDefault="006751D7" w:rsidP="00322E3D">
      <w:pPr>
        <w:pStyle w:val="BodyText"/>
      </w:pPr>
      <w:r w:rsidRPr="006751D7">
        <w:rPr>
          <w:b/>
          <w:bCs/>
        </w:rPr>
        <w:t>Inference Feasibility:</w:t>
      </w:r>
      <w:r w:rsidRPr="006751D7">
        <w:t xml:space="preserve"> While a dedicated inference latency measurement was not included in the evaluation, the </w:t>
      </w:r>
      <w:r w:rsidRPr="006751D7">
        <w:t>model's feasibility for production environments is strong. The ByT5-Base architecture and the use of BF16 precision inherently support high throughput. The model is currently deployed on a machine equipped with an NVIDIA GeForce RTX 20</w:t>
      </w:r>
      <w:r w:rsidR="008636F3">
        <w:t>7</w:t>
      </w:r>
      <w:r w:rsidRPr="006751D7">
        <w:t>0 GPU, demonstrating its capacity for near real-time, low-latency deployment in practical applications.</w:t>
      </w:r>
    </w:p>
    <w:p w14:paraId="6D7BB707" w14:textId="1B0373DA" w:rsidR="00DE65B5" w:rsidRDefault="00DE65B5" w:rsidP="009721D9">
      <w:pPr>
        <w:pStyle w:val="Heading1"/>
        <w:ind w:firstLine="0"/>
      </w:pPr>
      <w:r>
        <w:t>Final Model Performance</w:t>
      </w:r>
    </w:p>
    <w:p w14:paraId="3E298AF8" w14:textId="5A476270" w:rsidR="00DE65B5" w:rsidRDefault="00DE65B5" w:rsidP="00DE65B5">
      <w:pPr>
        <w:pStyle w:val="BodyText"/>
      </w:pPr>
      <w:r w:rsidRPr="00DE65B5">
        <w:t>This section consolidates the results of our experimental work and presents the final model selected for evaluation. The chosen model is based on the ByT5-Base architecture and was fine-tuned using the JODA+Clean-400 dataset. The final configuration included a 75% trainable parameter ratio, a learning rate of 0.001, and a batch size of 128. Mixed-precision training (BF16) was employed to reduce memory usage with minimal accuracy loss. To optimize efficiency, the maximum sequence lengths were set to the 95th percentile of the training dataset</w:t>
      </w:r>
      <w:r w:rsidR="00283D8C">
        <w:t xml:space="preserve"> sequence lengths distribution</w:t>
      </w:r>
      <w:r w:rsidRPr="00DE65B5">
        <w:t>: 634 bytes for input and 966 bytes for output. Training proceeded for 4 epochs (14,155 steps), with early stopping activated. The model reached peak performance during the third epoch (step 10,616), after which overfitting signs began to appear.</w:t>
      </w:r>
    </w:p>
    <w:p w14:paraId="533952AB" w14:textId="6928B76C" w:rsidR="00C66109" w:rsidRPr="00BE4F36" w:rsidRDefault="00C66109" w:rsidP="00C66109">
      <w:pPr>
        <w:pStyle w:val="Heading2"/>
      </w:pPr>
      <w:r w:rsidRPr="00BE4F36">
        <w:t>Automatic Evaluation</w:t>
      </w:r>
    </w:p>
    <w:p w14:paraId="59254455" w14:textId="25DBE7D8" w:rsidR="00C66109" w:rsidRDefault="00C66109" w:rsidP="00C66109">
      <w:pPr>
        <w:pStyle w:val="BodyText"/>
      </w:pPr>
      <w:r w:rsidRPr="00C66109">
        <w:t>Evaluation was conducted using both the JODA test set and a combined JODA+Clean-400 test set. The model achieved notably higher scores on the combined set, which predominantly features formal Arabic. This result reflects the model</w:t>
      </w:r>
      <w:r w:rsidR="004C4FF4">
        <w:t>’</w:t>
      </w:r>
      <w:r w:rsidRPr="00C66109">
        <w:t>s stronger performance when evaluated on text similar to its training distribution. The metrics used included CER, DER, WER, and BLEU score. While formal Arabic benefited from high-quality diacritization, Jordanian dialect</w:t>
      </w:r>
      <w:r w:rsidR="00240DBE">
        <w:t>,</w:t>
      </w:r>
      <w:r>
        <w:t xml:space="preserve"> </w:t>
      </w:r>
      <w:r w:rsidRPr="00C66109">
        <w:t>being more diverse and underrepresented</w:t>
      </w:r>
      <w:r>
        <w:t xml:space="preserve">, </w:t>
      </w:r>
      <w:r w:rsidRPr="00C66109">
        <w:t>posed greater challenges, resulting in comparatively lower scores on the JODA-only test set.</w:t>
      </w:r>
      <w:r>
        <w:t xml:space="preserve"> </w:t>
      </w:r>
      <w:r w:rsidRPr="00C66109">
        <w:t xml:space="preserve">The results are presented in </w:t>
      </w:r>
      <w:r w:rsidR="000D33D7">
        <w:fldChar w:fldCharType="begin"/>
      </w:r>
      <w:r w:rsidR="000D33D7">
        <w:instrText xml:space="preserve"> REF _Ref204338197 \h  \* MERGEFORMAT </w:instrText>
      </w:r>
      <w:r w:rsidR="000D33D7">
        <w:fldChar w:fldCharType="separate"/>
      </w:r>
      <w:r w:rsidR="000D33D7" w:rsidRPr="000D33D7">
        <w:t>Table II</w:t>
      </w:r>
      <w:r w:rsidR="000D33D7">
        <w:fldChar w:fldCharType="end"/>
      </w:r>
      <w:r>
        <w:t>.</w:t>
      </w:r>
    </w:p>
    <w:p w14:paraId="50741076" w14:textId="5ABF3FC7" w:rsidR="00AE6088" w:rsidRPr="00AE6088" w:rsidRDefault="00AE6088" w:rsidP="00AE6088">
      <w:pPr>
        <w:pStyle w:val="Caption"/>
        <w:keepNext/>
        <w:rPr>
          <w:i w:val="0"/>
          <w:iCs w:val="0"/>
          <w:smallCaps/>
          <w:color w:val="auto"/>
          <w:sz w:val="16"/>
          <w:szCs w:val="16"/>
        </w:rPr>
      </w:pPr>
      <w:bookmarkStart w:id="5" w:name="_Ref204338197"/>
      <w:r w:rsidRPr="00AE6088">
        <w:rPr>
          <w:i w:val="0"/>
          <w:iCs w:val="0"/>
          <w:smallCaps/>
          <w:color w:val="auto"/>
          <w:sz w:val="16"/>
          <w:szCs w:val="16"/>
        </w:rPr>
        <w:t xml:space="preserve">Table </w:t>
      </w:r>
      <w:r w:rsidR="00783DE3">
        <w:rPr>
          <w:i w:val="0"/>
          <w:iCs w:val="0"/>
          <w:smallCaps/>
          <w:color w:val="auto"/>
          <w:sz w:val="16"/>
          <w:szCs w:val="16"/>
        </w:rPr>
        <w:fldChar w:fldCharType="begin"/>
      </w:r>
      <w:r w:rsidR="00783DE3">
        <w:rPr>
          <w:i w:val="0"/>
          <w:iCs w:val="0"/>
          <w:smallCaps/>
          <w:color w:val="auto"/>
          <w:sz w:val="16"/>
          <w:szCs w:val="16"/>
        </w:rPr>
        <w:instrText xml:space="preserve"> SEQ Table \* ROMAN </w:instrText>
      </w:r>
      <w:r w:rsidR="00783DE3">
        <w:rPr>
          <w:i w:val="0"/>
          <w:iCs w:val="0"/>
          <w:smallCaps/>
          <w:color w:val="auto"/>
          <w:sz w:val="16"/>
          <w:szCs w:val="16"/>
        </w:rPr>
        <w:fldChar w:fldCharType="separate"/>
      </w:r>
      <w:r w:rsidR="00783DE3">
        <w:rPr>
          <w:i w:val="0"/>
          <w:iCs w:val="0"/>
          <w:smallCaps/>
          <w:noProof/>
          <w:color w:val="auto"/>
          <w:sz w:val="16"/>
          <w:szCs w:val="16"/>
        </w:rPr>
        <w:t>II</w:t>
      </w:r>
      <w:r w:rsidR="00783DE3">
        <w:rPr>
          <w:i w:val="0"/>
          <w:iCs w:val="0"/>
          <w:smallCaps/>
          <w:color w:val="auto"/>
          <w:sz w:val="16"/>
          <w:szCs w:val="16"/>
        </w:rPr>
        <w:fldChar w:fldCharType="end"/>
      </w:r>
      <w:bookmarkEnd w:id="5"/>
      <w:r w:rsidRPr="00AE6088">
        <w:rPr>
          <w:i w:val="0"/>
          <w:iCs w:val="0"/>
          <w:smallCaps/>
          <w:color w:val="auto"/>
          <w:sz w:val="16"/>
          <w:szCs w:val="16"/>
        </w:rPr>
        <w:t>.</w:t>
      </w:r>
      <w:r w:rsidR="00355726">
        <w:rPr>
          <w:i w:val="0"/>
          <w:iCs w:val="0"/>
          <w:smallCaps/>
          <w:color w:val="auto"/>
          <w:sz w:val="16"/>
          <w:szCs w:val="16"/>
        </w:rPr>
        <w:tab/>
      </w:r>
      <w:r w:rsidRPr="00AE6088">
        <w:rPr>
          <w:i w:val="0"/>
          <w:iCs w:val="0"/>
          <w:smallCaps/>
          <w:color w:val="auto"/>
          <w:sz w:val="16"/>
          <w:szCs w:val="16"/>
        </w:rPr>
        <w:t>Final Model: Performance Metrics on JODA and JODA+Clean-400 Test Sets</w:t>
      </w:r>
    </w:p>
    <w:tbl>
      <w:tblPr>
        <w:tblW w:w="5000" w:type="pct"/>
        <w:jc w:val="center"/>
        <w:tblLook w:val="04A0" w:firstRow="1" w:lastRow="0" w:firstColumn="1" w:lastColumn="0" w:noHBand="0" w:noVBand="1"/>
      </w:tblPr>
      <w:tblGrid>
        <w:gridCol w:w="1594"/>
        <w:gridCol w:w="2023"/>
        <w:gridCol w:w="1239"/>
      </w:tblGrid>
      <w:tr w:rsidR="00C66109" w:rsidRPr="006C2BBA" w14:paraId="2A6600B8" w14:textId="77777777" w:rsidTr="00355726">
        <w:trPr>
          <w:trHeight w:val="317"/>
          <w:jc w:val="center"/>
        </w:trPr>
        <w:tc>
          <w:tcPr>
            <w:tcW w:w="1641" w:type="pct"/>
            <w:tcBorders>
              <w:top w:val="single" w:sz="4" w:space="0" w:color="auto"/>
              <w:left w:val="single" w:sz="4" w:space="0" w:color="auto"/>
              <w:bottom w:val="single" w:sz="4" w:space="0" w:color="auto"/>
              <w:right w:val="single" w:sz="4" w:space="0" w:color="auto"/>
            </w:tcBorders>
            <w:noWrap/>
            <w:vAlign w:val="center"/>
            <w:hideMark/>
          </w:tcPr>
          <w:p w14:paraId="0843EBA1" w14:textId="77777777" w:rsidR="00C66109" w:rsidRPr="00C66109" w:rsidRDefault="00C66109" w:rsidP="00C66109">
            <w:pPr>
              <w:rPr>
                <w:b/>
                <w:bCs/>
                <w:sz w:val="16"/>
                <w:szCs w:val="16"/>
              </w:rPr>
            </w:pPr>
            <w:r w:rsidRPr="00C66109">
              <w:rPr>
                <w:b/>
                <w:bCs/>
                <w:sz w:val="16"/>
                <w:szCs w:val="16"/>
              </w:rPr>
              <w:t>Metric</w:t>
            </w:r>
          </w:p>
        </w:tc>
        <w:tc>
          <w:tcPr>
            <w:tcW w:w="2083" w:type="pct"/>
            <w:tcBorders>
              <w:top w:val="single" w:sz="4" w:space="0" w:color="auto"/>
              <w:left w:val="nil"/>
              <w:bottom w:val="single" w:sz="4" w:space="0" w:color="auto"/>
              <w:right w:val="single" w:sz="4" w:space="0" w:color="auto"/>
            </w:tcBorders>
            <w:noWrap/>
            <w:vAlign w:val="center"/>
            <w:hideMark/>
          </w:tcPr>
          <w:p w14:paraId="30B33D4E" w14:textId="77777777" w:rsidR="00C66109" w:rsidRPr="00C66109" w:rsidRDefault="00C66109" w:rsidP="00C66109">
            <w:pPr>
              <w:rPr>
                <w:b/>
                <w:bCs/>
                <w:sz w:val="16"/>
                <w:szCs w:val="16"/>
              </w:rPr>
            </w:pPr>
            <w:r w:rsidRPr="00C66109">
              <w:rPr>
                <w:b/>
                <w:bCs/>
                <w:sz w:val="16"/>
                <w:szCs w:val="16"/>
              </w:rPr>
              <w:t>JODA+Clean-400 Test Set</w:t>
            </w:r>
          </w:p>
        </w:tc>
        <w:tc>
          <w:tcPr>
            <w:tcW w:w="1276" w:type="pct"/>
            <w:tcBorders>
              <w:top w:val="single" w:sz="4" w:space="0" w:color="auto"/>
              <w:left w:val="nil"/>
              <w:bottom w:val="single" w:sz="4" w:space="0" w:color="auto"/>
              <w:right w:val="single" w:sz="4" w:space="0" w:color="auto"/>
            </w:tcBorders>
            <w:noWrap/>
            <w:vAlign w:val="center"/>
            <w:hideMark/>
          </w:tcPr>
          <w:p w14:paraId="6743AD8E" w14:textId="77777777" w:rsidR="00C66109" w:rsidRPr="00C66109" w:rsidRDefault="00C66109" w:rsidP="00C66109">
            <w:pPr>
              <w:rPr>
                <w:b/>
                <w:bCs/>
                <w:sz w:val="16"/>
                <w:szCs w:val="16"/>
              </w:rPr>
            </w:pPr>
            <w:r w:rsidRPr="00C66109">
              <w:rPr>
                <w:b/>
                <w:bCs/>
                <w:sz w:val="16"/>
                <w:szCs w:val="16"/>
              </w:rPr>
              <w:t>JODA Test Set</w:t>
            </w:r>
          </w:p>
        </w:tc>
      </w:tr>
      <w:tr w:rsidR="00C66109" w:rsidRPr="006C2BBA" w14:paraId="2E3E47AF" w14:textId="77777777" w:rsidTr="00355726">
        <w:trPr>
          <w:trHeight w:val="317"/>
          <w:jc w:val="center"/>
        </w:trPr>
        <w:tc>
          <w:tcPr>
            <w:tcW w:w="1641" w:type="pct"/>
            <w:tcBorders>
              <w:top w:val="nil"/>
              <w:left w:val="single" w:sz="4" w:space="0" w:color="auto"/>
              <w:bottom w:val="single" w:sz="4" w:space="0" w:color="auto"/>
              <w:right w:val="single" w:sz="4" w:space="0" w:color="auto"/>
            </w:tcBorders>
            <w:noWrap/>
            <w:vAlign w:val="center"/>
            <w:hideMark/>
          </w:tcPr>
          <w:p w14:paraId="26366E68" w14:textId="77777777" w:rsidR="00C66109" w:rsidRPr="00C66109" w:rsidRDefault="00C66109" w:rsidP="00C66109">
            <w:pPr>
              <w:rPr>
                <w:sz w:val="16"/>
                <w:szCs w:val="16"/>
              </w:rPr>
            </w:pPr>
            <w:r w:rsidRPr="00C66109">
              <w:rPr>
                <w:sz w:val="16"/>
                <w:szCs w:val="16"/>
              </w:rPr>
              <w:t>CER (%)</w:t>
            </w:r>
          </w:p>
        </w:tc>
        <w:tc>
          <w:tcPr>
            <w:tcW w:w="2083" w:type="pct"/>
            <w:tcBorders>
              <w:top w:val="nil"/>
              <w:left w:val="nil"/>
              <w:bottom w:val="single" w:sz="4" w:space="0" w:color="auto"/>
              <w:right w:val="single" w:sz="4" w:space="0" w:color="auto"/>
            </w:tcBorders>
            <w:noWrap/>
            <w:vAlign w:val="center"/>
            <w:hideMark/>
          </w:tcPr>
          <w:p w14:paraId="11366446" w14:textId="77777777" w:rsidR="00C66109" w:rsidRPr="00C66109" w:rsidRDefault="00C66109" w:rsidP="00C66109">
            <w:pPr>
              <w:rPr>
                <w:sz w:val="16"/>
                <w:szCs w:val="16"/>
              </w:rPr>
            </w:pPr>
            <w:r w:rsidRPr="00C66109">
              <w:rPr>
                <w:sz w:val="16"/>
                <w:szCs w:val="16"/>
              </w:rPr>
              <w:t>3.99</w:t>
            </w:r>
          </w:p>
        </w:tc>
        <w:tc>
          <w:tcPr>
            <w:tcW w:w="1276" w:type="pct"/>
            <w:tcBorders>
              <w:top w:val="nil"/>
              <w:left w:val="nil"/>
              <w:bottom w:val="single" w:sz="4" w:space="0" w:color="auto"/>
              <w:right w:val="single" w:sz="4" w:space="0" w:color="auto"/>
            </w:tcBorders>
            <w:noWrap/>
            <w:vAlign w:val="center"/>
            <w:hideMark/>
          </w:tcPr>
          <w:p w14:paraId="6EB198C2" w14:textId="77777777" w:rsidR="00C66109" w:rsidRPr="00C66109" w:rsidRDefault="00C66109" w:rsidP="00C66109">
            <w:pPr>
              <w:rPr>
                <w:sz w:val="16"/>
                <w:szCs w:val="16"/>
              </w:rPr>
            </w:pPr>
            <w:r w:rsidRPr="00C66109">
              <w:rPr>
                <w:sz w:val="16"/>
                <w:szCs w:val="16"/>
              </w:rPr>
              <w:t>12.61</w:t>
            </w:r>
          </w:p>
        </w:tc>
      </w:tr>
      <w:tr w:rsidR="00C66109" w:rsidRPr="006C2BBA" w14:paraId="6825F231" w14:textId="77777777" w:rsidTr="00355726">
        <w:trPr>
          <w:trHeight w:val="317"/>
          <w:jc w:val="center"/>
        </w:trPr>
        <w:tc>
          <w:tcPr>
            <w:tcW w:w="1641" w:type="pct"/>
            <w:tcBorders>
              <w:top w:val="nil"/>
              <w:left w:val="single" w:sz="4" w:space="0" w:color="auto"/>
              <w:bottom w:val="single" w:sz="4" w:space="0" w:color="auto"/>
              <w:right w:val="single" w:sz="4" w:space="0" w:color="auto"/>
            </w:tcBorders>
            <w:noWrap/>
            <w:vAlign w:val="center"/>
            <w:hideMark/>
          </w:tcPr>
          <w:p w14:paraId="2650CC22" w14:textId="77777777" w:rsidR="00C66109" w:rsidRPr="00C66109" w:rsidRDefault="00C66109" w:rsidP="00C66109">
            <w:pPr>
              <w:rPr>
                <w:sz w:val="16"/>
                <w:szCs w:val="16"/>
              </w:rPr>
            </w:pPr>
            <w:r w:rsidRPr="00C66109">
              <w:rPr>
                <w:sz w:val="16"/>
                <w:szCs w:val="16"/>
              </w:rPr>
              <w:t>BLEU (%)</w:t>
            </w:r>
          </w:p>
        </w:tc>
        <w:tc>
          <w:tcPr>
            <w:tcW w:w="2083" w:type="pct"/>
            <w:tcBorders>
              <w:top w:val="nil"/>
              <w:left w:val="nil"/>
              <w:bottom w:val="single" w:sz="4" w:space="0" w:color="auto"/>
              <w:right w:val="single" w:sz="4" w:space="0" w:color="auto"/>
            </w:tcBorders>
            <w:noWrap/>
            <w:vAlign w:val="center"/>
            <w:hideMark/>
          </w:tcPr>
          <w:p w14:paraId="04B3F9BD" w14:textId="77777777" w:rsidR="00C66109" w:rsidRPr="00C66109" w:rsidRDefault="00C66109" w:rsidP="00C66109">
            <w:pPr>
              <w:rPr>
                <w:sz w:val="16"/>
                <w:szCs w:val="16"/>
              </w:rPr>
            </w:pPr>
            <w:r w:rsidRPr="00C66109">
              <w:rPr>
                <w:sz w:val="16"/>
                <w:szCs w:val="16"/>
              </w:rPr>
              <w:t>84.79</w:t>
            </w:r>
          </w:p>
        </w:tc>
        <w:tc>
          <w:tcPr>
            <w:tcW w:w="1276" w:type="pct"/>
            <w:tcBorders>
              <w:top w:val="nil"/>
              <w:left w:val="nil"/>
              <w:bottom w:val="single" w:sz="4" w:space="0" w:color="auto"/>
              <w:right w:val="single" w:sz="4" w:space="0" w:color="auto"/>
            </w:tcBorders>
            <w:noWrap/>
            <w:vAlign w:val="center"/>
            <w:hideMark/>
          </w:tcPr>
          <w:p w14:paraId="078082C8" w14:textId="77777777" w:rsidR="00C66109" w:rsidRPr="00C66109" w:rsidRDefault="00C66109" w:rsidP="00C66109">
            <w:pPr>
              <w:rPr>
                <w:sz w:val="16"/>
                <w:szCs w:val="16"/>
              </w:rPr>
            </w:pPr>
            <w:r w:rsidRPr="00C66109">
              <w:rPr>
                <w:sz w:val="16"/>
                <w:szCs w:val="16"/>
              </w:rPr>
              <w:t>55.67</w:t>
            </w:r>
          </w:p>
        </w:tc>
      </w:tr>
      <w:tr w:rsidR="00C66109" w:rsidRPr="006C2BBA" w14:paraId="174450DE" w14:textId="77777777" w:rsidTr="00355726">
        <w:trPr>
          <w:trHeight w:val="317"/>
          <w:jc w:val="center"/>
        </w:trPr>
        <w:tc>
          <w:tcPr>
            <w:tcW w:w="1641" w:type="pct"/>
            <w:tcBorders>
              <w:top w:val="nil"/>
              <w:left w:val="single" w:sz="4" w:space="0" w:color="auto"/>
              <w:bottom w:val="single" w:sz="4" w:space="0" w:color="auto"/>
              <w:right w:val="single" w:sz="4" w:space="0" w:color="auto"/>
            </w:tcBorders>
            <w:noWrap/>
            <w:vAlign w:val="center"/>
            <w:hideMark/>
          </w:tcPr>
          <w:p w14:paraId="12C94334" w14:textId="77777777" w:rsidR="00C66109" w:rsidRPr="00C66109" w:rsidRDefault="00C66109" w:rsidP="00C66109">
            <w:pPr>
              <w:rPr>
                <w:sz w:val="16"/>
                <w:szCs w:val="16"/>
              </w:rPr>
            </w:pPr>
            <w:r w:rsidRPr="00C66109">
              <w:rPr>
                <w:sz w:val="16"/>
                <w:szCs w:val="16"/>
              </w:rPr>
              <w:t>DER (%)</w:t>
            </w:r>
          </w:p>
        </w:tc>
        <w:tc>
          <w:tcPr>
            <w:tcW w:w="2083" w:type="pct"/>
            <w:tcBorders>
              <w:top w:val="nil"/>
              <w:left w:val="nil"/>
              <w:bottom w:val="single" w:sz="4" w:space="0" w:color="auto"/>
              <w:right w:val="single" w:sz="4" w:space="0" w:color="auto"/>
            </w:tcBorders>
            <w:noWrap/>
            <w:vAlign w:val="center"/>
            <w:hideMark/>
          </w:tcPr>
          <w:p w14:paraId="4E23EFF7" w14:textId="77777777" w:rsidR="00C66109" w:rsidRPr="00C66109" w:rsidRDefault="00C66109" w:rsidP="00C66109">
            <w:pPr>
              <w:rPr>
                <w:sz w:val="16"/>
                <w:szCs w:val="16"/>
              </w:rPr>
            </w:pPr>
            <w:r w:rsidRPr="00C66109">
              <w:rPr>
                <w:sz w:val="16"/>
                <w:szCs w:val="16"/>
              </w:rPr>
              <w:t>1.26</w:t>
            </w:r>
          </w:p>
        </w:tc>
        <w:tc>
          <w:tcPr>
            <w:tcW w:w="1276" w:type="pct"/>
            <w:tcBorders>
              <w:top w:val="nil"/>
              <w:left w:val="nil"/>
              <w:bottom w:val="single" w:sz="4" w:space="0" w:color="auto"/>
              <w:right w:val="single" w:sz="4" w:space="0" w:color="auto"/>
            </w:tcBorders>
            <w:noWrap/>
            <w:vAlign w:val="center"/>
            <w:hideMark/>
          </w:tcPr>
          <w:p w14:paraId="53B9BAE9" w14:textId="77777777" w:rsidR="00C66109" w:rsidRPr="00C66109" w:rsidRDefault="00C66109" w:rsidP="00C66109">
            <w:pPr>
              <w:rPr>
                <w:sz w:val="16"/>
                <w:szCs w:val="16"/>
              </w:rPr>
            </w:pPr>
            <w:r w:rsidRPr="00C66109">
              <w:rPr>
                <w:sz w:val="16"/>
                <w:szCs w:val="16"/>
              </w:rPr>
              <w:t>2.82</w:t>
            </w:r>
          </w:p>
        </w:tc>
      </w:tr>
      <w:tr w:rsidR="00C66109" w:rsidRPr="006C2BBA" w14:paraId="5A4BB542" w14:textId="77777777" w:rsidTr="00355726">
        <w:trPr>
          <w:trHeight w:val="317"/>
          <w:jc w:val="center"/>
        </w:trPr>
        <w:tc>
          <w:tcPr>
            <w:tcW w:w="1641" w:type="pct"/>
            <w:tcBorders>
              <w:top w:val="nil"/>
              <w:left w:val="single" w:sz="4" w:space="0" w:color="auto"/>
              <w:bottom w:val="single" w:sz="4" w:space="0" w:color="auto"/>
              <w:right w:val="single" w:sz="4" w:space="0" w:color="auto"/>
            </w:tcBorders>
            <w:noWrap/>
            <w:vAlign w:val="center"/>
            <w:hideMark/>
          </w:tcPr>
          <w:p w14:paraId="32DF0E6B" w14:textId="77777777" w:rsidR="00C66109" w:rsidRPr="00C66109" w:rsidRDefault="00C66109" w:rsidP="00C66109">
            <w:pPr>
              <w:rPr>
                <w:sz w:val="16"/>
                <w:szCs w:val="16"/>
              </w:rPr>
            </w:pPr>
            <w:r w:rsidRPr="00C66109">
              <w:rPr>
                <w:sz w:val="16"/>
                <w:szCs w:val="16"/>
              </w:rPr>
              <w:t>WER (%)</w:t>
            </w:r>
          </w:p>
        </w:tc>
        <w:tc>
          <w:tcPr>
            <w:tcW w:w="2083" w:type="pct"/>
            <w:tcBorders>
              <w:top w:val="nil"/>
              <w:left w:val="nil"/>
              <w:bottom w:val="single" w:sz="4" w:space="0" w:color="auto"/>
              <w:right w:val="single" w:sz="4" w:space="0" w:color="auto"/>
            </w:tcBorders>
            <w:noWrap/>
            <w:vAlign w:val="center"/>
            <w:hideMark/>
          </w:tcPr>
          <w:p w14:paraId="3238FA6F" w14:textId="77777777" w:rsidR="00C66109" w:rsidRPr="00C66109" w:rsidRDefault="00C66109" w:rsidP="00C66109">
            <w:pPr>
              <w:rPr>
                <w:sz w:val="16"/>
                <w:szCs w:val="16"/>
              </w:rPr>
            </w:pPr>
            <w:r w:rsidRPr="00C66109">
              <w:rPr>
                <w:sz w:val="16"/>
                <w:szCs w:val="16"/>
              </w:rPr>
              <w:t>9.72</w:t>
            </w:r>
          </w:p>
        </w:tc>
        <w:tc>
          <w:tcPr>
            <w:tcW w:w="1276" w:type="pct"/>
            <w:tcBorders>
              <w:top w:val="nil"/>
              <w:left w:val="nil"/>
              <w:bottom w:val="single" w:sz="4" w:space="0" w:color="auto"/>
              <w:right w:val="single" w:sz="4" w:space="0" w:color="auto"/>
            </w:tcBorders>
            <w:noWrap/>
            <w:vAlign w:val="center"/>
            <w:hideMark/>
          </w:tcPr>
          <w:p w14:paraId="4EEC4CD0" w14:textId="77777777" w:rsidR="00C66109" w:rsidRPr="00C66109" w:rsidRDefault="00C66109" w:rsidP="00C66109">
            <w:pPr>
              <w:rPr>
                <w:sz w:val="16"/>
                <w:szCs w:val="16"/>
              </w:rPr>
            </w:pPr>
            <w:r w:rsidRPr="00C66109">
              <w:rPr>
                <w:sz w:val="16"/>
                <w:szCs w:val="16"/>
              </w:rPr>
              <w:t>27.97</w:t>
            </w:r>
          </w:p>
        </w:tc>
      </w:tr>
      <w:tr w:rsidR="00C66109" w:rsidRPr="006C2BBA" w14:paraId="2AE27593" w14:textId="77777777" w:rsidTr="00355726">
        <w:trPr>
          <w:trHeight w:val="317"/>
          <w:jc w:val="center"/>
        </w:trPr>
        <w:tc>
          <w:tcPr>
            <w:tcW w:w="1641" w:type="pct"/>
            <w:tcBorders>
              <w:top w:val="nil"/>
              <w:left w:val="single" w:sz="4" w:space="0" w:color="auto"/>
              <w:bottom w:val="single" w:sz="4" w:space="0" w:color="auto"/>
              <w:right w:val="single" w:sz="4" w:space="0" w:color="auto"/>
            </w:tcBorders>
            <w:noWrap/>
            <w:vAlign w:val="center"/>
            <w:hideMark/>
          </w:tcPr>
          <w:p w14:paraId="25757BD2" w14:textId="07B2E7F2" w:rsidR="00C66109" w:rsidRPr="00C66109" w:rsidRDefault="00C66109" w:rsidP="00C66109">
            <w:pPr>
              <w:rPr>
                <w:sz w:val="16"/>
                <w:szCs w:val="16"/>
              </w:rPr>
            </w:pPr>
            <w:r w:rsidRPr="00C66109">
              <w:rPr>
                <w:sz w:val="16"/>
                <w:szCs w:val="16"/>
              </w:rPr>
              <w:t xml:space="preserve">Evaluation </w:t>
            </w:r>
            <w:r w:rsidR="004C4FF4">
              <w:rPr>
                <w:sz w:val="16"/>
                <w:szCs w:val="16"/>
              </w:rPr>
              <w:t>s</w:t>
            </w:r>
            <w:r w:rsidRPr="00C66109">
              <w:rPr>
                <w:sz w:val="16"/>
                <w:szCs w:val="16"/>
              </w:rPr>
              <w:t>core (%)</w:t>
            </w:r>
          </w:p>
        </w:tc>
        <w:tc>
          <w:tcPr>
            <w:tcW w:w="2083" w:type="pct"/>
            <w:tcBorders>
              <w:top w:val="nil"/>
              <w:left w:val="nil"/>
              <w:bottom w:val="single" w:sz="4" w:space="0" w:color="auto"/>
              <w:right w:val="single" w:sz="4" w:space="0" w:color="auto"/>
            </w:tcBorders>
            <w:noWrap/>
            <w:vAlign w:val="center"/>
            <w:hideMark/>
          </w:tcPr>
          <w:p w14:paraId="271BEEC6" w14:textId="77777777" w:rsidR="00C66109" w:rsidRPr="00C66109" w:rsidRDefault="00C66109" w:rsidP="00C66109">
            <w:pPr>
              <w:rPr>
                <w:b/>
                <w:bCs/>
                <w:sz w:val="16"/>
                <w:szCs w:val="16"/>
              </w:rPr>
            </w:pPr>
            <w:r w:rsidRPr="00C66109">
              <w:rPr>
                <w:b/>
                <w:bCs/>
                <w:sz w:val="16"/>
                <w:szCs w:val="16"/>
              </w:rPr>
              <w:t>92.45</w:t>
            </w:r>
          </w:p>
        </w:tc>
        <w:tc>
          <w:tcPr>
            <w:tcW w:w="1276" w:type="pct"/>
            <w:tcBorders>
              <w:top w:val="nil"/>
              <w:left w:val="nil"/>
              <w:bottom w:val="single" w:sz="4" w:space="0" w:color="auto"/>
              <w:right w:val="single" w:sz="4" w:space="0" w:color="auto"/>
            </w:tcBorders>
            <w:noWrap/>
            <w:vAlign w:val="center"/>
            <w:hideMark/>
          </w:tcPr>
          <w:p w14:paraId="75A3E058" w14:textId="77777777" w:rsidR="00C66109" w:rsidRPr="00C66109" w:rsidRDefault="00C66109" w:rsidP="00C66109">
            <w:pPr>
              <w:rPr>
                <w:b/>
                <w:bCs/>
                <w:sz w:val="16"/>
                <w:szCs w:val="16"/>
              </w:rPr>
            </w:pPr>
            <w:r w:rsidRPr="00C66109">
              <w:rPr>
                <w:b/>
                <w:bCs/>
                <w:sz w:val="16"/>
                <w:szCs w:val="16"/>
              </w:rPr>
              <w:t>78.06</w:t>
            </w:r>
          </w:p>
        </w:tc>
      </w:tr>
    </w:tbl>
    <w:p w14:paraId="3DDFF150" w14:textId="7BB13685" w:rsidR="00C66109" w:rsidRPr="00BE4F36" w:rsidRDefault="00030ABB" w:rsidP="00240DBE">
      <w:pPr>
        <w:pStyle w:val="Heading2"/>
      </w:pPr>
      <w:r w:rsidRPr="00BE4F36">
        <w:t>Manual Linguistic Evaluation</w:t>
      </w:r>
    </w:p>
    <w:p w14:paraId="75E7A0CC" w14:textId="47B6413B" w:rsidR="00030ABB" w:rsidRDefault="00030ABB" w:rsidP="00030ABB">
      <w:pPr>
        <w:pStyle w:val="BodyText"/>
        <w:rPr>
          <w:lang w:val="en-US"/>
        </w:rPr>
      </w:pPr>
      <w:r w:rsidRPr="00030ABB">
        <w:rPr>
          <w:lang w:val="en-US"/>
        </w:rPr>
        <w:t>To address the limitations of automatic metrics, a manual evaluation was conducted on 200 randomly selected samples from the JODA test set (approximately 8% of the total). The sample</w:t>
      </w:r>
      <w:r>
        <w:rPr>
          <w:lang w:val="en-US"/>
        </w:rPr>
        <w:t>s</w:t>
      </w:r>
      <w:r w:rsidRPr="00030ABB">
        <w:rPr>
          <w:lang w:val="en-US"/>
        </w:rPr>
        <w:t xml:space="preserve"> were evenly split between the two task prefixes (</w:t>
      </w:r>
      <w:r w:rsidR="004C4FF4">
        <w:rPr>
          <w:lang w:val="en-US"/>
        </w:rPr>
        <w:t>“</w:t>
      </w:r>
      <w:r w:rsidRPr="00030ABB">
        <w:rPr>
          <w:lang w:val="en-US"/>
        </w:rPr>
        <w:t>correct:</w:t>
      </w:r>
      <w:r w:rsidR="004C4FF4">
        <w:rPr>
          <w:lang w:val="en-US"/>
        </w:rPr>
        <w:t>”</w:t>
      </w:r>
      <w:r w:rsidRPr="00030ABB">
        <w:rPr>
          <w:lang w:val="en-US"/>
        </w:rPr>
        <w:t xml:space="preserve"> and </w:t>
      </w:r>
      <w:r w:rsidR="004C4FF4">
        <w:rPr>
          <w:lang w:val="en-US"/>
        </w:rPr>
        <w:t>“</w:t>
      </w:r>
      <w:r w:rsidRPr="00030ABB">
        <w:rPr>
          <w:lang w:val="en-US"/>
        </w:rPr>
        <w:t>diacritize:</w:t>
      </w:r>
      <w:r w:rsidR="004C4FF4">
        <w:rPr>
          <w:lang w:val="en-US"/>
        </w:rPr>
        <w:t>”</w:t>
      </w:r>
      <w:r w:rsidRPr="00030ABB">
        <w:rPr>
          <w:lang w:val="en-US"/>
        </w:rPr>
        <w:t xml:space="preserve">) to assess both character-level and diacritic-level accuracy. Key findings include a </w:t>
      </w:r>
      <w:r w:rsidR="008E1696">
        <w:rPr>
          <w:lang w:val="en-US"/>
        </w:rPr>
        <w:t>m</w:t>
      </w:r>
      <w:r w:rsidRPr="00030ABB">
        <w:rPr>
          <w:lang w:val="en-US"/>
        </w:rPr>
        <w:t xml:space="preserve">anual CER of 4.41% and a </w:t>
      </w:r>
      <w:r w:rsidR="008E1696">
        <w:rPr>
          <w:lang w:val="en-US"/>
        </w:rPr>
        <w:t>m</w:t>
      </w:r>
      <w:r w:rsidRPr="00030ABB">
        <w:rPr>
          <w:lang w:val="en-US"/>
        </w:rPr>
        <w:t xml:space="preserve">anual DER of 1.32% (excluding machine-generated diacritization errors that were a result of </w:t>
      </w:r>
      <w:r>
        <w:rPr>
          <w:lang w:val="en-US"/>
        </w:rPr>
        <w:t>the</w:t>
      </w:r>
      <w:r w:rsidRPr="00030ABB">
        <w:rPr>
          <w:lang w:val="en-US"/>
        </w:rPr>
        <w:t xml:space="preserve"> ByT5 model trained to diacritize the JODA dataset). When these machine-generated errors were included, DER rose to 1.93%. These results highlight the importance of human assessment, particularly in dialectal Arabic, where automatic metrics may misrepresent true model performance due to lexical, orthographic, or structural variations.</w:t>
      </w:r>
    </w:p>
    <w:p w14:paraId="2C3DEAE0" w14:textId="7A1E4838" w:rsidR="00427875" w:rsidRDefault="00427875" w:rsidP="00427875">
      <w:pPr>
        <w:pStyle w:val="BodyText"/>
        <w:rPr>
          <w:lang w:val="en-US"/>
        </w:rPr>
      </w:pPr>
      <w:r w:rsidRPr="00427875">
        <w:rPr>
          <w:lang w:val="en-US"/>
        </w:rPr>
        <w:lastRenderedPageBreak/>
        <w:t xml:space="preserve">To offer qualitative insights into the model's capabilities, we reviewed its predictions across several representative cases. </w:t>
      </w:r>
      <w:r w:rsidR="000D33D7">
        <w:rPr>
          <w:lang w:val="en-US"/>
        </w:rPr>
        <w:fldChar w:fldCharType="begin"/>
      </w:r>
      <w:r w:rsidR="000D33D7">
        <w:rPr>
          <w:lang w:val="en-US"/>
        </w:rPr>
        <w:instrText xml:space="preserve"> REF _Ref204795684 \h  \* MERGEFORMAT </w:instrText>
      </w:r>
      <w:r w:rsidR="000D33D7">
        <w:rPr>
          <w:lang w:val="en-US"/>
        </w:rPr>
      </w:r>
      <w:r w:rsidR="000D33D7">
        <w:rPr>
          <w:lang w:val="en-US"/>
        </w:rPr>
        <w:fldChar w:fldCharType="separate"/>
      </w:r>
      <w:r w:rsidR="000D33D7" w:rsidRPr="000D33D7">
        <w:rPr>
          <w:lang w:val="en-US"/>
        </w:rPr>
        <w:t>Table III</w:t>
      </w:r>
      <w:r w:rsidR="000D33D7">
        <w:rPr>
          <w:lang w:val="en-US"/>
        </w:rPr>
        <w:fldChar w:fldCharType="end"/>
      </w:r>
      <w:r w:rsidRPr="00427875">
        <w:rPr>
          <w:lang w:val="en-US"/>
        </w:rPr>
        <w:t xml:space="preserve"> provides four illustrative examples from the JODA test set, demonstrating the model's ability to outperform the reference translation (Example 1), perfectly match the target (Example 2), produce a semantically correct alternative using synonyms (Example 3), and fail in specific dialectal contexts (Example 4). These examples reflect the model’s strengths and remaining limitations when deployed in real-world scenarios involving dialectal Arabic.</w:t>
      </w:r>
    </w:p>
    <w:p w14:paraId="5D245E22" w14:textId="77777777" w:rsidR="006853E0" w:rsidRDefault="006853E0" w:rsidP="009721D9">
      <w:pPr>
        <w:pStyle w:val="Heading1"/>
        <w:ind w:firstLine="0"/>
      </w:pPr>
      <w:r>
        <w:t>Discussion</w:t>
      </w:r>
    </w:p>
    <w:p w14:paraId="573C3975" w14:textId="153C4190" w:rsidR="006853E0" w:rsidRDefault="00A9173E" w:rsidP="006853E0">
      <w:pPr>
        <w:pStyle w:val="BodyText"/>
        <w:rPr>
          <w:lang w:val="en-US"/>
        </w:rPr>
      </w:pPr>
      <w:r w:rsidRPr="00A9173E">
        <w:rPr>
          <w:lang w:val="en-US"/>
        </w:rPr>
        <w:t>This section interprets the findings from our comprehensive experimental evaluation of the ByT5 model for multi-task Arabic text processing, encompassing orthographic correction and diacritization. We begin by discussing the significance of our quantitative and qualitative results. We then validate the methodological contribution of our prefixing, synthetic error injection, and dataset scaling strategies. Finally, we report the computational efficiency metrics and conclude by highlighting the unique contributions and limitations of this study.</w:t>
      </w:r>
    </w:p>
    <w:p w14:paraId="588EE594" w14:textId="77777777" w:rsidR="006853E0" w:rsidRPr="00DD4B4D" w:rsidRDefault="006853E0" w:rsidP="006853E0">
      <w:pPr>
        <w:pStyle w:val="Heading2"/>
      </w:pPr>
      <w:r w:rsidRPr="00DD4B4D">
        <w:t>Interpretation of Key Results</w:t>
      </w:r>
    </w:p>
    <w:p w14:paraId="2BBBFCAD" w14:textId="449A81EC" w:rsidR="00D85EC7" w:rsidRPr="006853E0" w:rsidRDefault="006853E0" w:rsidP="006853E0">
      <w:pPr>
        <w:pStyle w:val="BodyText"/>
        <w:rPr>
          <w:lang w:val="en-US"/>
        </w:rPr>
      </w:pPr>
      <w:r w:rsidRPr="00E02E61">
        <w:rPr>
          <w:lang w:val="en-US"/>
        </w:rPr>
        <w:t>The ByT5-Base model was successfully fine-tuned for simultaneous Arabic text correction and diacritization. The optimal configuration, using specific hyperparameters and the JODA+Clean-400 dataset, yielded robust performance, achieving a 92.45% Evaluation Score. This was notably higher than the 78.06% on the JODA-only test set, reflecting the model</w:t>
      </w:r>
      <w:r w:rsidR="004C4FF4">
        <w:rPr>
          <w:lang w:val="en-US"/>
        </w:rPr>
        <w:t>’</w:t>
      </w:r>
      <w:r w:rsidRPr="00E02E61">
        <w:rPr>
          <w:lang w:val="en-US"/>
        </w:rPr>
        <w:t>s stronger performance on formal Arabic, while the diverse and underrepresented Jordanian dialect proved more challenging.</w:t>
      </w:r>
    </w:p>
    <w:p w14:paraId="268ECF9F" w14:textId="41F04A07" w:rsidR="00427875" w:rsidRPr="00427875" w:rsidRDefault="00427875" w:rsidP="00427875">
      <w:pPr>
        <w:pStyle w:val="Caption"/>
        <w:keepNext/>
        <w:rPr>
          <w:i w:val="0"/>
          <w:iCs w:val="0"/>
          <w:smallCaps/>
          <w:color w:val="auto"/>
          <w:sz w:val="16"/>
          <w:szCs w:val="16"/>
        </w:rPr>
      </w:pPr>
      <w:bookmarkStart w:id="6" w:name="_Ref204795684"/>
      <w:r w:rsidRPr="00427875">
        <w:rPr>
          <w:i w:val="0"/>
          <w:iCs w:val="0"/>
          <w:smallCaps/>
          <w:color w:val="auto"/>
          <w:sz w:val="16"/>
          <w:szCs w:val="16"/>
        </w:rPr>
        <w:t xml:space="preserve">Table </w:t>
      </w:r>
      <w:r w:rsidR="00783DE3">
        <w:rPr>
          <w:i w:val="0"/>
          <w:iCs w:val="0"/>
          <w:smallCaps/>
          <w:color w:val="auto"/>
          <w:sz w:val="16"/>
          <w:szCs w:val="16"/>
        </w:rPr>
        <w:fldChar w:fldCharType="begin"/>
      </w:r>
      <w:r w:rsidR="00783DE3">
        <w:rPr>
          <w:i w:val="0"/>
          <w:iCs w:val="0"/>
          <w:smallCaps/>
          <w:color w:val="auto"/>
          <w:sz w:val="16"/>
          <w:szCs w:val="16"/>
        </w:rPr>
        <w:instrText xml:space="preserve"> SEQ Table \* ROMAN </w:instrText>
      </w:r>
      <w:r w:rsidR="00783DE3">
        <w:rPr>
          <w:i w:val="0"/>
          <w:iCs w:val="0"/>
          <w:smallCaps/>
          <w:color w:val="auto"/>
          <w:sz w:val="16"/>
          <w:szCs w:val="16"/>
        </w:rPr>
        <w:fldChar w:fldCharType="separate"/>
      </w:r>
      <w:r w:rsidR="00783DE3">
        <w:rPr>
          <w:i w:val="0"/>
          <w:iCs w:val="0"/>
          <w:smallCaps/>
          <w:noProof/>
          <w:color w:val="auto"/>
          <w:sz w:val="16"/>
          <w:szCs w:val="16"/>
        </w:rPr>
        <w:t>III</w:t>
      </w:r>
      <w:r w:rsidR="00783DE3">
        <w:rPr>
          <w:i w:val="0"/>
          <w:iCs w:val="0"/>
          <w:smallCaps/>
          <w:color w:val="auto"/>
          <w:sz w:val="16"/>
          <w:szCs w:val="16"/>
        </w:rPr>
        <w:fldChar w:fldCharType="end"/>
      </w:r>
      <w:bookmarkEnd w:id="6"/>
      <w:r w:rsidRPr="00427875">
        <w:rPr>
          <w:i w:val="0"/>
          <w:iCs w:val="0"/>
          <w:smallCaps/>
          <w:color w:val="auto"/>
          <w:sz w:val="16"/>
          <w:szCs w:val="16"/>
        </w:rPr>
        <w:t>.</w:t>
      </w:r>
      <w:r w:rsidR="00355726">
        <w:rPr>
          <w:i w:val="0"/>
          <w:iCs w:val="0"/>
          <w:smallCaps/>
          <w:color w:val="auto"/>
          <w:sz w:val="16"/>
          <w:szCs w:val="16"/>
        </w:rPr>
        <w:tab/>
      </w:r>
      <w:r w:rsidRPr="00427875">
        <w:rPr>
          <w:i w:val="0"/>
          <w:iCs w:val="0"/>
          <w:smallCaps/>
          <w:color w:val="auto"/>
          <w:sz w:val="16"/>
          <w:szCs w:val="16"/>
        </w:rPr>
        <w:t>Illustrative Examples from JODA Test Set with Prediction Notes</w:t>
      </w:r>
    </w:p>
    <w:tbl>
      <w:tblPr>
        <w:tblW w:w="5000" w:type="pct"/>
        <w:jc w:val="center"/>
        <w:tblLook w:val="04A0" w:firstRow="1" w:lastRow="0" w:firstColumn="1" w:lastColumn="0" w:noHBand="0" w:noVBand="1"/>
      </w:tblPr>
      <w:tblGrid>
        <w:gridCol w:w="1139"/>
        <w:gridCol w:w="1106"/>
        <w:gridCol w:w="1188"/>
        <w:gridCol w:w="1423"/>
      </w:tblGrid>
      <w:tr w:rsidR="00427875" w:rsidRPr="001F4978" w14:paraId="53F7C15A" w14:textId="77777777" w:rsidTr="007C2630">
        <w:trPr>
          <w:trHeight w:val="317"/>
          <w:jc w:val="center"/>
        </w:trPr>
        <w:tc>
          <w:tcPr>
            <w:tcW w:w="1173" w:type="pct"/>
            <w:tcBorders>
              <w:top w:val="single" w:sz="4" w:space="0" w:color="auto"/>
              <w:left w:val="single" w:sz="4" w:space="0" w:color="auto"/>
              <w:bottom w:val="single" w:sz="4" w:space="0" w:color="auto"/>
              <w:right w:val="single" w:sz="4" w:space="0" w:color="auto"/>
            </w:tcBorders>
            <w:vAlign w:val="center"/>
            <w:hideMark/>
          </w:tcPr>
          <w:p w14:paraId="529C38E1" w14:textId="77777777" w:rsidR="00427875" w:rsidRPr="00450682" w:rsidRDefault="00427875" w:rsidP="008A706D">
            <w:pPr>
              <w:rPr>
                <w:b/>
                <w:bCs/>
                <w:sz w:val="16"/>
                <w:szCs w:val="16"/>
              </w:rPr>
            </w:pPr>
            <w:r w:rsidRPr="00450682">
              <w:rPr>
                <w:b/>
                <w:bCs/>
                <w:sz w:val="16"/>
                <w:szCs w:val="16"/>
              </w:rPr>
              <w:t>Input</w:t>
            </w:r>
          </w:p>
        </w:tc>
        <w:tc>
          <w:tcPr>
            <w:tcW w:w="1139" w:type="pct"/>
            <w:tcBorders>
              <w:top w:val="single" w:sz="4" w:space="0" w:color="auto"/>
              <w:left w:val="nil"/>
              <w:bottom w:val="single" w:sz="4" w:space="0" w:color="auto"/>
              <w:right w:val="single" w:sz="4" w:space="0" w:color="auto"/>
            </w:tcBorders>
            <w:vAlign w:val="center"/>
            <w:hideMark/>
          </w:tcPr>
          <w:p w14:paraId="4E3EE5D5" w14:textId="77777777" w:rsidR="00427875" w:rsidRPr="00450682" w:rsidRDefault="00427875" w:rsidP="008A706D">
            <w:pPr>
              <w:rPr>
                <w:b/>
                <w:bCs/>
                <w:sz w:val="16"/>
                <w:szCs w:val="16"/>
              </w:rPr>
            </w:pPr>
            <w:r w:rsidRPr="00450682">
              <w:rPr>
                <w:b/>
                <w:bCs/>
                <w:sz w:val="16"/>
                <w:szCs w:val="16"/>
              </w:rPr>
              <w:t>Target</w:t>
            </w:r>
          </w:p>
        </w:tc>
        <w:tc>
          <w:tcPr>
            <w:tcW w:w="1223" w:type="pct"/>
            <w:tcBorders>
              <w:top w:val="single" w:sz="4" w:space="0" w:color="auto"/>
              <w:left w:val="nil"/>
              <w:bottom w:val="single" w:sz="4" w:space="0" w:color="auto"/>
              <w:right w:val="single" w:sz="4" w:space="0" w:color="auto"/>
            </w:tcBorders>
            <w:vAlign w:val="center"/>
            <w:hideMark/>
          </w:tcPr>
          <w:p w14:paraId="5E03EAE7" w14:textId="77777777" w:rsidR="00427875" w:rsidRPr="00450682" w:rsidRDefault="00427875" w:rsidP="008A706D">
            <w:pPr>
              <w:rPr>
                <w:b/>
                <w:bCs/>
                <w:sz w:val="16"/>
                <w:szCs w:val="16"/>
              </w:rPr>
            </w:pPr>
            <w:r w:rsidRPr="00450682">
              <w:rPr>
                <w:b/>
                <w:bCs/>
                <w:sz w:val="16"/>
                <w:szCs w:val="16"/>
              </w:rPr>
              <w:t>Predicted Text</w:t>
            </w:r>
          </w:p>
        </w:tc>
        <w:tc>
          <w:tcPr>
            <w:tcW w:w="1465" w:type="pct"/>
            <w:tcBorders>
              <w:top w:val="single" w:sz="4" w:space="0" w:color="auto"/>
              <w:left w:val="nil"/>
              <w:bottom w:val="single" w:sz="4" w:space="0" w:color="auto"/>
              <w:right w:val="single" w:sz="4" w:space="0" w:color="auto"/>
            </w:tcBorders>
            <w:vAlign w:val="center"/>
            <w:hideMark/>
          </w:tcPr>
          <w:p w14:paraId="5757878B" w14:textId="77777777" w:rsidR="00427875" w:rsidRPr="00450682" w:rsidRDefault="00427875" w:rsidP="008A706D">
            <w:pPr>
              <w:rPr>
                <w:b/>
                <w:bCs/>
                <w:sz w:val="16"/>
                <w:szCs w:val="16"/>
              </w:rPr>
            </w:pPr>
            <w:r w:rsidRPr="00450682">
              <w:rPr>
                <w:b/>
                <w:bCs/>
                <w:sz w:val="16"/>
                <w:szCs w:val="16"/>
              </w:rPr>
              <w:t>Prediction Outcome</w:t>
            </w:r>
          </w:p>
        </w:tc>
      </w:tr>
      <w:tr w:rsidR="00427875" w:rsidRPr="001F4978" w14:paraId="16FFA89D" w14:textId="77777777" w:rsidTr="00427875">
        <w:trPr>
          <w:trHeight w:val="1110"/>
          <w:jc w:val="center"/>
        </w:trPr>
        <w:tc>
          <w:tcPr>
            <w:tcW w:w="1173" w:type="pct"/>
            <w:tcBorders>
              <w:top w:val="nil"/>
              <w:left w:val="single" w:sz="4" w:space="0" w:color="auto"/>
              <w:bottom w:val="single" w:sz="4" w:space="0" w:color="auto"/>
              <w:right w:val="single" w:sz="4" w:space="0" w:color="auto"/>
            </w:tcBorders>
            <w:vAlign w:val="center"/>
            <w:hideMark/>
          </w:tcPr>
          <w:p w14:paraId="62C17C13" w14:textId="77777777" w:rsidR="00427875" w:rsidRPr="00450682" w:rsidRDefault="00427875" w:rsidP="008A706D">
            <w:pPr>
              <w:rPr>
                <w:sz w:val="16"/>
                <w:szCs w:val="16"/>
              </w:rPr>
            </w:pPr>
            <w:r w:rsidRPr="00450682">
              <w:rPr>
                <w:sz w:val="16"/>
                <w:szCs w:val="16"/>
              </w:rPr>
              <w:t xml:space="preserve">diacritize: </w:t>
            </w:r>
            <w:r w:rsidRPr="00450682">
              <w:rPr>
                <w:sz w:val="16"/>
                <w:szCs w:val="16"/>
                <w:rtl/>
              </w:rPr>
              <w:t>سألو الفاشل شو سبب فشلك؟ حكالهم ما كان معي فلوس</w:t>
            </w:r>
          </w:p>
        </w:tc>
        <w:tc>
          <w:tcPr>
            <w:tcW w:w="1139" w:type="pct"/>
            <w:tcBorders>
              <w:top w:val="nil"/>
              <w:left w:val="nil"/>
              <w:bottom w:val="single" w:sz="4" w:space="0" w:color="auto"/>
              <w:right w:val="single" w:sz="4" w:space="0" w:color="auto"/>
            </w:tcBorders>
            <w:vAlign w:val="center"/>
            <w:hideMark/>
          </w:tcPr>
          <w:p w14:paraId="33C1D1B3" w14:textId="77777777" w:rsidR="00427875" w:rsidRPr="00450682" w:rsidRDefault="00427875" w:rsidP="00450682">
            <w:pPr>
              <w:rPr>
                <w:sz w:val="16"/>
                <w:szCs w:val="16"/>
              </w:rPr>
            </w:pPr>
            <w:r w:rsidRPr="00450682">
              <w:rPr>
                <w:sz w:val="16"/>
                <w:szCs w:val="16"/>
                <w:rtl/>
              </w:rPr>
              <w:t xml:space="preserve">سَأَلُوا الْفَاشِلَ مَا سَبَبُ فَشَلِكَ؟ قَالَ لَهُمْ مَا كَانَ مَعِي </w:t>
            </w:r>
            <w:r w:rsidRPr="008E1696">
              <w:rPr>
                <w:sz w:val="16"/>
                <w:szCs w:val="16"/>
                <w:u w:val="single"/>
                <w:rtl/>
              </w:rPr>
              <w:t>فُلُوسٌ</w:t>
            </w:r>
          </w:p>
        </w:tc>
        <w:tc>
          <w:tcPr>
            <w:tcW w:w="1223" w:type="pct"/>
            <w:tcBorders>
              <w:top w:val="nil"/>
              <w:left w:val="nil"/>
              <w:bottom w:val="single" w:sz="4" w:space="0" w:color="auto"/>
              <w:right w:val="single" w:sz="4" w:space="0" w:color="auto"/>
            </w:tcBorders>
            <w:vAlign w:val="center"/>
            <w:hideMark/>
          </w:tcPr>
          <w:p w14:paraId="2D968FFA" w14:textId="77777777" w:rsidR="00427875" w:rsidRPr="00450682" w:rsidRDefault="00427875" w:rsidP="00450682">
            <w:pPr>
              <w:rPr>
                <w:sz w:val="16"/>
                <w:szCs w:val="16"/>
                <w:rtl/>
              </w:rPr>
            </w:pPr>
            <w:r w:rsidRPr="00450682">
              <w:rPr>
                <w:sz w:val="16"/>
                <w:szCs w:val="16"/>
                <w:rtl/>
              </w:rPr>
              <w:t xml:space="preserve">سَأَلُوا الْفَاشِلَ مَا سَبَبُ فَشَلِكَ؟ قَالَ لَهُمْ مَا كَانَ مَعِي </w:t>
            </w:r>
            <w:r w:rsidRPr="008E1696">
              <w:rPr>
                <w:b/>
                <w:bCs/>
                <w:color w:val="00B050"/>
                <w:sz w:val="16"/>
                <w:szCs w:val="16"/>
                <w:u w:val="single"/>
                <w:rtl/>
              </w:rPr>
              <w:t>نُقُودٌ</w:t>
            </w:r>
          </w:p>
        </w:tc>
        <w:tc>
          <w:tcPr>
            <w:tcW w:w="1465" w:type="pct"/>
            <w:tcBorders>
              <w:top w:val="nil"/>
              <w:left w:val="nil"/>
              <w:bottom w:val="single" w:sz="4" w:space="0" w:color="auto"/>
              <w:right w:val="single" w:sz="4" w:space="0" w:color="auto"/>
            </w:tcBorders>
            <w:vAlign w:val="center"/>
            <w:hideMark/>
          </w:tcPr>
          <w:p w14:paraId="041E3C65" w14:textId="77777777" w:rsidR="00427875" w:rsidRPr="006A409D" w:rsidRDefault="00427875" w:rsidP="008A706D">
            <w:pPr>
              <w:rPr>
                <w:rFonts w:ascii="Aptos Narrow" w:eastAsia="Times New Roman" w:hAnsi="Aptos Narrow"/>
                <w:color w:val="000000"/>
                <w:sz w:val="24"/>
                <w:szCs w:val="24"/>
                <w:rtl/>
              </w:rPr>
            </w:pPr>
            <w:r w:rsidRPr="00450682">
              <w:rPr>
                <w:sz w:val="16"/>
                <w:szCs w:val="16"/>
              </w:rPr>
              <w:t>Better prediction</w:t>
            </w:r>
          </w:p>
        </w:tc>
      </w:tr>
      <w:tr w:rsidR="00427875" w:rsidRPr="001F4978" w14:paraId="59B132A1" w14:textId="77777777" w:rsidTr="007C2630">
        <w:trPr>
          <w:trHeight w:val="548"/>
          <w:jc w:val="center"/>
        </w:trPr>
        <w:tc>
          <w:tcPr>
            <w:tcW w:w="1173" w:type="pct"/>
            <w:tcBorders>
              <w:top w:val="nil"/>
              <w:left w:val="single" w:sz="4" w:space="0" w:color="auto"/>
              <w:bottom w:val="single" w:sz="4" w:space="0" w:color="auto"/>
              <w:right w:val="single" w:sz="4" w:space="0" w:color="auto"/>
            </w:tcBorders>
            <w:vAlign w:val="center"/>
            <w:hideMark/>
          </w:tcPr>
          <w:p w14:paraId="68F4522B" w14:textId="77777777" w:rsidR="00427875" w:rsidRPr="00450682" w:rsidRDefault="00427875" w:rsidP="008A706D">
            <w:pPr>
              <w:rPr>
                <w:sz w:val="16"/>
                <w:szCs w:val="16"/>
              </w:rPr>
            </w:pPr>
            <w:r w:rsidRPr="00450682">
              <w:rPr>
                <w:sz w:val="16"/>
                <w:szCs w:val="16"/>
              </w:rPr>
              <w:t xml:space="preserve">correct: </w:t>
            </w:r>
            <w:r w:rsidRPr="00450682">
              <w:rPr>
                <w:sz w:val="16"/>
                <w:szCs w:val="16"/>
                <w:rtl/>
              </w:rPr>
              <w:t>الناس لحالها رح تيجي</w:t>
            </w:r>
          </w:p>
        </w:tc>
        <w:tc>
          <w:tcPr>
            <w:tcW w:w="1139" w:type="pct"/>
            <w:tcBorders>
              <w:top w:val="nil"/>
              <w:left w:val="nil"/>
              <w:bottom w:val="single" w:sz="4" w:space="0" w:color="auto"/>
              <w:right w:val="single" w:sz="4" w:space="0" w:color="auto"/>
            </w:tcBorders>
            <w:vAlign w:val="center"/>
            <w:hideMark/>
          </w:tcPr>
          <w:p w14:paraId="0001323D" w14:textId="77777777" w:rsidR="00427875" w:rsidRPr="00450682" w:rsidRDefault="00427875" w:rsidP="008A706D">
            <w:pPr>
              <w:bidi/>
              <w:rPr>
                <w:sz w:val="16"/>
                <w:szCs w:val="16"/>
              </w:rPr>
            </w:pPr>
            <w:r w:rsidRPr="00450682">
              <w:rPr>
                <w:sz w:val="16"/>
                <w:szCs w:val="16"/>
                <w:rtl/>
              </w:rPr>
              <w:t>الناس وحدها ستأتي</w:t>
            </w:r>
          </w:p>
        </w:tc>
        <w:tc>
          <w:tcPr>
            <w:tcW w:w="1223" w:type="pct"/>
            <w:tcBorders>
              <w:top w:val="nil"/>
              <w:left w:val="nil"/>
              <w:bottom w:val="single" w:sz="4" w:space="0" w:color="auto"/>
              <w:right w:val="single" w:sz="4" w:space="0" w:color="auto"/>
            </w:tcBorders>
            <w:vAlign w:val="center"/>
            <w:hideMark/>
          </w:tcPr>
          <w:p w14:paraId="48F0EFE1" w14:textId="77777777" w:rsidR="00427875" w:rsidRPr="00450682" w:rsidRDefault="00427875" w:rsidP="008A706D">
            <w:pPr>
              <w:bidi/>
              <w:rPr>
                <w:sz w:val="16"/>
                <w:szCs w:val="16"/>
                <w:rtl/>
              </w:rPr>
            </w:pPr>
            <w:r w:rsidRPr="00450682">
              <w:rPr>
                <w:sz w:val="16"/>
                <w:szCs w:val="16"/>
                <w:rtl/>
              </w:rPr>
              <w:t>الناس وحدها ستأتي</w:t>
            </w:r>
          </w:p>
        </w:tc>
        <w:tc>
          <w:tcPr>
            <w:tcW w:w="1465" w:type="pct"/>
            <w:tcBorders>
              <w:top w:val="nil"/>
              <w:left w:val="nil"/>
              <w:bottom w:val="single" w:sz="4" w:space="0" w:color="auto"/>
              <w:right w:val="single" w:sz="4" w:space="0" w:color="auto"/>
            </w:tcBorders>
            <w:vAlign w:val="center"/>
            <w:hideMark/>
          </w:tcPr>
          <w:p w14:paraId="5E2F5A89" w14:textId="77777777" w:rsidR="00427875" w:rsidRPr="00450682" w:rsidRDefault="00427875" w:rsidP="008A706D">
            <w:pPr>
              <w:rPr>
                <w:sz w:val="16"/>
                <w:szCs w:val="16"/>
                <w:rtl/>
              </w:rPr>
            </w:pPr>
            <w:r w:rsidRPr="00450682">
              <w:rPr>
                <w:sz w:val="16"/>
                <w:szCs w:val="16"/>
              </w:rPr>
              <w:t>Perfect prediction</w:t>
            </w:r>
          </w:p>
        </w:tc>
      </w:tr>
      <w:tr w:rsidR="00427875" w:rsidRPr="001F4978" w14:paraId="6460550C" w14:textId="77777777" w:rsidTr="007C2630">
        <w:trPr>
          <w:trHeight w:val="710"/>
          <w:jc w:val="center"/>
        </w:trPr>
        <w:tc>
          <w:tcPr>
            <w:tcW w:w="1173" w:type="pct"/>
            <w:tcBorders>
              <w:top w:val="nil"/>
              <w:left w:val="single" w:sz="4" w:space="0" w:color="auto"/>
              <w:bottom w:val="single" w:sz="4" w:space="0" w:color="auto"/>
              <w:right w:val="single" w:sz="4" w:space="0" w:color="auto"/>
            </w:tcBorders>
            <w:vAlign w:val="center"/>
            <w:hideMark/>
          </w:tcPr>
          <w:p w14:paraId="7DF023CD" w14:textId="77777777" w:rsidR="00427875" w:rsidRPr="00450682" w:rsidRDefault="00427875" w:rsidP="008A706D">
            <w:pPr>
              <w:rPr>
                <w:sz w:val="16"/>
                <w:szCs w:val="16"/>
              </w:rPr>
            </w:pPr>
            <w:r w:rsidRPr="00450682">
              <w:rPr>
                <w:sz w:val="16"/>
                <w:szCs w:val="16"/>
              </w:rPr>
              <w:t xml:space="preserve">diacritize: </w:t>
            </w:r>
            <w:r w:rsidRPr="00450682">
              <w:rPr>
                <w:sz w:val="16"/>
                <w:szCs w:val="16"/>
                <w:rtl/>
              </w:rPr>
              <w:t>لحد الحين مافهمت شو المطلوب مني</w:t>
            </w:r>
          </w:p>
        </w:tc>
        <w:tc>
          <w:tcPr>
            <w:tcW w:w="1139" w:type="pct"/>
            <w:tcBorders>
              <w:top w:val="nil"/>
              <w:left w:val="nil"/>
              <w:bottom w:val="single" w:sz="4" w:space="0" w:color="auto"/>
              <w:right w:val="single" w:sz="4" w:space="0" w:color="auto"/>
            </w:tcBorders>
            <w:vAlign w:val="center"/>
            <w:hideMark/>
          </w:tcPr>
          <w:p w14:paraId="009A5D19" w14:textId="77777777" w:rsidR="00427875" w:rsidRPr="00450682" w:rsidRDefault="00427875" w:rsidP="008A706D">
            <w:pPr>
              <w:bidi/>
              <w:rPr>
                <w:sz w:val="16"/>
                <w:szCs w:val="16"/>
              </w:rPr>
            </w:pPr>
            <w:r w:rsidRPr="00095F93">
              <w:rPr>
                <w:color w:val="595959" w:themeColor="text1" w:themeTint="A6"/>
                <w:sz w:val="16"/>
                <w:szCs w:val="16"/>
                <w:u w:val="single"/>
                <w:rtl/>
              </w:rPr>
              <w:t>لِلْآنَ</w:t>
            </w:r>
            <w:r w:rsidRPr="00095F93">
              <w:rPr>
                <w:color w:val="595959" w:themeColor="text1" w:themeTint="A6"/>
                <w:sz w:val="16"/>
                <w:szCs w:val="16"/>
                <w:rtl/>
              </w:rPr>
              <w:t xml:space="preserve"> </w:t>
            </w:r>
            <w:r w:rsidRPr="00450682">
              <w:rPr>
                <w:sz w:val="16"/>
                <w:szCs w:val="16"/>
                <w:rtl/>
              </w:rPr>
              <w:t>لَمْ أَفْهَمْ مَا الْمَطْلُوبُ مِنِّي</w:t>
            </w:r>
          </w:p>
        </w:tc>
        <w:tc>
          <w:tcPr>
            <w:tcW w:w="1223" w:type="pct"/>
            <w:tcBorders>
              <w:top w:val="nil"/>
              <w:left w:val="nil"/>
              <w:bottom w:val="single" w:sz="4" w:space="0" w:color="auto"/>
              <w:right w:val="single" w:sz="4" w:space="0" w:color="auto"/>
            </w:tcBorders>
            <w:vAlign w:val="center"/>
            <w:hideMark/>
          </w:tcPr>
          <w:p w14:paraId="3CF231AB" w14:textId="77777777" w:rsidR="00427875" w:rsidRPr="00450682" w:rsidRDefault="00427875" w:rsidP="008A706D">
            <w:pPr>
              <w:bidi/>
              <w:rPr>
                <w:sz w:val="16"/>
                <w:szCs w:val="16"/>
                <w:rtl/>
              </w:rPr>
            </w:pPr>
            <w:r w:rsidRPr="00095F93">
              <w:rPr>
                <w:color w:val="595959" w:themeColor="text1" w:themeTint="A6"/>
                <w:sz w:val="16"/>
                <w:szCs w:val="16"/>
                <w:u w:val="single"/>
                <w:rtl/>
              </w:rPr>
              <w:t>حَتّى الْآنَ</w:t>
            </w:r>
            <w:r w:rsidRPr="00095F93">
              <w:rPr>
                <w:color w:val="595959" w:themeColor="text1" w:themeTint="A6"/>
                <w:sz w:val="16"/>
                <w:szCs w:val="16"/>
                <w:rtl/>
              </w:rPr>
              <w:t xml:space="preserve"> </w:t>
            </w:r>
            <w:r w:rsidRPr="00450682">
              <w:rPr>
                <w:sz w:val="16"/>
                <w:szCs w:val="16"/>
                <w:rtl/>
              </w:rPr>
              <w:t>لَمْ أَفْهَمْ مَا الْمَطْلُوبُ مِنّي</w:t>
            </w:r>
          </w:p>
        </w:tc>
        <w:tc>
          <w:tcPr>
            <w:tcW w:w="1465" w:type="pct"/>
            <w:tcBorders>
              <w:top w:val="nil"/>
              <w:left w:val="nil"/>
              <w:bottom w:val="single" w:sz="4" w:space="0" w:color="auto"/>
              <w:right w:val="single" w:sz="4" w:space="0" w:color="auto"/>
            </w:tcBorders>
            <w:vAlign w:val="center"/>
            <w:hideMark/>
          </w:tcPr>
          <w:p w14:paraId="32683FB2" w14:textId="77777777" w:rsidR="00427875" w:rsidRPr="00450682" w:rsidRDefault="00427875" w:rsidP="008A706D">
            <w:pPr>
              <w:rPr>
                <w:sz w:val="16"/>
                <w:szCs w:val="16"/>
                <w:rtl/>
              </w:rPr>
            </w:pPr>
            <w:r w:rsidRPr="00450682">
              <w:rPr>
                <w:sz w:val="16"/>
                <w:szCs w:val="16"/>
              </w:rPr>
              <w:t>Synonymous prediction</w:t>
            </w:r>
          </w:p>
        </w:tc>
      </w:tr>
      <w:tr w:rsidR="00427875" w:rsidRPr="001F4978" w14:paraId="59BBE3D7" w14:textId="77777777" w:rsidTr="007C2630">
        <w:trPr>
          <w:trHeight w:val="710"/>
          <w:jc w:val="center"/>
        </w:trPr>
        <w:tc>
          <w:tcPr>
            <w:tcW w:w="1173" w:type="pct"/>
            <w:tcBorders>
              <w:top w:val="nil"/>
              <w:left w:val="single" w:sz="4" w:space="0" w:color="auto"/>
              <w:bottom w:val="single" w:sz="4" w:space="0" w:color="auto"/>
              <w:right w:val="single" w:sz="4" w:space="0" w:color="auto"/>
            </w:tcBorders>
            <w:vAlign w:val="center"/>
            <w:hideMark/>
          </w:tcPr>
          <w:p w14:paraId="5EAB8ED7" w14:textId="77777777" w:rsidR="00427875" w:rsidRPr="00450682" w:rsidRDefault="00427875" w:rsidP="008A706D">
            <w:pPr>
              <w:rPr>
                <w:sz w:val="16"/>
                <w:szCs w:val="16"/>
              </w:rPr>
            </w:pPr>
            <w:r w:rsidRPr="00450682">
              <w:rPr>
                <w:sz w:val="16"/>
                <w:szCs w:val="16"/>
              </w:rPr>
              <w:t xml:space="preserve">correct: </w:t>
            </w:r>
            <w:r w:rsidRPr="00450682">
              <w:rPr>
                <w:sz w:val="16"/>
                <w:szCs w:val="16"/>
                <w:rtl/>
              </w:rPr>
              <w:t>من متى ادبي بحفظو الرياضيات</w:t>
            </w:r>
          </w:p>
        </w:tc>
        <w:tc>
          <w:tcPr>
            <w:tcW w:w="1139" w:type="pct"/>
            <w:tcBorders>
              <w:top w:val="nil"/>
              <w:left w:val="nil"/>
              <w:bottom w:val="single" w:sz="4" w:space="0" w:color="auto"/>
              <w:right w:val="single" w:sz="4" w:space="0" w:color="auto"/>
            </w:tcBorders>
            <w:vAlign w:val="center"/>
            <w:hideMark/>
          </w:tcPr>
          <w:p w14:paraId="7693B401" w14:textId="77777777" w:rsidR="00427875" w:rsidRPr="00450682" w:rsidRDefault="00427875" w:rsidP="008A706D">
            <w:pPr>
              <w:bidi/>
              <w:rPr>
                <w:sz w:val="16"/>
                <w:szCs w:val="16"/>
              </w:rPr>
            </w:pPr>
            <w:r w:rsidRPr="00450682">
              <w:rPr>
                <w:sz w:val="16"/>
                <w:szCs w:val="16"/>
                <w:rtl/>
              </w:rPr>
              <w:t xml:space="preserve">منذ متى </w:t>
            </w:r>
            <w:r w:rsidRPr="008E1696">
              <w:rPr>
                <w:sz w:val="16"/>
                <w:szCs w:val="16"/>
                <w:u w:val="single"/>
                <w:rtl/>
              </w:rPr>
              <w:t>طلاب الأدبي يحفظون</w:t>
            </w:r>
            <w:r w:rsidRPr="00450682">
              <w:rPr>
                <w:sz w:val="16"/>
                <w:szCs w:val="16"/>
                <w:rtl/>
              </w:rPr>
              <w:t xml:space="preserve"> الرياضيات؟</w:t>
            </w:r>
          </w:p>
        </w:tc>
        <w:tc>
          <w:tcPr>
            <w:tcW w:w="1223" w:type="pct"/>
            <w:tcBorders>
              <w:top w:val="nil"/>
              <w:left w:val="nil"/>
              <w:bottom w:val="single" w:sz="4" w:space="0" w:color="auto"/>
              <w:right w:val="single" w:sz="4" w:space="0" w:color="auto"/>
            </w:tcBorders>
            <w:vAlign w:val="center"/>
            <w:hideMark/>
          </w:tcPr>
          <w:p w14:paraId="1B6D8BC4" w14:textId="77777777" w:rsidR="00427875" w:rsidRPr="00450682" w:rsidRDefault="00427875" w:rsidP="008A706D">
            <w:pPr>
              <w:bidi/>
              <w:rPr>
                <w:sz w:val="16"/>
                <w:szCs w:val="16"/>
                <w:rtl/>
              </w:rPr>
            </w:pPr>
            <w:r w:rsidRPr="00450682">
              <w:rPr>
                <w:sz w:val="16"/>
                <w:szCs w:val="16"/>
                <w:rtl/>
              </w:rPr>
              <w:t xml:space="preserve">منذ متى </w:t>
            </w:r>
            <w:r w:rsidRPr="008E1696">
              <w:rPr>
                <w:b/>
                <w:bCs/>
                <w:color w:val="EE0000"/>
                <w:sz w:val="16"/>
                <w:szCs w:val="16"/>
                <w:u w:val="single"/>
                <w:rtl/>
              </w:rPr>
              <w:t>أدبي يحفظ</w:t>
            </w:r>
            <w:r w:rsidRPr="008E1696">
              <w:rPr>
                <w:color w:val="EE0000"/>
                <w:sz w:val="16"/>
                <w:szCs w:val="16"/>
                <w:rtl/>
              </w:rPr>
              <w:t xml:space="preserve"> </w:t>
            </w:r>
            <w:r w:rsidRPr="00450682">
              <w:rPr>
                <w:sz w:val="16"/>
                <w:szCs w:val="16"/>
                <w:rtl/>
              </w:rPr>
              <w:t>الرياضيات؟</w:t>
            </w:r>
          </w:p>
        </w:tc>
        <w:tc>
          <w:tcPr>
            <w:tcW w:w="1465" w:type="pct"/>
            <w:tcBorders>
              <w:top w:val="nil"/>
              <w:left w:val="nil"/>
              <w:bottom w:val="single" w:sz="4" w:space="0" w:color="auto"/>
              <w:right w:val="single" w:sz="4" w:space="0" w:color="auto"/>
            </w:tcBorders>
            <w:vAlign w:val="center"/>
            <w:hideMark/>
          </w:tcPr>
          <w:p w14:paraId="5497AC5A" w14:textId="77777777" w:rsidR="00427875" w:rsidRPr="00450682" w:rsidRDefault="00427875" w:rsidP="008A706D">
            <w:pPr>
              <w:rPr>
                <w:sz w:val="16"/>
                <w:szCs w:val="16"/>
                <w:rtl/>
              </w:rPr>
            </w:pPr>
            <w:r w:rsidRPr="00450682">
              <w:rPr>
                <w:sz w:val="16"/>
                <w:szCs w:val="16"/>
              </w:rPr>
              <w:t>Wrong prediction</w:t>
            </w:r>
          </w:p>
        </w:tc>
      </w:tr>
    </w:tbl>
    <w:p w14:paraId="7D579892" w14:textId="77777777" w:rsidR="008F41E0" w:rsidRPr="004D4606" w:rsidRDefault="008F41E0" w:rsidP="0017696C">
      <w:pPr>
        <w:pStyle w:val="BodyText"/>
        <w:rPr>
          <w:lang w:val="en-US"/>
        </w:rPr>
      </w:pPr>
    </w:p>
    <w:p w14:paraId="6867E469" w14:textId="159579D0" w:rsidR="000C4731" w:rsidRPr="00DD4B4D" w:rsidRDefault="000C4731" w:rsidP="000C4731">
      <w:pPr>
        <w:pStyle w:val="Heading2"/>
      </w:pPr>
      <w:r w:rsidRPr="00DD4B4D">
        <w:t>Qualitative Error Analysis</w:t>
      </w:r>
    </w:p>
    <w:p w14:paraId="2DAD2F1D" w14:textId="672F7B05" w:rsidR="00896AA5" w:rsidRDefault="0097217E" w:rsidP="00896AA5">
      <w:pPr>
        <w:pStyle w:val="BodyText"/>
        <w:rPr>
          <w:lang w:val="en-US"/>
        </w:rPr>
      </w:pPr>
      <w:r w:rsidRPr="0097217E">
        <w:rPr>
          <w:lang w:val="en-US"/>
        </w:rPr>
        <w:t>Qualitative analysis, derived from a manual evaluation of 200 random samples from the JODA test set, provided deeper insights into the model's performance nuances.</w:t>
      </w:r>
      <w:r w:rsidR="00896AA5" w:rsidRPr="00896AA5">
        <w:rPr>
          <w:spacing w:val="0"/>
          <w:lang w:val="en-US" w:eastAsia="en-US"/>
        </w:rPr>
        <w:t xml:space="preserve"> </w:t>
      </w:r>
      <w:r w:rsidR="00896AA5" w:rsidRPr="00896AA5">
        <w:rPr>
          <w:lang w:val="en-US"/>
        </w:rPr>
        <w:t>This analysis helps identify common error types and limitations</w:t>
      </w:r>
      <w:r w:rsidR="00896AA5">
        <w:rPr>
          <w:lang w:val="en-US"/>
        </w:rPr>
        <w:t>.</w:t>
      </w:r>
    </w:p>
    <w:p w14:paraId="1ACBF2B6" w14:textId="50835160" w:rsidR="00896AA5" w:rsidRDefault="00896AA5" w:rsidP="00896AA5">
      <w:pPr>
        <w:pStyle w:val="BodyText"/>
        <w:rPr>
          <w:lang w:val="en-US"/>
        </w:rPr>
      </w:pPr>
      <w:r w:rsidRPr="00896AA5">
        <w:rPr>
          <w:b/>
          <w:bCs/>
          <w:lang w:val="en-US"/>
        </w:rPr>
        <w:t>Context-Dependent Diacritics:</w:t>
      </w:r>
      <w:r>
        <w:rPr>
          <w:lang w:val="en-US"/>
        </w:rPr>
        <w:t xml:space="preserve"> </w:t>
      </w:r>
      <w:r w:rsidR="0097217E" w:rsidRPr="0097217E">
        <w:rPr>
          <w:lang w:val="en-US"/>
        </w:rPr>
        <w:t xml:space="preserve">For diacritization, common errors included vowel substitutions or omissions, with </w:t>
      </w:r>
      <w:r w:rsidR="0097217E" w:rsidRPr="008033BE">
        <w:rPr>
          <w:i/>
          <w:iCs/>
          <w:lang w:val="en-US"/>
        </w:rPr>
        <w:t>Fatha</w:t>
      </w:r>
      <w:r w:rsidR="0097217E" w:rsidRPr="0097217E">
        <w:rPr>
          <w:lang w:val="en-US"/>
        </w:rPr>
        <w:t xml:space="preserve"> being particularly frequent (44% of diacritics in samples) due to its high occurrence and morphological ambiguity. The distinction between DER including and </w:t>
      </w:r>
      <w:r w:rsidR="0097217E" w:rsidRPr="0097217E">
        <w:rPr>
          <w:lang w:val="en-US"/>
        </w:rPr>
        <w:t xml:space="preserve">excluding the last letter's diacritic (1.93% </w:t>
      </w:r>
      <w:r w:rsidR="0097217E" w:rsidRPr="004C4FF4">
        <w:rPr>
          <w:i/>
          <w:iCs/>
          <w:lang w:val="en-US"/>
        </w:rPr>
        <w:t>vs</w:t>
      </w:r>
      <w:r w:rsidR="0097217E" w:rsidRPr="0097217E">
        <w:rPr>
          <w:lang w:val="en-US"/>
        </w:rPr>
        <w:t>. 1.32% respectively) highlights the specific challenge of predicting terminal diacritics</w:t>
      </w:r>
      <w:r>
        <w:rPr>
          <w:lang w:val="en-US"/>
        </w:rPr>
        <w:t xml:space="preserve">, </w:t>
      </w:r>
      <w:r w:rsidRPr="00896AA5">
        <w:rPr>
          <w:lang w:val="en-US"/>
        </w:rPr>
        <w:t>which are highly context-dependent and require deep syntactic understanding</w:t>
      </w:r>
      <w:r>
        <w:rPr>
          <w:lang w:val="en-US"/>
        </w:rPr>
        <w:t>.</w:t>
      </w:r>
    </w:p>
    <w:p w14:paraId="2873A45F" w14:textId="2023CFE4" w:rsidR="00F7302D" w:rsidRDefault="00F7302D" w:rsidP="00F7302D">
      <w:pPr>
        <w:pStyle w:val="BodyText"/>
        <w:rPr>
          <w:lang w:val="en-US"/>
        </w:rPr>
      </w:pPr>
      <w:r w:rsidRPr="00F7302D">
        <w:rPr>
          <w:b/>
          <w:bCs/>
          <w:lang w:val="en-US"/>
        </w:rPr>
        <w:t>Morphological and Orthographic Confusion:</w:t>
      </w:r>
      <w:r>
        <w:rPr>
          <w:lang w:val="en-US"/>
        </w:rPr>
        <w:t xml:space="preserve"> </w:t>
      </w:r>
      <w:r w:rsidR="0097217E" w:rsidRPr="0097217E">
        <w:rPr>
          <w:lang w:val="en-US"/>
        </w:rPr>
        <w:t>Character-level corrections, regardless of diacritics, revealed a CER of 4.41%, with punctuation marks (especially commas, accounting for 65% of punctuation errors) contributing significantly</w:t>
      </w:r>
      <w:r w:rsidRPr="00F7302D">
        <w:rPr>
          <w:lang w:val="en-US"/>
        </w:rPr>
        <w:t>, which the model sometimes added or omitted incorrectly. Other errors included confusion between similar morphemes or failure to correct subtle spelling errors that were not represented in the synthetic error injection.</w:t>
      </w:r>
    </w:p>
    <w:p w14:paraId="27A92E9D" w14:textId="5065D589" w:rsidR="0097217E" w:rsidRDefault="00F7302D" w:rsidP="003516FB">
      <w:pPr>
        <w:pStyle w:val="BodyText"/>
        <w:rPr>
          <w:lang w:val="en-US"/>
        </w:rPr>
      </w:pPr>
      <w:r w:rsidRPr="00F7302D">
        <w:rPr>
          <w:b/>
          <w:bCs/>
          <w:lang w:val="en-US"/>
        </w:rPr>
        <w:t>Dialectal Lexical Gaps:</w:t>
      </w:r>
      <w:r>
        <w:rPr>
          <w:lang w:val="en-US"/>
        </w:rPr>
        <w:t xml:space="preserve"> </w:t>
      </w:r>
      <w:r w:rsidR="003516FB">
        <w:rPr>
          <w:lang w:val="en-US"/>
        </w:rPr>
        <w:t>As expected</w:t>
      </w:r>
      <w:r w:rsidR="0097217E" w:rsidRPr="0097217E">
        <w:rPr>
          <w:lang w:val="en-US"/>
        </w:rPr>
        <w:t>, samples with Jordanian dialect input were considerably more prone to character-level mistakes (55.99% having one or more errors) compared to errored-MSA input (37.35%).</w:t>
      </w:r>
      <w:r w:rsidR="003516FB">
        <w:rPr>
          <w:lang w:val="en-US"/>
        </w:rPr>
        <w:t xml:space="preserve"> </w:t>
      </w:r>
      <w:r w:rsidR="003516FB" w:rsidRPr="003516FB">
        <w:rPr>
          <w:lang w:val="en-US"/>
        </w:rPr>
        <w:t>This is evident in Example 4 (</w:t>
      </w:r>
      <w:r w:rsidR="000D33D7">
        <w:rPr>
          <w:lang w:val="en-US"/>
        </w:rPr>
        <w:fldChar w:fldCharType="begin"/>
      </w:r>
      <w:r w:rsidR="000D33D7">
        <w:rPr>
          <w:lang w:val="en-US"/>
        </w:rPr>
        <w:instrText xml:space="preserve"> REF _Ref204795684 \h  \* MERGEFORMAT </w:instrText>
      </w:r>
      <w:r w:rsidR="000D33D7">
        <w:rPr>
          <w:lang w:val="en-US"/>
        </w:rPr>
      </w:r>
      <w:r w:rsidR="000D33D7">
        <w:rPr>
          <w:lang w:val="en-US"/>
        </w:rPr>
        <w:fldChar w:fldCharType="separate"/>
      </w:r>
      <w:r w:rsidR="000D33D7" w:rsidRPr="000D33D7">
        <w:rPr>
          <w:lang w:val="en-US"/>
        </w:rPr>
        <w:t>Table III</w:t>
      </w:r>
      <w:r w:rsidR="000D33D7">
        <w:rPr>
          <w:lang w:val="en-US"/>
        </w:rPr>
        <w:fldChar w:fldCharType="end"/>
      </w:r>
      <w:r w:rsidR="003516FB" w:rsidRPr="003516FB">
        <w:rPr>
          <w:lang w:val="en-US"/>
        </w:rPr>
        <w:t>), where the model failed to translate the dialectal phrase "</w:t>
      </w:r>
      <w:r w:rsidR="003516FB">
        <w:rPr>
          <w:rFonts w:hint="cs"/>
          <w:rtl/>
          <w:lang w:val="en-US"/>
        </w:rPr>
        <w:t>طلاب الأدبي</w:t>
      </w:r>
      <w:r w:rsidR="003516FB" w:rsidRPr="003516FB">
        <w:rPr>
          <w:lang w:val="en-US"/>
        </w:rPr>
        <w:t>" (literary stream students) and "</w:t>
      </w:r>
      <w:r w:rsidR="0097004E">
        <w:rPr>
          <w:rFonts w:hint="cs"/>
          <w:rtl/>
          <w:lang w:val="en-US"/>
        </w:rPr>
        <w:t>بحفظو</w:t>
      </w:r>
      <w:r w:rsidR="003516FB" w:rsidRPr="003516FB">
        <w:rPr>
          <w:lang w:val="en-US"/>
        </w:rPr>
        <w:t>" (they memorize) correctly, resulting in an ungrammatical MSA fragment. This points to dialectal lexical gaps in the training data, where the model lacks sufficient examples to map a specific dialectal term to its MSA equivalent.</w:t>
      </w:r>
    </w:p>
    <w:p w14:paraId="7452B13A" w14:textId="32A00A38" w:rsidR="0097217E" w:rsidRDefault="00333507" w:rsidP="0097217E">
      <w:pPr>
        <w:pStyle w:val="BodyText"/>
        <w:rPr>
          <w:lang w:val="en-US"/>
        </w:rPr>
      </w:pPr>
      <w:r w:rsidRPr="00333507">
        <w:rPr>
          <w:lang w:val="en-US"/>
        </w:rPr>
        <w:t>A comparison with ChatGPT</w:t>
      </w:r>
      <w:r w:rsidR="004C4FF4">
        <w:rPr>
          <w:lang w:val="en-US"/>
        </w:rPr>
        <w:t>’</w:t>
      </w:r>
      <w:r w:rsidRPr="00333507">
        <w:rPr>
          <w:lang w:val="en-US"/>
        </w:rPr>
        <w:t xml:space="preserve">s GPT-4.1 model was </w:t>
      </w:r>
      <w:r w:rsidR="004C4FF4" w:rsidRPr="00333507">
        <w:rPr>
          <w:lang w:val="en-US"/>
        </w:rPr>
        <w:t>made</w:t>
      </w:r>
      <w:r w:rsidRPr="00333507">
        <w:rPr>
          <w:lang w:val="en-US"/>
        </w:rPr>
        <w:t xml:space="preserve"> on a stratified subset of 50 samples. Our model showed competitive character-level correction with a CER of 5.42%, closely matching GPT-4.1</w:t>
      </w:r>
      <w:r w:rsidR="004C4FF4">
        <w:rPr>
          <w:lang w:val="en-US"/>
        </w:rPr>
        <w:t>’</w:t>
      </w:r>
      <w:r w:rsidRPr="00333507">
        <w:rPr>
          <w:lang w:val="en-US"/>
        </w:rPr>
        <w:t>s 5.07%. However, GPT-4.1 significantly outperformed our model in diacritization, achieving a DER of 0.47% compared to our model</w:t>
      </w:r>
      <w:r w:rsidR="004C4FF4">
        <w:rPr>
          <w:lang w:val="en-US"/>
        </w:rPr>
        <w:t>’</w:t>
      </w:r>
      <w:r w:rsidRPr="00333507">
        <w:rPr>
          <w:lang w:val="en-US"/>
        </w:rPr>
        <w:t>s 2.59%. This indicates our model</w:t>
      </w:r>
      <w:r w:rsidR="004C4FF4">
        <w:rPr>
          <w:lang w:val="en-US"/>
        </w:rPr>
        <w:t>’</w:t>
      </w:r>
      <w:r w:rsidRPr="00333507">
        <w:rPr>
          <w:lang w:val="en-US"/>
        </w:rPr>
        <w:t>s strength in character-level corrections and suggests substantial room for improvement in diacritization accuracy compared to leading LLMs</w:t>
      </w:r>
      <w:r w:rsidR="0097217E" w:rsidRPr="0097217E">
        <w:rPr>
          <w:lang w:val="en-US"/>
        </w:rPr>
        <w:t>.</w:t>
      </w:r>
    </w:p>
    <w:p w14:paraId="10BE4D46" w14:textId="09084FA7" w:rsidR="003D74AB" w:rsidRPr="00DD4B4D" w:rsidRDefault="00DD04A7" w:rsidP="00DD04A7">
      <w:pPr>
        <w:pStyle w:val="Heading2"/>
        <w:rPr>
          <w:lang w:val="x-none"/>
        </w:rPr>
      </w:pPr>
      <w:r w:rsidRPr="00DD4B4D">
        <w:t>Factors Influencing Performance and Limitations</w:t>
      </w:r>
    </w:p>
    <w:p w14:paraId="542EF614" w14:textId="77777777" w:rsidR="00EB4F6F" w:rsidRDefault="00DD04A7" w:rsidP="00A105F3">
      <w:pPr>
        <w:pStyle w:val="BodyText"/>
        <w:rPr>
          <w:lang w:val="en-US"/>
        </w:rPr>
      </w:pPr>
      <w:r w:rsidRPr="00DD04A7">
        <w:rPr>
          <w:lang w:val="en-US"/>
        </w:rPr>
        <w:t xml:space="preserve">Despite the strong overall performance, particularly on formal Arabic, significant room for improvement remains, especially concerning sentences in the Jordanian dialect. This limitation is primarily attributed to the lack of sufficient and balanced Jordanian dialect data within our training set. Furthermore, the reliance on machine-generated diacritics in the JODA dataset introduced a certain percentage of inherent diacritic errors into the reference data. Another significant challenge, particularly for diacritization accuracy, was the dominant presence of </w:t>
      </w:r>
      <w:r w:rsidR="004C4FF4">
        <w:rPr>
          <w:i/>
          <w:iCs/>
          <w:lang w:val="en-US"/>
        </w:rPr>
        <w:t>f</w:t>
      </w:r>
      <w:r w:rsidRPr="0055563A">
        <w:rPr>
          <w:i/>
          <w:iCs/>
          <w:lang w:val="en-US"/>
        </w:rPr>
        <w:t>atha</w:t>
      </w:r>
      <w:r w:rsidRPr="00DD04A7">
        <w:rPr>
          <w:lang w:val="en-US"/>
        </w:rPr>
        <w:t xml:space="preserve"> diacritics, leading to an unbalanced distribution of diacritics. This highlights the need for more balanced diacritic representation in future training datasets. </w:t>
      </w:r>
    </w:p>
    <w:p w14:paraId="4CBCB7C6" w14:textId="77777777" w:rsidR="00EB4F6F" w:rsidRDefault="00EB4F6F" w:rsidP="00EB4F6F">
      <w:pPr>
        <w:pStyle w:val="BodyText"/>
        <w:rPr>
          <w:lang w:val="en-US"/>
        </w:rPr>
      </w:pPr>
      <w:r w:rsidRPr="00EB4F6F">
        <w:rPr>
          <w:lang w:val="en-US"/>
        </w:rPr>
        <w:t xml:space="preserve">A key limitation of this study is the lack of dialectal generalization analysis. Our model is heavily focused on Jordanian Arabic, and it is unclear how well it would generalize to other diverse dialects (e.g., Egyptian, Gulf, Maghrebi). While the byte-level approach may offer better transferability than token-based models by avoiding OOV issues, it is expected that performance would degrade on dialects with significant lexical and grammatical divergence from both MSA and Jordanian. </w:t>
      </w:r>
      <w:r w:rsidRPr="009F3FE8">
        <w:rPr>
          <w:lang w:val="en-US"/>
        </w:rPr>
        <w:t>Evaluating and adapting the model for other dialects remains a critical area for future work.</w:t>
      </w:r>
      <w:r>
        <w:rPr>
          <w:lang w:val="en-US"/>
        </w:rPr>
        <w:t xml:space="preserve"> </w:t>
      </w:r>
    </w:p>
    <w:p w14:paraId="4CE1C383" w14:textId="75A0D1C9" w:rsidR="0097217E" w:rsidRDefault="00DD04A7" w:rsidP="00EB4F6F">
      <w:pPr>
        <w:pStyle w:val="BodyText"/>
        <w:rPr>
          <w:lang w:val="en-US"/>
        </w:rPr>
      </w:pPr>
      <w:r w:rsidRPr="00DD04A7">
        <w:rPr>
          <w:lang w:val="en-US"/>
        </w:rPr>
        <w:t>Finally,</w:t>
      </w:r>
      <w:r w:rsidR="00EB4F6F" w:rsidRPr="00EB4F6F">
        <w:rPr>
          <w:lang w:val="en-US"/>
        </w:rPr>
        <w:t xml:space="preserve"> computational resource limitations restricted us to experimenting solely with the ByT5-Base model size, preventing the exploration of larger ByT5 configurations (e.g., ByT5-Large or ByT5-XL), which have demonstrated superior performance on other tasks [18].</w:t>
      </w:r>
    </w:p>
    <w:p w14:paraId="4DF53EA6" w14:textId="7FCB080F" w:rsidR="004F089B" w:rsidRPr="00DD4B4D" w:rsidRDefault="004F089B" w:rsidP="004F089B">
      <w:pPr>
        <w:pStyle w:val="Heading2"/>
      </w:pPr>
      <w:r w:rsidRPr="00DD4B4D">
        <w:lastRenderedPageBreak/>
        <w:t>Ethical Considerations</w:t>
      </w:r>
    </w:p>
    <w:p w14:paraId="43B33B42" w14:textId="60CD1168" w:rsidR="004F089B" w:rsidRPr="00A105F3" w:rsidRDefault="00A73E6E" w:rsidP="009D54C2">
      <w:pPr>
        <w:pStyle w:val="BodyText"/>
        <w:rPr>
          <w:lang w:val="en-US"/>
        </w:rPr>
      </w:pPr>
      <w:r w:rsidRPr="00A73E6E">
        <w:rPr>
          <w:lang w:val="en-US"/>
        </w:rPr>
        <w:t>The collection and utilization of dialectal data demand rigorous ethical scrutiny. Future initiatives involving data collection must prioritize obtaining user consent where feasible, ensuring fair compensation for annotators' linguistic expertise, and guaranteeing that resulting models do not marginalize or misrepresent specific dialect speakers. It is crucial for NLP research to strike a balance between developing effective normalization tools and preserving the rich linguistic diversity of Arabic dialects.</w:t>
      </w:r>
    </w:p>
    <w:p w14:paraId="1F7906FE" w14:textId="4B9EDE97" w:rsidR="00DD04A7" w:rsidRDefault="00DD04A7" w:rsidP="009721D9">
      <w:pPr>
        <w:pStyle w:val="Heading1"/>
        <w:ind w:firstLine="0"/>
      </w:pPr>
      <w:r>
        <w:t>Conclusion</w:t>
      </w:r>
    </w:p>
    <w:p w14:paraId="0661A2FF" w14:textId="775EDBEC" w:rsidR="00DD04A7" w:rsidRDefault="00DD04A7" w:rsidP="00DD04A7">
      <w:pPr>
        <w:pStyle w:val="BodyText"/>
        <w:rPr>
          <w:lang w:val="en-US"/>
        </w:rPr>
      </w:pPr>
      <w:r w:rsidRPr="00DD04A7">
        <w:rPr>
          <w:lang w:val="en-US"/>
        </w:rPr>
        <w:t>This research successfully addressed the MTL setup for the Arabic language within a single ByT5 model framework. We developed a unified model capable of orthographic correction (transforming Jordanian dialect or errored MSA into corrected MSA) and optional diacritization. The significance of this approach is underscored by the prevalence of spelling errors in Arabic text and the crucial role of diacritics in conveying intended meaning, with a single model facilitating readability and comprehension across text-based applications for both formal and colloquial Arabic. Through extensive experimentation, the JODA+Clean-400 dataset combination yielded the highest Evaluation Score of 78.06%</w:t>
      </w:r>
      <w:r w:rsidR="0055563A">
        <w:rPr>
          <w:lang w:val="en-US"/>
        </w:rPr>
        <w:t xml:space="preserve"> on the JODA test set</w:t>
      </w:r>
      <w:r w:rsidRPr="00DD04A7">
        <w:rPr>
          <w:lang w:val="en-US"/>
        </w:rPr>
        <w:t>. Furthermore, our manual linguistic evaluation, which accounted for linguistic nuances, provided a more accurate reflection of true performance (CER of 4.41%, DER of 1.32%) compared to automatic metrics, highlighting their limitations in capturing the complexities of dialectal Arabic.</w:t>
      </w:r>
    </w:p>
    <w:p w14:paraId="3667CF2F" w14:textId="7514C9BD" w:rsidR="00DD04A7" w:rsidRDefault="00DD04A7" w:rsidP="009721D9">
      <w:pPr>
        <w:pStyle w:val="Heading1"/>
        <w:ind w:firstLine="0"/>
      </w:pPr>
      <w:r>
        <w:t>Future Work</w:t>
      </w:r>
    </w:p>
    <w:p w14:paraId="4A80BFFF" w14:textId="3CAD93A6" w:rsidR="00F15EC6" w:rsidRPr="00F15EC6" w:rsidRDefault="00F15EC6" w:rsidP="00F15EC6">
      <w:pPr>
        <w:pStyle w:val="BodyText"/>
        <w:rPr>
          <w:lang w:val="en-US"/>
        </w:rPr>
      </w:pPr>
      <w:r w:rsidRPr="00F15EC6">
        <w:rPr>
          <w:lang w:val="en-US"/>
        </w:rPr>
        <w:t>This research opens several promising avenues for future exploration of unified MTL in Arabic and emphasizes the need for more sophisticated evaluation techniques.</w:t>
      </w:r>
    </w:p>
    <w:p w14:paraId="1D0E0D8A" w14:textId="6A06251D" w:rsidR="00F15EC6" w:rsidRPr="00F15EC6" w:rsidRDefault="00F15EC6" w:rsidP="00F15EC6">
      <w:pPr>
        <w:pStyle w:val="BodyText"/>
        <w:rPr>
          <w:lang w:val="en-US"/>
        </w:rPr>
      </w:pPr>
      <w:r w:rsidRPr="00F15EC6">
        <w:rPr>
          <w:lang w:val="en-US"/>
        </w:rPr>
        <w:t>A more precisely diacritized and extended version of the JODA dataset, potentially through data augmentation or conversion to a multi-reference parallel corpus, would be invaluable for further enhancing model performance, particularly for the Jordanian dialect.</w:t>
      </w:r>
    </w:p>
    <w:p w14:paraId="4FA46950" w14:textId="08CAB343" w:rsidR="00F15EC6" w:rsidRPr="00F15EC6" w:rsidRDefault="00F15EC6" w:rsidP="00F15EC6">
      <w:pPr>
        <w:pStyle w:val="BodyText"/>
        <w:rPr>
          <w:lang w:val="en-US"/>
        </w:rPr>
      </w:pPr>
      <w:r w:rsidRPr="00F15EC6">
        <w:rPr>
          <w:lang w:val="en-US"/>
        </w:rPr>
        <w:t>Evaluating and adapting the model for other dialects remains a critical area for future work. While our model focuses heavily on Jordanian Arabic, its generalizability to other diverse dialects (e.g., Egyptian, Gulf, Maghrebi) is an open question. Future efforts should assess and adapt the model to maintain high performance across varying dialectal regions. Exploring additional transfer learning techniques, such as incremental transfer learning [19], could also provide the model with a more nuanced understanding of new dialects.</w:t>
      </w:r>
    </w:p>
    <w:p w14:paraId="390C1D3F" w14:textId="71691081" w:rsidR="00FC79E8" w:rsidRPr="00DD04A7" w:rsidRDefault="00F15EC6" w:rsidP="00F15EC6">
      <w:pPr>
        <w:pStyle w:val="BodyText"/>
        <w:rPr>
          <w:lang w:val="en-US"/>
        </w:rPr>
      </w:pPr>
      <w:r w:rsidRPr="00F15EC6">
        <w:rPr>
          <w:lang w:val="en-US"/>
        </w:rPr>
        <w:t>Furthermore, developing more accurate automatic evaluation approaches that better align with human linguistic judgment remains a crucial area, aiming to reduce the gap between automatic and manual evaluation and potentially reducing the reliance on labor-intensive manual assessments.</w:t>
      </w:r>
    </w:p>
    <w:p w14:paraId="21523B97" w14:textId="77777777" w:rsidR="009303D9" w:rsidRDefault="009303D9" w:rsidP="00A059B3">
      <w:pPr>
        <w:pStyle w:val="Heading5"/>
      </w:pPr>
      <w:r w:rsidRPr="005B520E">
        <w:t>References</w:t>
      </w:r>
    </w:p>
    <w:p w14:paraId="667E908A" w14:textId="5C050303" w:rsidR="00100354" w:rsidRDefault="00100354" w:rsidP="00100354">
      <w:pPr>
        <w:pStyle w:val="references"/>
      </w:pPr>
      <w:r>
        <w:t>M. Bouhdima, "Arabic Language Maintenance in Western Countries," Preprints, 2022.</w:t>
      </w:r>
    </w:p>
    <w:p w14:paraId="207BD893" w14:textId="2A89BF01" w:rsidR="00100354" w:rsidRDefault="00DB5A53" w:rsidP="00100354">
      <w:pPr>
        <w:pStyle w:val="references"/>
      </w:pPr>
      <w:r w:rsidRPr="00DB5A53">
        <w:t>R. D. Hasan and G. A. Abandah, "Correcting Wide-Range of Arabic Spelling Mistakes Using Machine Learning and Transformers," in 2023 International Conference on Information Technology (ICIT), Aug. 2023, pp. 405-410.</w:t>
      </w:r>
    </w:p>
    <w:p w14:paraId="377E4381" w14:textId="0A0B5E9B" w:rsidR="00100354" w:rsidRPr="00A476E3" w:rsidRDefault="00A476E3" w:rsidP="00100354">
      <w:pPr>
        <w:pStyle w:val="references"/>
      </w:pPr>
      <w:r w:rsidRPr="00A476E3">
        <w:t>S. Alqudah, G. Abandah and A. Arabiyat, "Investigating hybrid approaches for Arabic text diacritization with recurrent neural networks," 2017 IEEE Jordan Conference on Applied Electrical Engineering and Computing Technologies (AEECT), Aqaba, Jordan, 2017, pp. 1-6, doi: 10.1109/AEECT.2017.8257765.</w:t>
      </w:r>
    </w:p>
    <w:p w14:paraId="01F07D17" w14:textId="411A2CF9" w:rsidR="00100354" w:rsidRDefault="00100354" w:rsidP="00100354">
      <w:pPr>
        <w:pStyle w:val="references"/>
      </w:pPr>
      <w:r>
        <w:t>M. Al-Ali and H. Arafa, "Language Variation in Jordanian Arabic," Buckingham J. Ling., vol. 3, 2010.</w:t>
      </w:r>
    </w:p>
    <w:p w14:paraId="01FB8AF0" w14:textId="10FFB400" w:rsidR="00100354" w:rsidRPr="00B47875" w:rsidRDefault="00B47875" w:rsidP="00100354">
      <w:pPr>
        <w:pStyle w:val="references"/>
      </w:pPr>
      <w:r w:rsidRPr="00B47875">
        <w:t>T. Alimi, R. Boujebane, W. Derouich, and L. Belguith, "Fine-tuned transformers for translating multi-dialect texts to Modern Standard Arabic," World Academy of Science, Engineering and Technology, International Journal of Cognitive and Language Sciences, vol. 18, no. 1, pp. 36–44, 2024. [Online]. Available: https://publications.waset.org/10013906.pdf</w:t>
      </w:r>
    </w:p>
    <w:p w14:paraId="2A0DD9C8" w14:textId="6C483966" w:rsidR="00100354" w:rsidRDefault="00194F42" w:rsidP="00100354">
      <w:pPr>
        <w:pStyle w:val="references"/>
      </w:pPr>
      <w:r w:rsidRPr="00194F42">
        <w:t>R. Al-Ibrahim and R. M. Duwairi, "Neural Machine Translation from Jordanian Dialect to Modern Standard Arabic," 2020 11th International Conference on Information and Communication Systems (ICICS), Irbid, Jordan, 2020, pp. 173-178, doi: 10.1109/ICICS49469.2020.239505.</w:t>
      </w:r>
    </w:p>
    <w:p w14:paraId="752E6D81" w14:textId="2EA967F3" w:rsidR="00100354" w:rsidRDefault="00A60F64" w:rsidP="00100354">
      <w:pPr>
        <w:pStyle w:val="references"/>
      </w:pPr>
      <w:r w:rsidRPr="00A60F64">
        <w:t>M. Al-Qaraghuli and O. A. Jaafar, "Arabic soft spelling correction with T5," Jordanian Journal of Computers and Information Technology, vol. 10, no. 1, 2024.</w:t>
      </w:r>
    </w:p>
    <w:p w14:paraId="481D7272" w14:textId="624D1250" w:rsidR="009303D9" w:rsidRDefault="00841A65" w:rsidP="00841A65">
      <w:pPr>
        <w:pStyle w:val="references"/>
      </w:pPr>
      <w:r>
        <w:t>G</w:t>
      </w:r>
      <w:r w:rsidRPr="00841A65">
        <w:t>. Abandah, A. Suyyagh, and M. Z. Khedher, "Correcting Arabic soft  spelling mistakes using BiLSTM-based machine learning," International Journal of Advanced Computer Science and Applications, vol. 13, no. 5, 2022.</w:t>
      </w:r>
    </w:p>
    <w:p w14:paraId="5692828B" w14:textId="4EA02115" w:rsidR="009F6081" w:rsidRDefault="009F6081" w:rsidP="00841A65">
      <w:pPr>
        <w:pStyle w:val="references"/>
      </w:pPr>
      <w:r w:rsidRPr="009F6081">
        <w:t>B. Al-Rfooh, G. Abandah and R. Al-Rfou, "Fine-Tashkeel: Fine-Tuning Byte-Level Models for Accurate Arabic Text Diacritization," 2023 IEEE Jordan International Joint Conference on Electrical Engineering and Information Technology (JEEIT), Amman, Jordan, 2023, pp. 199-204, doi: 10.1109/JEEIT58638.2023.10185725.</w:t>
      </w:r>
    </w:p>
    <w:p w14:paraId="55C0EF5F" w14:textId="13FCB914" w:rsidR="000C1F80" w:rsidRDefault="000C1F80" w:rsidP="00841A65">
      <w:pPr>
        <w:pStyle w:val="references"/>
      </w:pPr>
      <w:r w:rsidRPr="000C1F80">
        <w:t>A. Skiredj and I. Berrada, "Arabic text diacritization in the age of transfer learning: Token classification is all you need," arXiv preprint arXiv:2401.04848, 2024.</w:t>
      </w:r>
    </w:p>
    <w:p w14:paraId="3E2D6227" w14:textId="4B97DC6D" w:rsidR="00C41570" w:rsidRDefault="00C41570" w:rsidP="00841A65">
      <w:pPr>
        <w:pStyle w:val="references"/>
      </w:pPr>
      <w:r w:rsidRPr="00C41570">
        <w:t>A. N. Almajdoubah, G. A. Abandah and A. E. Suvvagh, "Investigating Recurrent Neural Networks for Diacritizing Arabic Text and Correcting Soft Spelling Mistakes," 2021 IEEE Jordan International Joint Conference on Electrical Engineering and Information Technology (JEEIT), Amman, Jordan, 2021, pp. 266-271, doi: 10.1109/JEEIT53412.2021.9634126.</w:t>
      </w:r>
    </w:p>
    <w:p w14:paraId="44FCDEDC" w14:textId="5F5AABDA" w:rsidR="008E7442" w:rsidRDefault="008E7442" w:rsidP="00841A65">
      <w:pPr>
        <w:pStyle w:val="references"/>
      </w:pPr>
      <w:r w:rsidRPr="008E7442">
        <w:t>L. Stankevičius, M. Lukoševičius, J. Kapočiūtė-Dzikienė, M. Briedienė, and T. Krilavičius, "Correcting diacritics and typos with a ByT5 transformer model," Applied Sciences, vol. 12, no. 5, p. 2636, 2022.</w:t>
      </w:r>
    </w:p>
    <w:p w14:paraId="4DBFF183" w14:textId="7DFCC544" w:rsidR="00EA129C" w:rsidRDefault="00EA129C" w:rsidP="00841A65">
      <w:pPr>
        <w:pStyle w:val="references"/>
      </w:pPr>
      <w:r w:rsidRPr="00EA129C">
        <w:t>T. Zerrouki and A. Balla, "Tashkeela: Novel corpus of Arabic vocalized texts, data for auto-diacritization systems," Data in Brief, vol. 11, pp. 147–150, 2017.</w:t>
      </w:r>
    </w:p>
    <w:p w14:paraId="0A8322C8" w14:textId="17B17726" w:rsidR="00EA129C" w:rsidRDefault="00EA129C" w:rsidP="00841A65">
      <w:pPr>
        <w:pStyle w:val="references"/>
      </w:pPr>
      <w:r w:rsidRPr="00EA129C">
        <w:t>A. Fadel, I. Tuffaha, and M. Al-Ayyoub, "Arabic text diacritization using deep neural networks," in Proc. 2nd Int. Conf. Computer Applications &amp; Information Security (ICCAIS), Riyadh, Saudi Arabia, May 2019, pp. 1–7.</w:t>
      </w:r>
    </w:p>
    <w:p w14:paraId="22577E8C" w14:textId="4FEA0980" w:rsidR="007C3A15" w:rsidRDefault="007C3A15" w:rsidP="00841A65">
      <w:pPr>
        <w:pStyle w:val="references"/>
      </w:pPr>
      <w:r w:rsidRPr="007C3A15">
        <w:t>A. A. Karim and G. Abandah, "On the training of deep neural networks for automatic Arabic-text diacritization," Int. J. Adv. Comput. Sci. Appl., vol. 12, no. 8, 2021.</w:t>
      </w:r>
    </w:p>
    <w:p w14:paraId="7A8C929F" w14:textId="4CB10E1F" w:rsidR="00895104" w:rsidRPr="00F2023C" w:rsidRDefault="008757EA" w:rsidP="00841A65">
      <w:pPr>
        <w:pStyle w:val="references"/>
      </w:pPr>
      <w:r w:rsidRPr="00F2023C">
        <w:t>G. Abandah, M. Khaleel, I. Jafar, M. Abdel-Majeed, Y. Hamdan, A. Suyyagh, A. Abdel-Karim, and S. AlAwawdeh, "Jordanian Arabic to Modern Standard Arabic Translation Using a Large Model Tuned on a Purpose-Built Dataset and Synthetic Error Injection," Jordanian Journal of Computers and Information Technology (JJCIT), vol. 11, no. 3, pp. 319–335, Sep. 2025</w:t>
      </w:r>
      <w:r w:rsidR="00895104" w:rsidRPr="00F2023C">
        <w:t>.</w:t>
      </w:r>
    </w:p>
    <w:p w14:paraId="4C150E7B" w14:textId="20E678B0" w:rsidR="00297B9D" w:rsidRDefault="00297B9D" w:rsidP="00841A65">
      <w:pPr>
        <w:pStyle w:val="references"/>
      </w:pPr>
      <w:r w:rsidRPr="00297B9D">
        <w:t>M. R. Khaleel and G. A. Abandah, "Efficient Stochastic Error Injection for Optimizing Large Language Models in Arabic Spelling Correction," in Proc. 2025 Int. Conf. on New Trends in Computing Sciences (ICTCS), Apr. 2025, pp. 505–510.</w:t>
      </w:r>
    </w:p>
    <w:p w14:paraId="7549F1CA" w14:textId="0492AE84" w:rsidR="00836367" w:rsidRPr="003E2050" w:rsidRDefault="006353A7" w:rsidP="003E2050">
      <w:pPr>
        <w:pStyle w:val="references"/>
      </w:pPr>
      <w:r w:rsidRPr="006353A7">
        <w:t>L. Xue, A. Barua, N. Constant, R. Al-Rfou, S. Narang, M. Kale, et al., "ByT5: Towards a token-free future with pre-trained byte-to-byte models," Trans. Assoc. Comput. Linguist., vol. 10, pp. 291–306, 2022.</w:t>
      </w:r>
    </w:p>
    <w:p w14:paraId="2DBADCB7" w14:textId="77777777" w:rsidR="003E2050" w:rsidRPr="00E97E7E" w:rsidRDefault="003E2050" w:rsidP="003E2050">
      <w:pPr>
        <w:pStyle w:val="references"/>
      </w:pPr>
      <w:r w:rsidRPr="00E97E7E">
        <w:t>A. Slim and A. Melouah, "Low-resource Arabic dialects transformer neural machine translation improvement through incremental transfer of shared linguistic features," Arabian Journal for Science and Engineering, vol. 49, no. 9, pp. 12393–12409, 2024.</w:t>
      </w:r>
    </w:p>
    <w:p w14:paraId="2CBC4D6A" w14:textId="236A6D38" w:rsidR="003E2050" w:rsidRPr="003E2050" w:rsidRDefault="003E2050" w:rsidP="003E2050">
      <w:pPr>
        <w:pStyle w:val="references"/>
        <w:numPr>
          <w:ilvl w:val="0"/>
          <w:numId w:val="0"/>
        </w:numPr>
        <w:spacing w:line="240" w:lineRule="auto"/>
        <w:rPr>
          <w:rFonts w:eastAsia="SimSun"/>
          <w:b/>
          <w:noProof w:val="0"/>
          <w:color w:val="FF0000"/>
          <w:spacing w:val="-1"/>
          <w:sz w:val="20"/>
          <w:szCs w:val="20"/>
          <w:lang w:eastAsia="x-none"/>
        </w:rPr>
        <w:sectPr w:rsidR="003E2050" w:rsidRPr="003E2050" w:rsidSect="003B4E04">
          <w:type w:val="continuous"/>
          <w:pgSz w:w="11906" w:h="16838" w:code="9"/>
          <w:pgMar w:top="1080" w:right="907" w:bottom="1440" w:left="907" w:header="720" w:footer="720" w:gutter="0"/>
          <w:cols w:num="2" w:space="360"/>
          <w:docGrid w:linePitch="360"/>
        </w:sectPr>
      </w:pPr>
    </w:p>
    <w:p w14:paraId="4EF2B8B8" w14:textId="6FD22388"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0EFC" w14:textId="77777777" w:rsidR="00D37056" w:rsidRDefault="00D37056" w:rsidP="001A3B3D">
      <w:r>
        <w:separator/>
      </w:r>
    </w:p>
  </w:endnote>
  <w:endnote w:type="continuationSeparator" w:id="0">
    <w:p w14:paraId="70705BFE" w14:textId="77777777" w:rsidR="00D37056" w:rsidRDefault="00D3705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AFDE" w14:textId="77777777" w:rsidR="00D37056" w:rsidRDefault="00D37056" w:rsidP="001A3B3D">
      <w:r>
        <w:separator/>
      </w:r>
    </w:p>
  </w:footnote>
  <w:footnote w:type="continuationSeparator" w:id="0">
    <w:p w14:paraId="3B6DE48B" w14:textId="77777777" w:rsidR="00D37056" w:rsidRDefault="00D3705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C49BF"/>
    <w:multiLevelType w:val="hybridMultilevel"/>
    <w:tmpl w:val="D7BE217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08F25DAD"/>
    <w:multiLevelType w:val="hybridMultilevel"/>
    <w:tmpl w:val="1E248F76"/>
    <w:lvl w:ilvl="0" w:tplc="E1E476A4">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C56B6D"/>
    <w:multiLevelType w:val="hybridMultilevel"/>
    <w:tmpl w:val="A678C28A"/>
    <w:lvl w:ilvl="0" w:tplc="8B7EC99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74AD2"/>
    <w:multiLevelType w:val="hybridMultilevel"/>
    <w:tmpl w:val="2C20395C"/>
    <w:lvl w:ilvl="0" w:tplc="D1E259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2DF0419"/>
    <w:multiLevelType w:val="hybridMultilevel"/>
    <w:tmpl w:val="A0C89D9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5CF15374"/>
    <w:multiLevelType w:val="hybridMultilevel"/>
    <w:tmpl w:val="9D4A8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30E2B9B"/>
    <w:multiLevelType w:val="hybridMultilevel"/>
    <w:tmpl w:val="DFCAD3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69909383">
    <w:abstractNumId w:val="17"/>
  </w:num>
  <w:num w:numId="2" w16cid:durableId="568543031">
    <w:abstractNumId w:val="25"/>
  </w:num>
  <w:num w:numId="3" w16cid:durableId="1207790780">
    <w:abstractNumId w:val="16"/>
  </w:num>
  <w:num w:numId="4" w16cid:durableId="629168631">
    <w:abstractNumId w:val="19"/>
  </w:num>
  <w:num w:numId="5" w16cid:durableId="1032806882">
    <w:abstractNumId w:val="19"/>
  </w:num>
  <w:num w:numId="6" w16cid:durableId="1614826021">
    <w:abstractNumId w:val="19"/>
  </w:num>
  <w:num w:numId="7" w16cid:durableId="1871990542">
    <w:abstractNumId w:val="19"/>
  </w:num>
  <w:num w:numId="8" w16cid:durableId="2088458160">
    <w:abstractNumId w:val="22"/>
  </w:num>
  <w:num w:numId="9" w16cid:durableId="231694775">
    <w:abstractNumId w:val="26"/>
  </w:num>
  <w:num w:numId="10" w16cid:durableId="2126189682">
    <w:abstractNumId w:val="18"/>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0"/>
  </w:num>
  <w:num w:numId="25" w16cid:durableId="257106239">
    <w:abstractNumId w:val="22"/>
  </w:num>
  <w:num w:numId="26" w16cid:durableId="575483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265493">
    <w:abstractNumId w:val="19"/>
  </w:num>
  <w:num w:numId="28" w16cid:durableId="359016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5013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5005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191184">
    <w:abstractNumId w:val="19"/>
  </w:num>
  <w:num w:numId="32" w16cid:durableId="1790665299">
    <w:abstractNumId w:val="19"/>
  </w:num>
  <w:num w:numId="33" w16cid:durableId="297415094">
    <w:abstractNumId w:val="19"/>
  </w:num>
  <w:num w:numId="34" w16cid:durableId="170216616">
    <w:abstractNumId w:val="19"/>
  </w:num>
  <w:num w:numId="35" w16cid:durableId="442384971">
    <w:abstractNumId w:val="19"/>
  </w:num>
  <w:num w:numId="36" w16cid:durableId="827864334">
    <w:abstractNumId w:val="19"/>
  </w:num>
  <w:num w:numId="37" w16cid:durableId="479733334">
    <w:abstractNumId w:val="19"/>
  </w:num>
  <w:num w:numId="38" w16cid:durableId="656499329">
    <w:abstractNumId w:val="19"/>
  </w:num>
  <w:num w:numId="39" w16cid:durableId="1390960070">
    <w:abstractNumId w:val="19"/>
  </w:num>
  <w:num w:numId="40" w16cid:durableId="2147359220">
    <w:abstractNumId w:val="24"/>
  </w:num>
  <w:num w:numId="41" w16cid:durableId="1395544698">
    <w:abstractNumId w:val="19"/>
  </w:num>
  <w:num w:numId="42" w16cid:durableId="996884882">
    <w:abstractNumId w:val="19"/>
  </w:num>
  <w:num w:numId="43" w16cid:durableId="109595941">
    <w:abstractNumId w:val="19"/>
  </w:num>
  <w:num w:numId="44" w16cid:durableId="122816080">
    <w:abstractNumId w:val="15"/>
  </w:num>
  <w:num w:numId="45" w16cid:durableId="1985500118">
    <w:abstractNumId w:val="12"/>
  </w:num>
  <w:num w:numId="46" w16cid:durableId="170486793">
    <w:abstractNumId w:val="19"/>
  </w:num>
  <w:num w:numId="47" w16cid:durableId="1598564851">
    <w:abstractNumId w:val="19"/>
  </w:num>
  <w:num w:numId="48" w16cid:durableId="588781828">
    <w:abstractNumId w:val="21"/>
  </w:num>
  <w:num w:numId="49" w16cid:durableId="336232204">
    <w:abstractNumId w:val="23"/>
  </w:num>
  <w:num w:numId="50" w16cid:durableId="1369838823">
    <w:abstractNumId w:val="11"/>
  </w:num>
  <w:num w:numId="51" w16cid:durableId="6353060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5C4"/>
    <w:rsid w:val="00017451"/>
    <w:rsid w:val="00030ABB"/>
    <w:rsid w:val="0004781E"/>
    <w:rsid w:val="0008758A"/>
    <w:rsid w:val="00095F93"/>
    <w:rsid w:val="000A1DE2"/>
    <w:rsid w:val="000B3073"/>
    <w:rsid w:val="000C1E68"/>
    <w:rsid w:val="000C1F80"/>
    <w:rsid w:val="000C4731"/>
    <w:rsid w:val="000D33D7"/>
    <w:rsid w:val="000D3658"/>
    <w:rsid w:val="000D76E1"/>
    <w:rsid w:val="000E07A0"/>
    <w:rsid w:val="000E1B61"/>
    <w:rsid w:val="000E7855"/>
    <w:rsid w:val="000F28FB"/>
    <w:rsid w:val="000F503F"/>
    <w:rsid w:val="000F5D1B"/>
    <w:rsid w:val="00100354"/>
    <w:rsid w:val="00104AEE"/>
    <w:rsid w:val="00130239"/>
    <w:rsid w:val="0013028D"/>
    <w:rsid w:val="00133A37"/>
    <w:rsid w:val="0015374B"/>
    <w:rsid w:val="00173E53"/>
    <w:rsid w:val="0017696C"/>
    <w:rsid w:val="00176FB4"/>
    <w:rsid w:val="00184163"/>
    <w:rsid w:val="00186DB2"/>
    <w:rsid w:val="00191957"/>
    <w:rsid w:val="00194F42"/>
    <w:rsid w:val="001A2EFD"/>
    <w:rsid w:val="001A3B3D"/>
    <w:rsid w:val="001B11D4"/>
    <w:rsid w:val="001B67DC"/>
    <w:rsid w:val="001B685F"/>
    <w:rsid w:val="001C2D77"/>
    <w:rsid w:val="001E79ED"/>
    <w:rsid w:val="00224496"/>
    <w:rsid w:val="002254A9"/>
    <w:rsid w:val="00233D97"/>
    <w:rsid w:val="002347A2"/>
    <w:rsid w:val="00240DBE"/>
    <w:rsid w:val="00256C27"/>
    <w:rsid w:val="002712DE"/>
    <w:rsid w:val="00282189"/>
    <w:rsid w:val="00283D8C"/>
    <w:rsid w:val="002850E3"/>
    <w:rsid w:val="00297B9D"/>
    <w:rsid w:val="002A664A"/>
    <w:rsid w:val="002A72A0"/>
    <w:rsid w:val="002B10F6"/>
    <w:rsid w:val="002B4654"/>
    <w:rsid w:val="002C140B"/>
    <w:rsid w:val="002D75F8"/>
    <w:rsid w:val="002E10DE"/>
    <w:rsid w:val="002E6C8B"/>
    <w:rsid w:val="002F66B3"/>
    <w:rsid w:val="002F71A2"/>
    <w:rsid w:val="00301D5D"/>
    <w:rsid w:val="0030453C"/>
    <w:rsid w:val="00305AE5"/>
    <w:rsid w:val="00322E3D"/>
    <w:rsid w:val="00326166"/>
    <w:rsid w:val="00333507"/>
    <w:rsid w:val="0033431F"/>
    <w:rsid w:val="00342281"/>
    <w:rsid w:val="003516FB"/>
    <w:rsid w:val="00354FCF"/>
    <w:rsid w:val="00355726"/>
    <w:rsid w:val="00357DEA"/>
    <w:rsid w:val="003811C8"/>
    <w:rsid w:val="00396F06"/>
    <w:rsid w:val="003A0976"/>
    <w:rsid w:val="003A19E2"/>
    <w:rsid w:val="003A67AF"/>
    <w:rsid w:val="003B2B40"/>
    <w:rsid w:val="003B4E04"/>
    <w:rsid w:val="003C5846"/>
    <w:rsid w:val="003D74AB"/>
    <w:rsid w:val="003E2050"/>
    <w:rsid w:val="003F5108"/>
    <w:rsid w:val="003F5A08"/>
    <w:rsid w:val="00410DA2"/>
    <w:rsid w:val="0041151B"/>
    <w:rsid w:val="00412D53"/>
    <w:rsid w:val="00420716"/>
    <w:rsid w:val="00427875"/>
    <w:rsid w:val="004325FB"/>
    <w:rsid w:val="004432BA"/>
    <w:rsid w:val="0044407E"/>
    <w:rsid w:val="0044480B"/>
    <w:rsid w:val="00447BB9"/>
    <w:rsid w:val="00450682"/>
    <w:rsid w:val="00450FFE"/>
    <w:rsid w:val="00455938"/>
    <w:rsid w:val="0046031D"/>
    <w:rsid w:val="00473AC9"/>
    <w:rsid w:val="004960DC"/>
    <w:rsid w:val="004B4452"/>
    <w:rsid w:val="004C4F2B"/>
    <w:rsid w:val="004C4FF4"/>
    <w:rsid w:val="004D4606"/>
    <w:rsid w:val="004D72B5"/>
    <w:rsid w:val="004F089B"/>
    <w:rsid w:val="00504E33"/>
    <w:rsid w:val="00510C24"/>
    <w:rsid w:val="00511484"/>
    <w:rsid w:val="00511E4B"/>
    <w:rsid w:val="005367CC"/>
    <w:rsid w:val="00543D36"/>
    <w:rsid w:val="00551B7F"/>
    <w:rsid w:val="0055563A"/>
    <w:rsid w:val="0056610F"/>
    <w:rsid w:val="00571599"/>
    <w:rsid w:val="00575BCA"/>
    <w:rsid w:val="005B0344"/>
    <w:rsid w:val="005B520E"/>
    <w:rsid w:val="005D0C63"/>
    <w:rsid w:val="005D2D63"/>
    <w:rsid w:val="005E2800"/>
    <w:rsid w:val="005F588B"/>
    <w:rsid w:val="005F7321"/>
    <w:rsid w:val="00601391"/>
    <w:rsid w:val="00605825"/>
    <w:rsid w:val="00615D58"/>
    <w:rsid w:val="006353A7"/>
    <w:rsid w:val="0064193C"/>
    <w:rsid w:val="00645D22"/>
    <w:rsid w:val="00651A08"/>
    <w:rsid w:val="00652DC9"/>
    <w:rsid w:val="00653D55"/>
    <w:rsid w:val="00654204"/>
    <w:rsid w:val="006556B7"/>
    <w:rsid w:val="006610D2"/>
    <w:rsid w:val="00670434"/>
    <w:rsid w:val="006751D7"/>
    <w:rsid w:val="0068028C"/>
    <w:rsid w:val="006853E0"/>
    <w:rsid w:val="006A5D82"/>
    <w:rsid w:val="006B0814"/>
    <w:rsid w:val="006B5323"/>
    <w:rsid w:val="006B6B66"/>
    <w:rsid w:val="006C3C96"/>
    <w:rsid w:val="006D0BA5"/>
    <w:rsid w:val="006D59D3"/>
    <w:rsid w:val="006F6D3D"/>
    <w:rsid w:val="00715790"/>
    <w:rsid w:val="00715BEA"/>
    <w:rsid w:val="00721082"/>
    <w:rsid w:val="00721DF1"/>
    <w:rsid w:val="00723608"/>
    <w:rsid w:val="0073377B"/>
    <w:rsid w:val="00740EEA"/>
    <w:rsid w:val="00764668"/>
    <w:rsid w:val="007751BE"/>
    <w:rsid w:val="007774C7"/>
    <w:rsid w:val="00783DE3"/>
    <w:rsid w:val="00785644"/>
    <w:rsid w:val="00793646"/>
    <w:rsid w:val="00794804"/>
    <w:rsid w:val="007A7301"/>
    <w:rsid w:val="007B33F1"/>
    <w:rsid w:val="007B6DDA"/>
    <w:rsid w:val="007C0308"/>
    <w:rsid w:val="007C2630"/>
    <w:rsid w:val="007C2FF2"/>
    <w:rsid w:val="007C3A15"/>
    <w:rsid w:val="007D6232"/>
    <w:rsid w:val="007E3595"/>
    <w:rsid w:val="007F1F99"/>
    <w:rsid w:val="007F768F"/>
    <w:rsid w:val="008033BE"/>
    <w:rsid w:val="0080643F"/>
    <w:rsid w:val="00806D20"/>
    <w:rsid w:val="0080791D"/>
    <w:rsid w:val="00810A64"/>
    <w:rsid w:val="008147B5"/>
    <w:rsid w:val="0081552C"/>
    <w:rsid w:val="00822F38"/>
    <w:rsid w:val="00834B00"/>
    <w:rsid w:val="00836367"/>
    <w:rsid w:val="00841A65"/>
    <w:rsid w:val="00856468"/>
    <w:rsid w:val="008636F3"/>
    <w:rsid w:val="00873603"/>
    <w:rsid w:val="008755C8"/>
    <w:rsid w:val="008757EA"/>
    <w:rsid w:val="0088488C"/>
    <w:rsid w:val="00895104"/>
    <w:rsid w:val="00896AA5"/>
    <w:rsid w:val="008A2C7D"/>
    <w:rsid w:val="008B6524"/>
    <w:rsid w:val="008C4B23"/>
    <w:rsid w:val="008D74AB"/>
    <w:rsid w:val="008E08A5"/>
    <w:rsid w:val="008E1696"/>
    <w:rsid w:val="008E67C1"/>
    <w:rsid w:val="008E7442"/>
    <w:rsid w:val="008F0F92"/>
    <w:rsid w:val="008F41E0"/>
    <w:rsid w:val="008F4659"/>
    <w:rsid w:val="008F6E2C"/>
    <w:rsid w:val="009113BB"/>
    <w:rsid w:val="00912E4A"/>
    <w:rsid w:val="009303D9"/>
    <w:rsid w:val="00933C64"/>
    <w:rsid w:val="00947D42"/>
    <w:rsid w:val="0095788C"/>
    <w:rsid w:val="0097004E"/>
    <w:rsid w:val="0097217E"/>
    <w:rsid w:val="009721D9"/>
    <w:rsid w:val="00972203"/>
    <w:rsid w:val="009A17C8"/>
    <w:rsid w:val="009B3200"/>
    <w:rsid w:val="009B7467"/>
    <w:rsid w:val="009D3BF8"/>
    <w:rsid w:val="009D54C2"/>
    <w:rsid w:val="009E632F"/>
    <w:rsid w:val="009F1D79"/>
    <w:rsid w:val="009F3FE8"/>
    <w:rsid w:val="009F6081"/>
    <w:rsid w:val="00A04AFF"/>
    <w:rsid w:val="00A059B3"/>
    <w:rsid w:val="00A105F3"/>
    <w:rsid w:val="00A12E6D"/>
    <w:rsid w:val="00A16DF1"/>
    <w:rsid w:val="00A202B9"/>
    <w:rsid w:val="00A34DE6"/>
    <w:rsid w:val="00A476E3"/>
    <w:rsid w:val="00A563E6"/>
    <w:rsid w:val="00A60344"/>
    <w:rsid w:val="00A60EC0"/>
    <w:rsid w:val="00A60F64"/>
    <w:rsid w:val="00A62009"/>
    <w:rsid w:val="00A642BB"/>
    <w:rsid w:val="00A70D28"/>
    <w:rsid w:val="00A73E6E"/>
    <w:rsid w:val="00A9173E"/>
    <w:rsid w:val="00AA5DEE"/>
    <w:rsid w:val="00AB6F9F"/>
    <w:rsid w:val="00AB7144"/>
    <w:rsid w:val="00AE3409"/>
    <w:rsid w:val="00AE6088"/>
    <w:rsid w:val="00AE777C"/>
    <w:rsid w:val="00B06842"/>
    <w:rsid w:val="00B11A60"/>
    <w:rsid w:val="00B139B0"/>
    <w:rsid w:val="00B22613"/>
    <w:rsid w:val="00B32DC3"/>
    <w:rsid w:val="00B33325"/>
    <w:rsid w:val="00B44A76"/>
    <w:rsid w:val="00B47875"/>
    <w:rsid w:val="00B5592D"/>
    <w:rsid w:val="00B768D1"/>
    <w:rsid w:val="00BA1025"/>
    <w:rsid w:val="00BB3154"/>
    <w:rsid w:val="00BC3420"/>
    <w:rsid w:val="00BC7969"/>
    <w:rsid w:val="00BD3545"/>
    <w:rsid w:val="00BD670B"/>
    <w:rsid w:val="00BE3C6E"/>
    <w:rsid w:val="00BE4F36"/>
    <w:rsid w:val="00BE7D3C"/>
    <w:rsid w:val="00BF5FF6"/>
    <w:rsid w:val="00C0207F"/>
    <w:rsid w:val="00C16117"/>
    <w:rsid w:val="00C3075A"/>
    <w:rsid w:val="00C34BBF"/>
    <w:rsid w:val="00C41570"/>
    <w:rsid w:val="00C5595E"/>
    <w:rsid w:val="00C66109"/>
    <w:rsid w:val="00C67F99"/>
    <w:rsid w:val="00C702C1"/>
    <w:rsid w:val="00C8298E"/>
    <w:rsid w:val="00C84B62"/>
    <w:rsid w:val="00C85DC5"/>
    <w:rsid w:val="00C919A4"/>
    <w:rsid w:val="00C91BDA"/>
    <w:rsid w:val="00C937A9"/>
    <w:rsid w:val="00CA4392"/>
    <w:rsid w:val="00CC393F"/>
    <w:rsid w:val="00D12692"/>
    <w:rsid w:val="00D159AC"/>
    <w:rsid w:val="00D17171"/>
    <w:rsid w:val="00D2176E"/>
    <w:rsid w:val="00D37056"/>
    <w:rsid w:val="00D4321F"/>
    <w:rsid w:val="00D440F9"/>
    <w:rsid w:val="00D4546C"/>
    <w:rsid w:val="00D62FB7"/>
    <w:rsid w:val="00D632BE"/>
    <w:rsid w:val="00D711C7"/>
    <w:rsid w:val="00D72D06"/>
    <w:rsid w:val="00D7522C"/>
    <w:rsid w:val="00D7536F"/>
    <w:rsid w:val="00D76668"/>
    <w:rsid w:val="00D8515F"/>
    <w:rsid w:val="00D85413"/>
    <w:rsid w:val="00D85EC7"/>
    <w:rsid w:val="00D87E84"/>
    <w:rsid w:val="00D9275E"/>
    <w:rsid w:val="00D946E3"/>
    <w:rsid w:val="00D94B36"/>
    <w:rsid w:val="00D97F77"/>
    <w:rsid w:val="00DB5A53"/>
    <w:rsid w:val="00DB5C24"/>
    <w:rsid w:val="00DC2F26"/>
    <w:rsid w:val="00DD04A7"/>
    <w:rsid w:val="00DD4B4D"/>
    <w:rsid w:val="00DD699F"/>
    <w:rsid w:val="00DE65B5"/>
    <w:rsid w:val="00E02E61"/>
    <w:rsid w:val="00E07383"/>
    <w:rsid w:val="00E165BC"/>
    <w:rsid w:val="00E16B9B"/>
    <w:rsid w:val="00E3684F"/>
    <w:rsid w:val="00E55701"/>
    <w:rsid w:val="00E575E1"/>
    <w:rsid w:val="00E61E12"/>
    <w:rsid w:val="00E63B30"/>
    <w:rsid w:val="00E66E64"/>
    <w:rsid w:val="00E75489"/>
    <w:rsid w:val="00E7596C"/>
    <w:rsid w:val="00E8011D"/>
    <w:rsid w:val="00E8344E"/>
    <w:rsid w:val="00E878F2"/>
    <w:rsid w:val="00E95698"/>
    <w:rsid w:val="00E97E7E"/>
    <w:rsid w:val="00EA129C"/>
    <w:rsid w:val="00EA12CF"/>
    <w:rsid w:val="00EB4F6F"/>
    <w:rsid w:val="00ED0149"/>
    <w:rsid w:val="00EF7DE3"/>
    <w:rsid w:val="00EF7E9F"/>
    <w:rsid w:val="00F03103"/>
    <w:rsid w:val="00F15EC6"/>
    <w:rsid w:val="00F2023C"/>
    <w:rsid w:val="00F2087D"/>
    <w:rsid w:val="00F271DE"/>
    <w:rsid w:val="00F35951"/>
    <w:rsid w:val="00F627DA"/>
    <w:rsid w:val="00F7288F"/>
    <w:rsid w:val="00F72968"/>
    <w:rsid w:val="00F7302D"/>
    <w:rsid w:val="00F847A6"/>
    <w:rsid w:val="00F90077"/>
    <w:rsid w:val="00F9441B"/>
    <w:rsid w:val="00FA4C32"/>
    <w:rsid w:val="00FC79A2"/>
    <w:rsid w:val="00FC79E8"/>
    <w:rsid w:val="00FE5874"/>
    <w:rsid w:val="00FE7114"/>
    <w:rsid w:val="00FF2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D083788F-FB14-4DED-8E9D-294A624E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E6"/>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Title">
    <w:name w:val="Title"/>
    <w:basedOn w:val="Normal"/>
    <w:next w:val="Normal"/>
    <w:link w:val="TitleChar"/>
    <w:qFormat/>
    <w:rsid w:val="00B139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39B0"/>
    <w:rPr>
      <w:rFonts w:asciiTheme="majorHAnsi" w:eastAsiaTheme="majorEastAsia" w:hAnsiTheme="majorHAnsi" w:cstheme="majorBidi"/>
      <w:spacing w:val="-10"/>
      <w:kern w:val="28"/>
      <w:sz w:val="56"/>
      <w:szCs w:val="56"/>
    </w:rPr>
  </w:style>
  <w:style w:type="paragraph" w:styleId="NormalWeb">
    <w:name w:val="Normal (Web)"/>
    <w:basedOn w:val="Normal"/>
    <w:uiPriority w:val="99"/>
    <w:rsid w:val="00191957"/>
    <w:rPr>
      <w:sz w:val="24"/>
      <w:szCs w:val="24"/>
    </w:rPr>
  </w:style>
  <w:style w:type="character" w:styleId="Hyperlink">
    <w:name w:val="Hyperlink"/>
    <w:basedOn w:val="DefaultParagraphFont"/>
    <w:rsid w:val="00B47875"/>
    <w:rPr>
      <w:color w:val="0563C1" w:themeColor="hyperlink"/>
      <w:u w:val="single"/>
    </w:rPr>
  </w:style>
  <w:style w:type="character" w:styleId="UnresolvedMention">
    <w:name w:val="Unresolved Mention"/>
    <w:basedOn w:val="DefaultParagraphFont"/>
    <w:uiPriority w:val="99"/>
    <w:semiHidden/>
    <w:unhideWhenUsed/>
    <w:rsid w:val="00B47875"/>
    <w:rPr>
      <w:color w:val="605E5C"/>
      <w:shd w:val="clear" w:color="auto" w:fill="E1DFDD"/>
    </w:rPr>
  </w:style>
  <w:style w:type="character" w:customStyle="1" w:styleId="Heading2Char">
    <w:name w:val="Heading 2 Char"/>
    <w:basedOn w:val="DefaultParagraphFont"/>
    <w:link w:val="Heading2"/>
    <w:rsid w:val="000E1B61"/>
    <w:rPr>
      <w:i/>
      <w:iCs/>
      <w:noProof/>
    </w:rPr>
  </w:style>
  <w:style w:type="paragraph" w:styleId="Caption">
    <w:name w:val="caption"/>
    <w:basedOn w:val="Normal"/>
    <w:next w:val="Normal"/>
    <w:unhideWhenUsed/>
    <w:qFormat/>
    <w:rsid w:val="003811C8"/>
    <w:pPr>
      <w:spacing w:after="200"/>
    </w:pPr>
    <w:rPr>
      <w:i/>
      <w:iCs/>
      <w:color w:val="44546A" w:themeColor="text2"/>
      <w:sz w:val="18"/>
      <w:szCs w:val="18"/>
    </w:rPr>
  </w:style>
  <w:style w:type="character" w:customStyle="1" w:styleId="Heading3Char">
    <w:name w:val="Heading 3 Char"/>
    <w:basedOn w:val="DefaultParagraphFont"/>
    <w:link w:val="Heading3"/>
    <w:rsid w:val="000F503F"/>
    <w:rPr>
      <w:i/>
      <w:iCs/>
      <w:noProof/>
    </w:rPr>
  </w:style>
  <w:style w:type="character" w:customStyle="1" w:styleId="Heading1Char">
    <w:name w:val="Heading 1 Char"/>
    <w:basedOn w:val="DefaultParagraphFont"/>
    <w:link w:val="Heading1"/>
    <w:rsid w:val="0017696C"/>
    <w:rPr>
      <w:smallCaps/>
      <w:noProof/>
    </w:rPr>
  </w:style>
  <w:style w:type="character" w:styleId="Strong">
    <w:name w:val="Strong"/>
    <w:basedOn w:val="DefaultParagraphFont"/>
    <w:uiPriority w:val="22"/>
    <w:qFormat/>
    <w:rsid w:val="000F5D1B"/>
    <w:rPr>
      <w:b/>
      <w:bCs/>
    </w:rPr>
  </w:style>
  <w:style w:type="paragraph" w:styleId="ListParagraph">
    <w:name w:val="List Paragraph"/>
    <w:basedOn w:val="Normal"/>
    <w:uiPriority w:val="34"/>
    <w:qFormat/>
    <w:rsid w:val="000F5D1B"/>
    <w:pPr>
      <w:ind w:left="720"/>
      <w:contextualSpacing/>
    </w:pPr>
  </w:style>
  <w:style w:type="table" w:styleId="TableGrid">
    <w:name w:val="Table Grid"/>
    <w:basedOn w:val="TableNormal"/>
    <w:rsid w:val="00A3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9314">
      <w:bodyDiv w:val="1"/>
      <w:marLeft w:val="0"/>
      <w:marRight w:val="0"/>
      <w:marTop w:val="0"/>
      <w:marBottom w:val="0"/>
      <w:divBdr>
        <w:top w:val="none" w:sz="0" w:space="0" w:color="auto"/>
        <w:left w:val="none" w:sz="0" w:space="0" w:color="auto"/>
        <w:bottom w:val="none" w:sz="0" w:space="0" w:color="auto"/>
        <w:right w:val="none" w:sz="0" w:space="0" w:color="auto"/>
      </w:divBdr>
    </w:div>
    <w:div w:id="336469335">
      <w:bodyDiv w:val="1"/>
      <w:marLeft w:val="0"/>
      <w:marRight w:val="0"/>
      <w:marTop w:val="0"/>
      <w:marBottom w:val="0"/>
      <w:divBdr>
        <w:top w:val="none" w:sz="0" w:space="0" w:color="auto"/>
        <w:left w:val="none" w:sz="0" w:space="0" w:color="auto"/>
        <w:bottom w:val="none" w:sz="0" w:space="0" w:color="auto"/>
        <w:right w:val="none" w:sz="0" w:space="0" w:color="auto"/>
      </w:divBdr>
    </w:div>
    <w:div w:id="451444540">
      <w:bodyDiv w:val="1"/>
      <w:marLeft w:val="0"/>
      <w:marRight w:val="0"/>
      <w:marTop w:val="0"/>
      <w:marBottom w:val="0"/>
      <w:divBdr>
        <w:top w:val="none" w:sz="0" w:space="0" w:color="auto"/>
        <w:left w:val="none" w:sz="0" w:space="0" w:color="auto"/>
        <w:bottom w:val="none" w:sz="0" w:space="0" w:color="auto"/>
        <w:right w:val="none" w:sz="0" w:space="0" w:color="auto"/>
      </w:divBdr>
    </w:div>
    <w:div w:id="465246669">
      <w:bodyDiv w:val="1"/>
      <w:marLeft w:val="0"/>
      <w:marRight w:val="0"/>
      <w:marTop w:val="0"/>
      <w:marBottom w:val="0"/>
      <w:divBdr>
        <w:top w:val="none" w:sz="0" w:space="0" w:color="auto"/>
        <w:left w:val="none" w:sz="0" w:space="0" w:color="auto"/>
        <w:bottom w:val="none" w:sz="0" w:space="0" w:color="auto"/>
        <w:right w:val="none" w:sz="0" w:space="0" w:color="auto"/>
      </w:divBdr>
    </w:div>
    <w:div w:id="477235790">
      <w:bodyDiv w:val="1"/>
      <w:marLeft w:val="0"/>
      <w:marRight w:val="0"/>
      <w:marTop w:val="0"/>
      <w:marBottom w:val="0"/>
      <w:divBdr>
        <w:top w:val="none" w:sz="0" w:space="0" w:color="auto"/>
        <w:left w:val="none" w:sz="0" w:space="0" w:color="auto"/>
        <w:bottom w:val="none" w:sz="0" w:space="0" w:color="auto"/>
        <w:right w:val="none" w:sz="0" w:space="0" w:color="auto"/>
      </w:divBdr>
    </w:div>
    <w:div w:id="488130788">
      <w:bodyDiv w:val="1"/>
      <w:marLeft w:val="0"/>
      <w:marRight w:val="0"/>
      <w:marTop w:val="0"/>
      <w:marBottom w:val="0"/>
      <w:divBdr>
        <w:top w:val="none" w:sz="0" w:space="0" w:color="auto"/>
        <w:left w:val="none" w:sz="0" w:space="0" w:color="auto"/>
        <w:bottom w:val="none" w:sz="0" w:space="0" w:color="auto"/>
        <w:right w:val="none" w:sz="0" w:space="0" w:color="auto"/>
      </w:divBdr>
    </w:div>
    <w:div w:id="510024193">
      <w:bodyDiv w:val="1"/>
      <w:marLeft w:val="0"/>
      <w:marRight w:val="0"/>
      <w:marTop w:val="0"/>
      <w:marBottom w:val="0"/>
      <w:divBdr>
        <w:top w:val="none" w:sz="0" w:space="0" w:color="auto"/>
        <w:left w:val="none" w:sz="0" w:space="0" w:color="auto"/>
        <w:bottom w:val="none" w:sz="0" w:space="0" w:color="auto"/>
        <w:right w:val="none" w:sz="0" w:space="0" w:color="auto"/>
      </w:divBdr>
    </w:div>
    <w:div w:id="928387712">
      <w:bodyDiv w:val="1"/>
      <w:marLeft w:val="0"/>
      <w:marRight w:val="0"/>
      <w:marTop w:val="0"/>
      <w:marBottom w:val="0"/>
      <w:divBdr>
        <w:top w:val="none" w:sz="0" w:space="0" w:color="auto"/>
        <w:left w:val="none" w:sz="0" w:space="0" w:color="auto"/>
        <w:bottom w:val="none" w:sz="0" w:space="0" w:color="auto"/>
        <w:right w:val="none" w:sz="0" w:space="0" w:color="auto"/>
      </w:divBdr>
    </w:div>
    <w:div w:id="973635240">
      <w:bodyDiv w:val="1"/>
      <w:marLeft w:val="0"/>
      <w:marRight w:val="0"/>
      <w:marTop w:val="0"/>
      <w:marBottom w:val="0"/>
      <w:divBdr>
        <w:top w:val="none" w:sz="0" w:space="0" w:color="auto"/>
        <w:left w:val="none" w:sz="0" w:space="0" w:color="auto"/>
        <w:bottom w:val="none" w:sz="0" w:space="0" w:color="auto"/>
        <w:right w:val="none" w:sz="0" w:space="0" w:color="auto"/>
      </w:divBdr>
    </w:div>
    <w:div w:id="1073970140">
      <w:bodyDiv w:val="1"/>
      <w:marLeft w:val="0"/>
      <w:marRight w:val="0"/>
      <w:marTop w:val="0"/>
      <w:marBottom w:val="0"/>
      <w:divBdr>
        <w:top w:val="none" w:sz="0" w:space="0" w:color="auto"/>
        <w:left w:val="none" w:sz="0" w:space="0" w:color="auto"/>
        <w:bottom w:val="none" w:sz="0" w:space="0" w:color="auto"/>
        <w:right w:val="none" w:sz="0" w:space="0" w:color="auto"/>
      </w:divBdr>
    </w:div>
    <w:div w:id="1157260427">
      <w:bodyDiv w:val="1"/>
      <w:marLeft w:val="0"/>
      <w:marRight w:val="0"/>
      <w:marTop w:val="0"/>
      <w:marBottom w:val="0"/>
      <w:divBdr>
        <w:top w:val="none" w:sz="0" w:space="0" w:color="auto"/>
        <w:left w:val="none" w:sz="0" w:space="0" w:color="auto"/>
        <w:bottom w:val="none" w:sz="0" w:space="0" w:color="auto"/>
        <w:right w:val="none" w:sz="0" w:space="0" w:color="auto"/>
      </w:divBdr>
    </w:div>
    <w:div w:id="1163013280">
      <w:bodyDiv w:val="1"/>
      <w:marLeft w:val="0"/>
      <w:marRight w:val="0"/>
      <w:marTop w:val="0"/>
      <w:marBottom w:val="0"/>
      <w:divBdr>
        <w:top w:val="none" w:sz="0" w:space="0" w:color="auto"/>
        <w:left w:val="none" w:sz="0" w:space="0" w:color="auto"/>
        <w:bottom w:val="none" w:sz="0" w:space="0" w:color="auto"/>
        <w:right w:val="none" w:sz="0" w:space="0" w:color="auto"/>
      </w:divBdr>
    </w:div>
    <w:div w:id="1165559767">
      <w:bodyDiv w:val="1"/>
      <w:marLeft w:val="0"/>
      <w:marRight w:val="0"/>
      <w:marTop w:val="0"/>
      <w:marBottom w:val="0"/>
      <w:divBdr>
        <w:top w:val="none" w:sz="0" w:space="0" w:color="auto"/>
        <w:left w:val="none" w:sz="0" w:space="0" w:color="auto"/>
        <w:bottom w:val="none" w:sz="0" w:space="0" w:color="auto"/>
        <w:right w:val="none" w:sz="0" w:space="0" w:color="auto"/>
      </w:divBdr>
    </w:div>
    <w:div w:id="1336566634">
      <w:bodyDiv w:val="1"/>
      <w:marLeft w:val="0"/>
      <w:marRight w:val="0"/>
      <w:marTop w:val="0"/>
      <w:marBottom w:val="0"/>
      <w:divBdr>
        <w:top w:val="none" w:sz="0" w:space="0" w:color="auto"/>
        <w:left w:val="none" w:sz="0" w:space="0" w:color="auto"/>
        <w:bottom w:val="none" w:sz="0" w:space="0" w:color="auto"/>
        <w:right w:val="none" w:sz="0" w:space="0" w:color="auto"/>
      </w:divBdr>
    </w:div>
    <w:div w:id="1337879296">
      <w:bodyDiv w:val="1"/>
      <w:marLeft w:val="0"/>
      <w:marRight w:val="0"/>
      <w:marTop w:val="0"/>
      <w:marBottom w:val="0"/>
      <w:divBdr>
        <w:top w:val="none" w:sz="0" w:space="0" w:color="auto"/>
        <w:left w:val="none" w:sz="0" w:space="0" w:color="auto"/>
        <w:bottom w:val="none" w:sz="0" w:space="0" w:color="auto"/>
        <w:right w:val="none" w:sz="0" w:space="0" w:color="auto"/>
      </w:divBdr>
    </w:div>
    <w:div w:id="1343121695">
      <w:bodyDiv w:val="1"/>
      <w:marLeft w:val="0"/>
      <w:marRight w:val="0"/>
      <w:marTop w:val="0"/>
      <w:marBottom w:val="0"/>
      <w:divBdr>
        <w:top w:val="none" w:sz="0" w:space="0" w:color="auto"/>
        <w:left w:val="none" w:sz="0" w:space="0" w:color="auto"/>
        <w:bottom w:val="none" w:sz="0" w:space="0" w:color="auto"/>
        <w:right w:val="none" w:sz="0" w:space="0" w:color="auto"/>
      </w:divBdr>
    </w:div>
    <w:div w:id="1583102903">
      <w:bodyDiv w:val="1"/>
      <w:marLeft w:val="0"/>
      <w:marRight w:val="0"/>
      <w:marTop w:val="0"/>
      <w:marBottom w:val="0"/>
      <w:divBdr>
        <w:top w:val="none" w:sz="0" w:space="0" w:color="auto"/>
        <w:left w:val="none" w:sz="0" w:space="0" w:color="auto"/>
        <w:bottom w:val="none" w:sz="0" w:space="0" w:color="auto"/>
        <w:right w:val="none" w:sz="0" w:space="0" w:color="auto"/>
      </w:divBdr>
    </w:div>
    <w:div w:id="1728915937">
      <w:bodyDiv w:val="1"/>
      <w:marLeft w:val="0"/>
      <w:marRight w:val="0"/>
      <w:marTop w:val="0"/>
      <w:marBottom w:val="0"/>
      <w:divBdr>
        <w:top w:val="none" w:sz="0" w:space="0" w:color="auto"/>
        <w:left w:val="none" w:sz="0" w:space="0" w:color="auto"/>
        <w:bottom w:val="none" w:sz="0" w:space="0" w:color="auto"/>
        <w:right w:val="none" w:sz="0" w:space="0" w:color="auto"/>
      </w:divBdr>
    </w:div>
    <w:div w:id="1820271868">
      <w:bodyDiv w:val="1"/>
      <w:marLeft w:val="0"/>
      <w:marRight w:val="0"/>
      <w:marTop w:val="0"/>
      <w:marBottom w:val="0"/>
      <w:divBdr>
        <w:top w:val="none" w:sz="0" w:space="0" w:color="auto"/>
        <w:left w:val="none" w:sz="0" w:space="0" w:color="auto"/>
        <w:bottom w:val="none" w:sz="0" w:space="0" w:color="auto"/>
        <w:right w:val="none" w:sz="0" w:space="0" w:color="auto"/>
      </w:divBdr>
    </w:div>
    <w:div w:id="1935703153">
      <w:bodyDiv w:val="1"/>
      <w:marLeft w:val="0"/>
      <w:marRight w:val="0"/>
      <w:marTop w:val="0"/>
      <w:marBottom w:val="0"/>
      <w:divBdr>
        <w:top w:val="none" w:sz="0" w:space="0" w:color="auto"/>
        <w:left w:val="none" w:sz="0" w:space="0" w:color="auto"/>
        <w:bottom w:val="none" w:sz="0" w:space="0" w:color="auto"/>
        <w:right w:val="none" w:sz="0" w:space="0" w:color="auto"/>
      </w:divBdr>
    </w:div>
    <w:div w:id="20982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by8220177@ju.edu.joGhe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6078</Words>
  <Characters>36229</Characters>
  <Application>Microsoft Office Word</Application>
  <DocSecurity>0</DocSecurity>
  <Lines>805</Lines>
  <Paragraphs>341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Rabie Amin Abdel Rahman Otoum</cp:lastModifiedBy>
  <cp:revision>16</cp:revision>
  <dcterms:created xsi:type="dcterms:W3CDTF">2025-12-06T09:01:00Z</dcterms:created>
  <dcterms:modified xsi:type="dcterms:W3CDTF">2025-12-06T11:49:00Z</dcterms:modified>
</cp:coreProperties>
</file>