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B00CF" w14:textId="77777777" w:rsidR="00CB4628" w:rsidRDefault="000B328F">
      <w:pPr>
        <w:pBdr>
          <w:top w:val="nil"/>
          <w:left w:val="nil"/>
          <w:bottom w:val="nil"/>
          <w:right w:val="nil"/>
          <w:between w:val="nil"/>
        </w:pBdr>
        <w:spacing w:after="280"/>
        <w:rPr>
          <w:color w:val="000000"/>
          <w:sz w:val="48"/>
          <w:szCs w:val="48"/>
        </w:rPr>
      </w:pPr>
      <w:r>
        <w:rPr>
          <w:i/>
          <w:iCs/>
          <w:sz w:val="48"/>
          <w:szCs w:val="48"/>
        </w:rPr>
        <w:t xml:space="preserve"> A Slot-Optimized Microstrip Patch Antenna for Non-Invasive Blood Pressure Monitoring</w:t>
      </w:r>
    </w:p>
    <w:p w14:paraId="128B00D0" w14:textId="77777777" w:rsidR="00CB4628" w:rsidRDefault="00CB4628">
      <w:pPr>
        <w:pBdr>
          <w:top w:val="nil"/>
          <w:left w:val="nil"/>
          <w:bottom w:val="nil"/>
          <w:right w:val="nil"/>
          <w:between w:val="nil"/>
        </w:pBdr>
        <w:spacing w:before="360" w:after="280" w:line="120" w:lineRule="auto"/>
        <w:rPr>
          <w:color w:val="000000"/>
          <w:sz w:val="16"/>
          <w:szCs w:val="16"/>
        </w:rPr>
        <w:sectPr w:rsidR="00CB4628">
          <w:headerReference w:type="default" r:id="rId8"/>
          <w:footerReference w:type="default" r:id="rId9"/>
          <w:footerReference w:type="first" r:id="rId10"/>
          <w:pgSz w:w="11906" w:h="16838"/>
          <w:pgMar w:top="540" w:right="893" w:bottom="1440" w:left="893" w:header="720" w:footer="720" w:gutter="0"/>
          <w:pgNumType w:start="1"/>
          <w:cols w:space="720"/>
          <w:titlePg/>
        </w:sectPr>
      </w:pPr>
    </w:p>
    <w:p w14:paraId="73411CCB" w14:textId="5BE00454" w:rsidR="00CA737E" w:rsidRDefault="00CA737E" w:rsidP="00886193">
      <w:r>
        <w:t>Mohammed E. Yassin</w:t>
      </w:r>
    </w:p>
    <w:p w14:paraId="23FA9F5E" w14:textId="77777777" w:rsidR="00CA737E" w:rsidRDefault="00CA737E" w:rsidP="00CA737E">
      <w:pPr>
        <w:rPr>
          <w:i/>
          <w:iCs/>
        </w:rPr>
      </w:pPr>
      <w:r>
        <w:rPr>
          <w:i/>
          <w:iCs/>
        </w:rPr>
        <w:t>Electronics and Communications Engineering Department</w:t>
      </w:r>
    </w:p>
    <w:p w14:paraId="53C9E8C4" w14:textId="781FDED1" w:rsidR="00CA737E" w:rsidRDefault="00CA737E" w:rsidP="00CA737E">
      <w:r>
        <w:rPr>
          <w:i/>
          <w:iCs/>
        </w:rPr>
        <w:t xml:space="preserve">Akhbar </w:t>
      </w:r>
      <w:proofErr w:type="spellStart"/>
      <w:r>
        <w:rPr>
          <w:i/>
          <w:iCs/>
        </w:rPr>
        <w:t>Elyom</w:t>
      </w:r>
      <w:proofErr w:type="spellEnd"/>
      <w:r>
        <w:rPr>
          <w:i/>
          <w:iCs/>
        </w:rPr>
        <w:t xml:space="preserve"> Academy</w:t>
      </w:r>
      <w:r>
        <w:rPr>
          <w:i/>
          <w:iCs/>
        </w:rPr>
        <w:br/>
      </w:r>
      <w:r>
        <w:t xml:space="preserve">6th October City, Egypt </w:t>
      </w:r>
      <w:hyperlink r:id="rId11">
        <w:r>
          <w:rPr>
            <w:color w:val="1155CC"/>
            <w:u w:val="single"/>
          </w:rPr>
          <w:t>M.ezzat@akhbaracademy.edu.eg</w:t>
        </w:r>
      </w:hyperlink>
    </w:p>
    <w:p w14:paraId="1BB3243C" w14:textId="77777777" w:rsidR="00BB5F49" w:rsidRDefault="00BB5F49" w:rsidP="00CA737E"/>
    <w:p w14:paraId="0AC60FAC" w14:textId="77777777" w:rsidR="00BB5F49" w:rsidRPr="00CB2376" w:rsidRDefault="00BB5F49" w:rsidP="00BB5F49">
      <w:pPr>
        <w:rPr>
          <w:color w:val="000000"/>
        </w:rPr>
      </w:pPr>
      <w:r w:rsidRPr="00CB2376">
        <w:rPr>
          <w:color w:val="000000"/>
        </w:rPr>
        <w:t xml:space="preserve">Eman </w:t>
      </w:r>
      <w:proofErr w:type="spellStart"/>
      <w:r w:rsidRPr="00CB2376">
        <w:rPr>
          <w:color w:val="000000"/>
        </w:rPr>
        <w:t>S.Abass</w:t>
      </w:r>
      <w:proofErr w:type="spellEnd"/>
    </w:p>
    <w:p w14:paraId="6B53F5CD" w14:textId="77777777" w:rsidR="00BB5F49" w:rsidRPr="00CB2376" w:rsidRDefault="00BB5F49" w:rsidP="00BB5F49">
      <w:pPr>
        <w:rPr>
          <w:color w:val="000000"/>
        </w:rPr>
      </w:pPr>
      <w:r w:rsidRPr="00CB2376">
        <w:rPr>
          <w:color w:val="000000"/>
        </w:rPr>
        <w:t xml:space="preserve"> </w:t>
      </w:r>
      <w:r w:rsidRPr="00CB2376">
        <w:rPr>
          <w:i/>
          <w:iCs/>
        </w:rPr>
        <w:t xml:space="preserve">Faculty of computer and Artificial intelligence, Al </w:t>
      </w:r>
      <w:proofErr w:type="spellStart"/>
      <w:r w:rsidRPr="00CB2376">
        <w:rPr>
          <w:i/>
          <w:iCs/>
        </w:rPr>
        <w:t>Reyada</w:t>
      </w:r>
      <w:proofErr w:type="spellEnd"/>
      <w:r w:rsidRPr="00CB2376">
        <w:rPr>
          <w:i/>
          <w:iCs/>
        </w:rPr>
        <w:t xml:space="preserve"> university, On leave from Department of Electrical engineering, Communication Program, MTI University</w:t>
      </w:r>
      <w:r w:rsidRPr="00CB2376">
        <w:rPr>
          <w:color w:val="000000"/>
        </w:rPr>
        <w:t>, Egypt</w:t>
      </w:r>
    </w:p>
    <w:p w14:paraId="093D2BCD" w14:textId="0F099BC8" w:rsidR="00BB5F49" w:rsidRPr="00BB5F49" w:rsidRDefault="00BB5F49" w:rsidP="00BB5F49">
      <w:pPr>
        <w:rPr>
          <w:color w:val="1155CC"/>
          <w:u w:val="single"/>
        </w:rPr>
      </w:pPr>
      <w:r w:rsidRPr="00BB5F49">
        <w:rPr>
          <w:color w:val="1155CC"/>
          <w:u w:val="single"/>
        </w:rPr>
        <w:t>Eman.Salah@rst.edu.eg</w:t>
      </w:r>
    </w:p>
    <w:p w14:paraId="128B00D5" w14:textId="77777777" w:rsidR="00CB4628" w:rsidRDefault="00CB4628"/>
    <w:p w14:paraId="6818B564" w14:textId="77777777" w:rsidR="00CB2376" w:rsidRDefault="000B328F" w:rsidP="00CB2376">
      <w:r>
        <w:br w:type="column"/>
      </w:r>
      <w:r w:rsidR="00CB2376">
        <w:t xml:space="preserve">Prof. </w:t>
      </w:r>
      <w:proofErr w:type="spellStart"/>
      <w:r w:rsidR="00CB2376">
        <w:t>Ir</w:t>
      </w:r>
      <w:proofErr w:type="spellEnd"/>
      <w:r w:rsidR="00CB2376">
        <w:t xml:space="preserve"> Dr Zakaria Che Muda </w:t>
      </w:r>
    </w:p>
    <w:p w14:paraId="16F3BA03" w14:textId="77777777" w:rsidR="00CB2376" w:rsidRDefault="00CB2376" w:rsidP="00CB2376">
      <w:pPr>
        <w:rPr>
          <w:i/>
          <w:iCs/>
        </w:rPr>
      </w:pPr>
      <w:r>
        <w:rPr>
          <w:i/>
          <w:iCs/>
        </w:rPr>
        <w:t xml:space="preserve">Faculty of Engineering </w:t>
      </w:r>
    </w:p>
    <w:p w14:paraId="1E86DC57" w14:textId="77777777" w:rsidR="000244B2" w:rsidRDefault="00CB2376" w:rsidP="00CB2376">
      <w:pPr>
        <w:rPr>
          <w:color w:val="1155CC"/>
          <w:u w:val="single"/>
          <w:rtl/>
        </w:rPr>
      </w:pPr>
      <w:r>
        <w:rPr>
          <w:i/>
          <w:iCs/>
        </w:rPr>
        <w:t xml:space="preserve">Quantity Surveying </w:t>
      </w:r>
      <w:r>
        <w:rPr>
          <w:i/>
          <w:iCs/>
        </w:rPr>
        <w:br/>
        <w:t>INTI-IU University</w:t>
      </w:r>
      <w:r>
        <w:rPr>
          <w:i/>
          <w:iCs/>
        </w:rPr>
        <w:br/>
      </w:r>
      <w:r>
        <w:t>Nilai, Malaysia</w:t>
      </w:r>
      <w:r>
        <w:br/>
      </w:r>
      <w:hyperlink r:id="rId12" w:history="1">
        <w:r w:rsidR="000244B2" w:rsidRPr="00626F16">
          <w:rPr>
            <w:rStyle w:val="Hyperlink"/>
          </w:rPr>
          <w:t>zakaria.chemuda@newinti.edu.my</w:t>
        </w:r>
      </w:hyperlink>
    </w:p>
    <w:p w14:paraId="7202B995" w14:textId="77777777" w:rsidR="000244B2" w:rsidRDefault="000244B2" w:rsidP="00CB2376">
      <w:pPr>
        <w:rPr>
          <w:color w:val="1155CC"/>
          <w:u w:val="single"/>
          <w:rtl/>
        </w:rPr>
      </w:pPr>
    </w:p>
    <w:p w14:paraId="128B00DE" w14:textId="36BFAAA8" w:rsidR="00CB4628" w:rsidRDefault="000B328F" w:rsidP="00CB2376">
      <w:r>
        <w:t>Ahmed Samir</w:t>
      </w:r>
    </w:p>
    <w:p w14:paraId="128B00DF" w14:textId="77777777" w:rsidR="00CB4628" w:rsidRDefault="000B328F">
      <w:pPr>
        <w:rPr>
          <w:i/>
          <w:iCs/>
        </w:rPr>
      </w:pPr>
      <w:r>
        <w:rPr>
          <w:i/>
          <w:iCs/>
        </w:rPr>
        <w:t>Department of Electronics and Communication Engineering</w:t>
      </w:r>
    </w:p>
    <w:p w14:paraId="128B00E0" w14:textId="77777777" w:rsidR="00CB4628" w:rsidRDefault="000B328F">
      <w:proofErr w:type="spellStart"/>
      <w:r>
        <w:rPr>
          <w:i/>
          <w:iCs/>
        </w:rPr>
        <w:t>Uruk</w:t>
      </w:r>
      <w:proofErr w:type="spellEnd"/>
      <w:r>
        <w:rPr>
          <w:i/>
          <w:iCs/>
        </w:rPr>
        <w:t xml:space="preserve"> University </w:t>
      </w:r>
      <w:hyperlink r:id="rId13">
        <w:r w:rsidR="00CB4628">
          <w:rPr>
            <w:color w:val="1155CC"/>
            <w:u w:val="single"/>
          </w:rPr>
          <w:t>Ahmed.S.ahmed@ururk.edu.iq</w:t>
        </w:r>
      </w:hyperlink>
    </w:p>
    <w:p w14:paraId="128B00E1" w14:textId="77777777" w:rsidR="00CB4628" w:rsidRDefault="000B328F">
      <w:r>
        <w:br w:type="column"/>
      </w:r>
      <w:r>
        <w:t xml:space="preserve">Abdalrahman </w:t>
      </w:r>
      <w:hyperlink r:id="rId14">
        <w:r w:rsidR="00CB4628">
          <w:rPr>
            <w:color w:val="1155CC"/>
          </w:rPr>
          <w:t>H. El</w:t>
        </w:r>
      </w:hyperlink>
      <w:r>
        <w:t>-Gendy</w:t>
      </w:r>
    </w:p>
    <w:p w14:paraId="128B00E2" w14:textId="77777777" w:rsidR="00CB4628" w:rsidRDefault="000B328F">
      <w:pPr>
        <w:rPr>
          <w:i/>
          <w:iCs/>
        </w:rPr>
      </w:pPr>
      <w:r>
        <w:rPr>
          <w:i/>
          <w:iCs/>
        </w:rPr>
        <w:t>Electronics and Communications Engineering Department</w:t>
      </w:r>
    </w:p>
    <w:p w14:paraId="128B00E3" w14:textId="77777777" w:rsidR="00CB4628" w:rsidRDefault="000B328F">
      <w:pPr>
        <w:rPr>
          <w:i/>
          <w:iCs/>
        </w:rPr>
      </w:pPr>
      <w:r>
        <w:rPr>
          <w:i/>
          <w:iCs/>
        </w:rPr>
        <w:t xml:space="preserve">Akhbar </w:t>
      </w:r>
      <w:proofErr w:type="spellStart"/>
      <w:r>
        <w:rPr>
          <w:i/>
          <w:iCs/>
        </w:rPr>
        <w:t>Elyom</w:t>
      </w:r>
      <w:proofErr w:type="spellEnd"/>
      <w:r>
        <w:rPr>
          <w:i/>
          <w:iCs/>
        </w:rPr>
        <w:t xml:space="preserve"> Academy</w:t>
      </w:r>
    </w:p>
    <w:p w14:paraId="128B00E4" w14:textId="77777777" w:rsidR="00CB4628" w:rsidRDefault="000B328F">
      <w:r>
        <w:t>6th October City, Egypt</w:t>
      </w:r>
    </w:p>
    <w:p w14:paraId="128B00E5" w14:textId="77777777" w:rsidR="00CB4628" w:rsidRDefault="00CB4628">
      <w:hyperlink r:id="rId15">
        <w:r>
          <w:rPr>
            <w:color w:val="1155CC"/>
            <w:u w:val="single"/>
          </w:rPr>
          <w:t>A.gendy999@gmail.com</w:t>
        </w:r>
      </w:hyperlink>
    </w:p>
    <w:p w14:paraId="128B00E6" w14:textId="77777777" w:rsidR="00CB4628" w:rsidRDefault="00CB4628"/>
    <w:p w14:paraId="6D101511" w14:textId="535DE1C2" w:rsidR="008364F6" w:rsidRDefault="008364F6" w:rsidP="008364F6">
      <w:pPr>
        <w:rPr>
          <w:i/>
          <w:iCs/>
        </w:rPr>
      </w:pPr>
      <w:r>
        <w:rPr>
          <w:sz w:val="18"/>
          <w:szCs w:val="18"/>
        </w:rPr>
        <w:t xml:space="preserve">Shaimaa A. </w:t>
      </w:r>
      <w:proofErr w:type="spellStart"/>
      <w:r>
        <w:rPr>
          <w:sz w:val="18"/>
          <w:szCs w:val="18"/>
        </w:rPr>
        <w:t>Mohassieb</w:t>
      </w:r>
      <w:proofErr w:type="spellEnd"/>
      <w:r>
        <w:rPr>
          <w:color w:val="000000"/>
          <w:sz w:val="18"/>
          <w:szCs w:val="18"/>
        </w:rPr>
        <w:br/>
      </w:r>
      <w:r>
        <w:rPr>
          <w:i/>
          <w:iCs/>
          <w:color w:val="000000"/>
          <w:sz w:val="18"/>
          <w:szCs w:val="18"/>
        </w:rPr>
        <w:t xml:space="preserve">Electrical Engineering (Electronics and </w:t>
      </w:r>
      <w:r w:rsidR="00BB5F49">
        <w:rPr>
          <w:i/>
          <w:iCs/>
        </w:rPr>
        <w:t>Communications) Department</w:t>
      </w:r>
    </w:p>
    <w:p w14:paraId="1D051BFF" w14:textId="77777777" w:rsidR="008364F6" w:rsidRDefault="008364F6" w:rsidP="008364F6">
      <w:pPr>
        <w:rPr>
          <w:i/>
          <w:iCs/>
        </w:rPr>
      </w:pPr>
      <w:r>
        <w:rPr>
          <w:i/>
          <w:iCs/>
        </w:rPr>
        <w:t>October 6 University</w:t>
      </w:r>
    </w:p>
    <w:p w14:paraId="680FD1FD" w14:textId="77777777" w:rsidR="008364F6" w:rsidRDefault="008364F6" w:rsidP="008364F6">
      <w:r>
        <w:t xml:space="preserve">6th October City, Egypt </w:t>
      </w:r>
    </w:p>
    <w:p w14:paraId="41F7B445" w14:textId="77777777" w:rsidR="008364F6" w:rsidRDefault="008364F6" w:rsidP="008364F6">
      <w:hyperlink r:id="rId16">
        <w:r>
          <w:rPr>
            <w:color w:val="1155CC"/>
            <w:u w:val="single"/>
          </w:rPr>
          <w:t>Shaimaa.Mohassieb.eng@o6u.edu</w:t>
        </w:r>
      </w:hyperlink>
      <w:hyperlink r:id="rId17">
        <w:r>
          <w:rPr>
            <w:color w:val="1155CC"/>
            <w:u w:val="single"/>
          </w:rPr>
          <w:t>.eg</w:t>
        </w:r>
      </w:hyperlink>
    </w:p>
    <w:p w14:paraId="128B00E7" w14:textId="56CBA158" w:rsidR="00CB4628" w:rsidRDefault="008364F6" w:rsidP="008364F6">
      <w:r>
        <w:rPr>
          <w:color w:val="000000"/>
          <w:sz w:val="18"/>
          <w:szCs w:val="18"/>
        </w:rPr>
        <w:br/>
      </w:r>
    </w:p>
    <w:p w14:paraId="128B00ED" w14:textId="77777777" w:rsidR="00CB4628" w:rsidRDefault="00CB4628">
      <w:pPr>
        <w:sectPr w:rsidR="00CB4628">
          <w:type w:val="continuous"/>
          <w:pgSz w:w="11906" w:h="16838"/>
          <w:pgMar w:top="450" w:right="893" w:bottom="1440" w:left="893" w:header="720" w:footer="720" w:gutter="0"/>
          <w:cols w:num="3" w:space="720" w:equalWidth="0">
            <w:col w:w="2893" w:space="720"/>
            <w:col w:w="2893" w:space="720"/>
            <w:col w:w="2893" w:space="0"/>
          </w:cols>
        </w:sectPr>
      </w:pPr>
    </w:p>
    <w:p w14:paraId="128B00EE" w14:textId="77777777" w:rsidR="00CB4628" w:rsidRDefault="000B328F">
      <w:pPr>
        <w:sectPr w:rsidR="00CB4628">
          <w:type w:val="continuous"/>
          <w:pgSz w:w="11906" w:h="16838"/>
          <w:pgMar w:top="450" w:right="893" w:bottom="1440" w:left="893" w:header="720" w:footer="720" w:gutter="0"/>
          <w:cols w:num="3" w:space="720" w:equalWidth="0">
            <w:col w:w="2893" w:space="720"/>
            <w:col w:w="2893" w:space="720"/>
            <w:col w:w="2893" w:space="0"/>
          </w:cols>
        </w:sectPr>
      </w:pPr>
      <w:r>
        <w:br w:type="column"/>
      </w:r>
    </w:p>
    <w:p w14:paraId="128B00EF" w14:textId="4B704AA1" w:rsidR="00CB4628" w:rsidRDefault="000B328F">
      <w:pPr>
        <w:pBdr>
          <w:top w:val="nil"/>
          <w:left w:val="nil"/>
          <w:bottom w:val="nil"/>
          <w:right w:val="nil"/>
          <w:between w:val="nil"/>
        </w:pBdr>
        <w:spacing w:after="200"/>
        <w:ind w:firstLine="272"/>
        <w:jc w:val="both"/>
        <w:rPr>
          <w:b/>
          <w:bCs/>
          <w:sz w:val="18"/>
          <w:szCs w:val="18"/>
        </w:rPr>
      </w:pPr>
      <w:r>
        <w:rPr>
          <w:b/>
          <w:bCs/>
          <w:i/>
          <w:iCs/>
          <w:color w:val="000000"/>
          <w:sz w:val="18"/>
          <w:szCs w:val="18"/>
        </w:rPr>
        <w:t>Abstract</w:t>
      </w:r>
      <w:r>
        <w:rPr>
          <w:b/>
          <w:bCs/>
          <w:color w:val="000000"/>
          <w:sz w:val="18"/>
          <w:szCs w:val="18"/>
        </w:rPr>
        <w:t>—</w:t>
      </w:r>
      <w:r>
        <w:rPr>
          <w:b/>
          <w:bCs/>
          <w:sz w:val="18"/>
          <w:szCs w:val="18"/>
        </w:rPr>
        <w:t xml:space="preserve"> This paper introduces a compact inset-fed microstrip patch antenna optimized for non-invasive blood pressure monitoring in the 2.4 GHz ISM medical band. The design features a rectangular patch with integrated slot modifications and an oval-defected partial ground, </w:t>
      </w:r>
      <w:r w:rsidR="00F470EC">
        <w:rPr>
          <w:b/>
          <w:bCs/>
          <w:sz w:val="18"/>
          <w:szCs w:val="18"/>
        </w:rPr>
        <w:t>designed to enhance</w:t>
      </w:r>
      <w:r>
        <w:rPr>
          <w:b/>
          <w:bCs/>
          <w:sz w:val="18"/>
          <w:szCs w:val="18"/>
        </w:rPr>
        <w:t xml:space="preserve"> bandwidth and impedance matching. Fabricated on an FR-4 substrate (</w:t>
      </w:r>
      <w:proofErr w:type="spellStart"/>
      <w:r>
        <w:rPr>
          <w:b/>
          <w:bCs/>
          <w:sz w:val="18"/>
          <w:szCs w:val="18"/>
        </w:rPr>
        <w:t>ε</w:t>
      </w:r>
      <w:r>
        <w:rPr>
          <w:b/>
          <w:bCs/>
          <w:sz w:val="18"/>
          <w:szCs w:val="18"/>
          <w:vertAlign w:val="subscript"/>
        </w:rPr>
        <w:t>r</w:t>
      </w:r>
      <w:proofErr w:type="spellEnd"/>
      <w:r>
        <w:rPr>
          <w:b/>
          <w:bCs/>
          <w:sz w:val="18"/>
          <w:szCs w:val="18"/>
        </w:rPr>
        <w:t xml:space="preserve"> = 4.4, </w:t>
      </w:r>
      <w:proofErr w:type="spellStart"/>
      <w:r>
        <w:rPr>
          <w:b/>
          <w:bCs/>
          <w:sz w:val="18"/>
          <w:szCs w:val="18"/>
        </w:rPr>
        <w:t>tanδ</w:t>
      </w:r>
      <w:proofErr w:type="spellEnd"/>
      <w:r>
        <w:rPr>
          <w:b/>
          <w:bCs/>
          <w:sz w:val="18"/>
          <w:szCs w:val="18"/>
        </w:rPr>
        <w:t xml:space="preserve"> = 0.025), the antenna demonstrates a simulated return loss of -70 dB, a bandwidth of 550 MHz, and a simulated peak gain of 4.4 </w:t>
      </w:r>
      <w:proofErr w:type="spellStart"/>
      <w:r>
        <w:rPr>
          <w:b/>
          <w:bCs/>
          <w:sz w:val="18"/>
          <w:szCs w:val="18"/>
        </w:rPr>
        <w:t>dBi</w:t>
      </w:r>
      <w:proofErr w:type="spellEnd"/>
      <w:r>
        <w:rPr>
          <w:b/>
          <w:bCs/>
          <w:sz w:val="18"/>
          <w:szCs w:val="18"/>
        </w:rPr>
        <w:t xml:space="preserve">. Experimental measurements closely match the simulated results. On-body evaluations at various arm positions show consistent frequency shifts corresponding to changes in blood pressure, confirming the antenna’s potential for continuous, cuffless biomedical </w:t>
      </w:r>
      <w:proofErr w:type="spellStart"/>
      <w:r>
        <w:rPr>
          <w:b/>
          <w:bCs/>
          <w:sz w:val="18"/>
          <w:szCs w:val="18"/>
        </w:rPr>
        <w:t>monitoring.This</w:t>
      </w:r>
      <w:proofErr w:type="spellEnd"/>
      <w:r>
        <w:rPr>
          <w:b/>
          <w:bCs/>
          <w:sz w:val="18"/>
          <w:szCs w:val="18"/>
        </w:rPr>
        <w:t xml:space="preserve"> work supports SDG 3 (Good Health and Well-Being)—notably target 3.4 on reducing premature mortality from non-communicable diseases—by delivering a low-cost, non-invasive microstrip patch antenna for continuous, cuffless blood-pressure monitoring in the 2.4 GHz ISM band.</w:t>
      </w:r>
    </w:p>
    <w:p w14:paraId="128B00F0" w14:textId="77777777" w:rsidR="00CB4628" w:rsidRDefault="000B328F">
      <w:pPr>
        <w:pBdr>
          <w:top w:val="nil"/>
          <w:left w:val="nil"/>
          <w:bottom w:val="nil"/>
          <w:right w:val="nil"/>
          <w:between w:val="nil"/>
        </w:pBdr>
        <w:spacing w:after="120"/>
        <w:ind w:firstLine="274"/>
        <w:jc w:val="both"/>
        <w:rPr>
          <w:b/>
          <w:bCs/>
          <w:i/>
          <w:iCs/>
          <w:sz w:val="18"/>
          <w:szCs w:val="18"/>
        </w:rPr>
      </w:pPr>
      <w:r>
        <w:rPr>
          <w:b/>
          <w:bCs/>
          <w:i/>
          <w:iCs/>
          <w:color w:val="000000"/>
          <w:sz w:val="18"/>
          <w:szCs w:val="18"/>
        </w:rPr>
        <w:t xml:space="preserve">Keywords—  </w:t>
      </w:r>
      <w:r>
        <w:rPr>
          <w:b/>
          <w:bCs/>
          <w:i/>
          <w:iCs/>
          <w:sz w:val="18"/>
          <w:szCs w:val="18"/>
        </w:rPr>
        <w:t>Blood pressure monitoring, Microstrip patch antenna, Non-invasive sensing, Biomedical telemetry, and On-body measurements.</w:t>
      </w:r>
    </w:p>
    <w:p w14:paraId="128B00F1" w14:textId="77777777" w:rsidR="00CB4628" w:rsidRDefault="000B328F">
      <w:pPr>
        <w:pStyle w:val="Heading1"/>
        <w:numPr>
          <w:ilvl w:val="0"/>
          <w:numId w:val="1"/>
        </w:numPr>
      </w:pPr>
      <w:r>
        <w:t xml:space="preserve">Introduction </w:t>
      </w:r>
    </w:p>
    <w:p w14:paraId="128B00F2" w14:textId="12B40ABC" w:rsidR="00CB4628" w:rsidRDefault="000B328F">
      <w:pPr>
        <w:tabs>
          <w:tab w:val="left" w:pos="288"/>
        </w:tabs>
        <w:spacing w:before="240" w:after="240" w:line="228" w:lineRule="auto"/>
        <w:jc w:val="both"/>
      </w:pPr>
      <w:r>
        <w:t xml:space="preserve">Hypertension affects more than 1.2 billion adults globally and remains the leading preventable cause of cardiovascular disease, stroke, and kidney failure [1], [2]. Although highly prevalent, conventional cuff-based methods for measuring blood pressure are often uncomfortable, inconvenient, and unsuitable for continuous monitoring [3], [4]. These drawbacks have fueled growing interest in Non-Invasive Blood Pressure Monitoring (NIBPM) technologies. Leveraging wearable sensors, optical techniques such as photoplethysmography, and radio-frequency (RF) microstrip antennas, NIBPM enables real-time, cuff-free monitoring that is both more comfortable and patient-friendly [5]-[8]. By facilitating continuous data collection and improving </w:t>
      </w:r>
      <w:r w:rsidR="00001C90">
        <w:t xml:space="preserve">the early detection of hypertensive events, NIBPM plays a vital role in advancing personalized and preventive healthcare </w:t>
      </w:r>
      <w:r>
        <w:t>[18].</w:t>
      </w:r>
    </w:p>
    <w:p w14:paraId="128B00F3" w14:textId="34278A06" w:rsidR="00CB4628" w:rsidRDefault="000B328F">
      <w:pPr>
        <w:tabs>
          <w:tab w:val="left" w:pos="288"/>
        </w:tabs>
        <w:spacing w:before="240" w:after="240" w:line="228" w:lineRule="auto"/>
        <w:ind w:firstLine="360"/>
        <w:jc w:val="both"/>
      </w:pPr>
      <w:r>
        <w:t xml:space="preserve">Recent developments in microstrip antenna technology for non-invasive blood pressure monitoring have </w:t>
      </w:r>
      <w:r w:rsidR="00001C90">
        <w:t>underscored the importance of achieving stable resonance, high sensitivity, and compliance with</w:t>
      </w:r>
      <w:r>
        <w:t xml:space="preserve"> biomedical safety standards. Antenna designs operating within the 2.3-2.6 GHz ISM band</w:t>
      </w:r>
      <w:r w:rsidR="00F470EC">
        <w:t>, such as planar Yagi–Uda structures [9], wideband Vivaldi antennas [10], and metamaterial-based monopoles [11],</w:t>
      </w:r>
      <w:r>
        <w:t xml:space="preserve"> rely on variations in S-parameters to detect physiological changes, including shifts in pulse transit time and arterial properties. While flexible, body-conforming substrates offer advantages in wearability, they also present significant design challenges. These include inconsistent dielectric properties and thickness variations that can lead to frequency shifts, reduced performance under bending, and degradation of gain or bandwidth [12]-[14]. Furthermore, long-term durability and biocompatibility of such materials under real physiological conditions remain insufficiently validated [12]. In contrast, rigid substrates like FR-4 are valued for their mechanical stability, precise fabrication, and consistent electromagnetic performance traits that make them highly suitable for biomedical sensing applications [15], [16]. Experimental work, including both in-vivo and phantom-based testing, demonstrates that well-optimized antennas on rigid substrates can closely match simulated performance, reinforcing their viability for accurate, continuous, and cuffless blood pressure </w:t>
      </w:r>
      <w:r w:rsidR="00001C90">
        <w:t>monitoring [</w:t>
      </w:r>
      <w:r>
        <w:t>20].</w:t>
      </w:r>
    </w:p>
    <w:p w14:paraId="128B00F4" w14:textId="3DFDE6CF" w:rsidR="00CB4628" w:rsidRDefault="000B328F">
      <w:pPr>
        <w:tabs>
          <w:tab w:val="left" w:pos="288"/>
        </w:tabs>
        <w:spacing w:before="240" w:after="240" w:line="228" w:lineRule="auto"/>
        <w:ind w:firstLine="360"/>
        <w:jc w:val="both"/>
      </w:pPr>
      <w:r>
        <w:t xml:space="preserve">This study presents the design, simulation, and experimental evaluation of a compact inset-fed microstrip patch antenna </w:t>
      </w:r>
      <w:r w:rsidR="00001C90">
        <w:t>explicitly developed</w:t>
      </w:r>
      <w:r>
        <w:t xml:space="preserve"> for non-invasive blood pressure monitoring in the 2.4 GHz ISM band. The proposed antenna integrates a slot-modified radiating patch with an oval-shaped defected partial ground to improve both impedance bandwidth and radiation efficiency. Fabricated on a 76 × 59.5 mm FR-4 substrate, the prototype achieved a measured bandwidth of 532 MHz and a peak gain of 4.4 </w:t>
      </w:r>
      <w:proofErr w:type="spellStart"/>
      <w:r>
        <w:t>dBi</w:t>
      </w:r>
      <w:proofErr w:type="spellEnd"/>
      <w:r>
        <w:t>. Its cost-effective construction, mechanical durability, and high sensitivity to physiological changes position it as a strong candidate for continuous, cuff-free blood pressure monitoring in healthcare applications[19] .</w:t>
      </w:r>
    </w:p>
    <w:p w14:paraId="128B00F5" w14:textId="77777777" w:rsidR="00CB4628" w:rsidRDefault="00CB4628">
      <w:pPr>
        <w:pBdr>
          <w:top w:val="nil"/>
          <w:left w:val="nil"/>
          <w:bottom w:val="nil"/>
          <w:right w:val="nil"/>
          <w:between w:val="nil"/>
        </w:pBdr>
        <w:tabs>
          <w:tab w:val="left" w:pos="288"/>
        </w:tabs>
        <w:spacing w:after="120" w:line="228" w:lineRule="auto"/>
        <w:ind w:firstLine="288"/>
        <w:jc w:val="both"/>
        <w:rPr>
          <w:color w:val="000000"/>
        </w:rPr>
      </w:pPr>
    </w:p>
    <w:p w14:paraId="128B00F6" w14:textId="77777777" w:rsidR="00CB4628" w:rsidRDefault="000B328F">
      <w:pPr>
        <w:pStyle w:val="Heading1"/>
        <w:numPr>
          <w:ilvl w:val="0"/>
          <w:numId w:val="1"/>
        </w:numPr>
      </w:pPr>
      <w:r>
        <w:lastRenderedPageBreak/>
        <w:t xml:space="preserve">Antenna Design And Simulation </w:t>
      </w:r>
    </w:p>
    <w:p w14:paraId="128B00F7" w14:textId="61F8D500" w:rsidR="00CB4628" w:rsidRDefault="000B328F">
      <w:pPr>
        <w:pBdr>
          <w:top w:val="nil"/>
          <w:left w:val="nil"/>
          <w:bottom w:val="nil"/>
          <w:right w:val="nil"/>
          <w:between w:val="nil"/>
        </w:pBdr>
        <w:tabs>
          <w:tab w:val="left" w:pos="288"/>
        </w:tabs>
        <w:spacing w:after="120" w:line="228" w:lineRule="auto"/>
        <w:ind w:firstLine="288"/>
        <w:jc w:val="both"/>
      </w:pPr>
      <w:r>
        <w:t>The microstrip patch antenna was designed to fulfill the specific requirements of on-body blood pressure monitoring within the 2.4 GHz ISM band. Key design goals included maintaining stable radiation performance in proximity to human tissue and achieving a broad impedance bandwidth to support reliable signal transmission. FR-4 was chosen as the substrate due to its consistent dielectric properties (</w:t>
      </w:r>
      <w:proofErr w:type="spellStart"/>
      <w:r>
        <w:t>ε</w:t>
      </w:r>
      <w:r>
        <w:rPr>
          <w:vertAlign w:val="subscript"/>
        </w:rPr>
        <w:t>r</w:t>
      </w:r>
      <w:proofErr w:type="spellEnd"/>
      <w:r>
        <w:t xml:space="preserve"> = 4.4), moderate loss tangent (</w:t>
      </w:r>
      <w:proofErr w:type="spellStart"/>
      <w:r>
        <w:t>tanδ</w:t>
      </w:r>
      <w:proofErr w:type="spellEnd"/>
      <w:r>
        <w:t xml:space="preserve"> = 0.025), and cost-effectiveness for mass production. The substrate was configured with a thickness of 1.6 mm and planar dimensions of 76 × 59.5 mm</w:t>
      </w:r>
      <w:r w:rsidR="00E621D1" w:rsidRPr="00E621D1">
        <w:rPr>
          <w:vertAlign w:val="superscript"/>
          <w:lang w:val="en-US"/>
        </w:rPr>
        <w:t>2</w:t>
      </w:r>
      <w:r>
        <w:t>. Full-wave electromagnetic simulations, combined with iterative parametric optimization in CST Microwave Studio, were used to fine-tune the antenna geometry targeting improved impedance matching, bandwidth, and</w:t>
      </w:r>
      <w:r w:rsidR="00F470EC">
        <w:t>,</w:t>
      </w:r>
      <w:r>
        <w:t xml:space="preserve"> before proceeding to fabrication.</w:t>
      </w:r>
    </w:p>
    <w:p w14:paraId="128B00F8" w14:textId="4186C519" w:rsidR="00CB4628" w:rsidRDefault="000B328F">
      <w:pPr>
        <w:tabs>
          <w:tab w:val="left" w:pos="288"/>
        </w:tabs>
        <w:spacing w:before="240" w:after="240" w:line="228" w:lineRule="auto"/>
        <w:ind w:firstLine="280"/>
        <w:jc w:val="both"/>
      </w:pPr>
      <w:r>
        <w:t>The top view of the proposed microstrip patch antenna, illustrated in Figure 1(a), is implemented on a rectangular FR-4 substrate with overall dimensions W</w:t>
      </w:r>
      <w:r>
        <w:rPr>
          <w:vertAlign w:val="subscript"/>
        </w:rPr>
        <w:t>S</w:t>
      </w:r>
      <w:r>
        <w:t xml:space="preserve"> and L</w:t>
      </w:r>
      <w:r>
        <w:rPr>
          <w:vertAlign w:val="subscript"/>
        </w:rPr>
        <w:t>S</w:t>
      </w:r>
      <w:r>
        <w:t>. The radiating patch features a main width (W</w:t>
      </w:r>
      <w:r>
        <w:rPr>
          <w:vertAlign w:val="subscript"/>
        </w:rPr>
        <w:t>P</w:t>
      </w:r>
      <w:r>
        <w:t>) and length (L</w:t>
      </w:r>
      <w:r>
        <w:rPr>
          <w:vertAlign w:val="subscript"/>
        </w:rPr>
        <w:t>P</w:t>
      </w:r>
      <w:r>
        <w:t xml:space="preserve">), both </w:t>
      </w:r>
      <w:r w:rsidR="00F470EC">
        <w:t xml:space="preserve">of which are </w:t>
      </w:r>
      <w:r>
        <w:t>optimized to ensure resonance at 2.4 GHz. A central feed line measuring W</w:t>
      </w:r>
      <w:r>
        <w:rPr>
          <w:vertAlign w:val="subscript"/>
        </w:rPr>
        <w:t>F</w:t>
      </w:r>
      <w:r>
        <w:t xml:space="preserve"> in width and L</w:t>
      </w:r>
      <w:r>
        <w:rPr>
          <w:vertAlign w:val="subscript"/>
        </w:rPr>
        <w:t>F</w:t>
      </w:r>
      <w:r>
        <w:t xml:space="preserve"> in length extends from the bottom edge of the substrate into the patch using an </w:t>
      </w:r>
      <w:proofErr w:type="spellStart"/>
      <w:r>
        <w:t>inset</w:t>
      </w:r>
      <w:proofErr w:type="spellEnd"/>
      <w:r>
        <w:t>-fed configuration, providing a precise 50 Ω impedance match. To enhance performance, the patch incorporates two symmetrical vertical slots that form a U-shaped contour; each slot is defined by its width (W</w:t>
      </w:r>
      <w:r>
        <w:rPr>
          <w:vertAlign w:val="subscript"/>
        </w:rPr>
        <w:t>P2</w:t>
      </w:r>
      <w:r>
        <w:t>) and depth (L</w:t>
      </w:r>
      <w:r>
        <w:rPr>
          <w:vertAlign w:val="subscript"/>
        </w:rPr>
        <w:t>P2</w:t>
      </w:r>
      <w:r>
        <w:t>). Additionally, an elliptical slot is placed at the center of the patch to manage surface current distribution, expand bandwidth, and improve impedance characteristics. The entire geometry is symmetrically aligned along the vertical axis to maintain balanced current flow and ensure stable radiation behavior.</w:t>
      </w:r>
    </w:p>
    <w:p w14:paraId="128B00F9" w14:textId="36CFAE5D" w:rsidR="00CB4628" w:rsidRDefault="000B328F">
      <w:pPr>
        <w:tabs>
          <w:tab w:val="left" w:pos="288"/>
        </w:tabs>
        <w:spacing w:before="240" w:after="240" w:line="228" w:lineRule="auto"/>
        <w:ind w:firstLine="280"/>
        <w:jc w:val="both"/>
      </w:pPr>
      <w:r>
        <w:t>The bottom view of the proposed microstrip patch antenna, shown in Figure 1(b), reveals a partial ground plane occupying the lower portion of the FR-4 substrate. The ground plane features a gently curved upper edge that transitions smoothly into the dielectric surface</w:t>
      </w:r>
      <w:r w:rsidR="00001C90">
        <w:t>,</w:t>
      </w:r>
      <w:r>
        <w:t xml:space="preserve"> an intentional design choice to optimize surface current distribution and minimize the propagation of unwanted surface waves. Centrally aligned with the feed line is an enlarged circular slot, serving as a key element in the defected ground structure (DGS) to extend bandwidth and improve impedance matching. Just below the feed line, a narrow rectangular slot (W</w:t>
      </w:r>
      <w:r>
        <w:rPr>
          <w:vertAlign w:val="subscript"/>
        </w:rPr>
        <w:t>g2</w:t>
      </w:r>
      <w:r>
        <w:t xml:space="preserve"> × L</w:t>
      </w:r>
      <w:r>
        <w:rPr>
          <w:vertAlign w:val="subscript"/>
        </w:rPr>
        <w:t>g2</w:t>
      </w:r>
      <w:r>
        <w:t>) extends downward from the circular slot toward the substrate’s lower edge. This slot further redirects ground current flow, contributing to enhanced radiation efficiency. A complete list of design parameters is provided in Table I.</w:t>
      </w:r>
    </w:p>
    <w:p w14:paraId="128B00FA" w14:textId="77777777" w:rsidR="00CB4628" w:rsidRDefault="00CB4628">
      <w:pPr>
        <w:tabs>
          <w:tab w:val="left" w:pos="288"/>
        </w:tabs>
        <w:spacing w:before="240" w:after="240" w:line="228" w:lineRule="auto"/>
        <w:ind w:firstLine="280"/>
        <w:jc w:val="both"/>
      </w:pPr>
    </w:p>
    <w:p w14:paraId="128B00FB" w14:textId="77777777" w:rsidR="00CB4628" w:rsidRDefault="00CB4628">
      <w:pPr>
        <w:tabs>
          <w:tab w:val="left" w:pos="288"/>
        </w:tabs>
        <w:spacing w:before="240" w:after="240" w:line="228" w:lineRule="auto"/>
        <w:ind w:firstLine="280"/>
        <w:jc w:val="both"/>
      </w:pPr>
    </w:p>
    <w:sdt>
      <w:sdtPr>
        <w:tag w:val="goog_rdk_0"/>
        <w:id w:val="-1619326147"/>
        <w:lock w:val="contentLocked"/>
      </w:sdtPr>
      <w:sdtContent>
        <w:tbl>
          <w:tblPr>
            <w:tblStyle w:val="a"/>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5"/>
          </w:tblGrid>
          <w:tr w:rsidR="00CB4628" w14:paraId="128B00FE" w14:textId="77777777">
            <w:tc>
              <w:tcPr>
                <w:tcW w:w="4865" w:type="dxa"/>
                <w:tcMar>
                  <w:top w:w="100" w:type="dxa"/>
                  <w:left w:w="100" w:type="dxa"/>
                  <w:bottom w:w="100" w:type="dxa"/>
                  <w:right w:w="100" w:type="dxa"/>
                </w:tcMar>
              </w:tcPr>
              <w:p w14:paraId="128B00FC" w14:textId="77777777" w:rsidR="00CB4628" w:rsidRDefault="000B328F">
                <w:pPr>
                  <w:tabs>
                    <w:tab w:val="left" w:pos="288"/>
                  </w:tabs>
                  <w:spacing w:before="240" w:after="240" w:line="228" w:lineRule="auto"/>
                  <w:ind w:firstLine="280"/>
                  <w:jc w:val="both"/>
                </w:pPr>
                <w:r>
                  <w:rPr>
                    <w:noProof/>
                  </w:rPr>
                  <w:drawing>
                    <wp:inline distT="114300" distB="114300" distL="114300" distR="114300" wp14:anchorId="128B0189" wp14:editId="128B018A">
                      <wp:extent cx="2673757" cy="234055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673757" cy="2340553"/>
                              </a:xfrm>
                              <a:prstGeom prst="rect">
                                <a:avLst/>
                              </a:prstGeom>
                              <a:ln/>
                            </pic:spPr>
                          </pic:pic>
                        </a:graphicData>
                      </a:graphic>
                    </wp:inline>
                  </w:drawing>
                </w:r>
              </w:p>
              <w:p w14:paraId="128B00FD" w14:textId="77777777" w:rsidR="00CB4628" w:rsidRDefault="000B328F">
                <w:pPr>
                  <w:tabs>
                    <w:tab w:val="left" w:pos="288"/>
                  </w:tabs>
                  <w:spacing w:before="240" w:after="240" w:line="228" w:lineRule="auto"/>
                  <w:ind w:firstLine="280"/>
                </w:pPr>
                <w:r>
                  <w:t>(a)</w:t>
                </w:r>
              </w:p>
            </w:tc>
          </w:tr>
          <w:tr w:rsidR="00CB4628" w14:paraId="128B0101" w14:textId="77777777">
            <w:tc>
              <w:tcPr>
                <w:tcW w:w="4865" w:type="dxa"/>
                <w:tcMar>
                  <w:top w:w="100" w:type="dxa"/>
                  <w:left w:w="100" w:type="dxa"/>
                  <w:bottom w:w="100" w:type="dxa"/>
                  <w:right w:w="100" w:type="dxa"/>
                </w:tcMar>
              </w:tcPr>
              <w:p w14:paraId="128B00FF"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8B" wp14:editId="128B018C">
                      <wp:extent cx="2863760" cy="250895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863760" cy="2508958"/>
                              </a:xfrm>
                              <a:prstGeom prst="rect">
                                <a:avLst/>
                              </a:prstGeom>
                              <a:ln/>
                            </pic:spPr>
                          </pic:pic>
                        </a:graphicData>
                      </a:graphic>
                    </wp:inline>
                  </w:drawing>
                </w:r>
              </w:p>
              <w:p w14:paraId="128B0100" w14:textId="77777777" w:rsidR="00CB4628" w:rsidRDefault="000B328F">
                <w:pPr>
                  <w:widowControl w:val="0"/>
                  <w:pBdr>
                    <w:top w:val="nil"/>
                    <w:left w:val="nil"/>
                    <w:bottom w:val="nil"/>
                    <w:right w:val="nil"/>
                    <w:between w:val="nil"/>
                  </w:pBdr>
                </w:pPr>
                <w:r>
                  <w:t>(b)</w:t>
                </w:r>
              </w:p>
            </w:tc>
          </w:tr>
        </w:tbl>
      </w:sdtContent>
    </w:sdt>
    <w:p w14:paraId="128B0102" w14:textId="77777777" w:rsidR="00CB4628" w:rsidRDefault="000B328F">
      <w:pPr>
        <w:tabs>
          <w:tab w:val="left" w:pos="288"/>
        </w:tabs>
        <w:spacing w:before="240" w:after="240" w:line="228" w:lineRule="auto"/>
        <w:ind w:firstLine="280"/>
        <w:jc w:val="both"/>
      </w:pPr>
      <w:r>
        <w:rPr>
          <w:sz w:val="16"/>
          <w:szCs w:val="16"/>
        </w:rPr>
        <w:t>Fig. 1 Proposed antenna design. (a) Front view, and (b) Back view</w:t>
      </w:r>
      <w:r>
        <w:t xml:space="preserve"> .</w:t>
      </w:r>
    </w:p>
    <w:p w14:paraId="128B0103" w14:textId="77777777" w:rsidR="00CB4628" w:rsidRDefault="000B328F">
      <w:pPr>
        <w:tabs>
          <w:tab w:val="left" w:pos="288"/>
        </w:tabs>
        <w:spacing w:after="120" w:line="228" w:lineRule="auto"/>
        <w:jc w:val="both"/>
      </w:pPr>
      <w:r>
        <w:t xml:space="preserve">TABLE I. </w:t>
      </w:r>
      <w:r>
        <w:rPr>
          <w:sz w:val="14"/>
          <w:szCs w:val="14"/>
        </w:rPr>
        <w:t xml:space="preserve"> </w:t>
      </w:r>
      <w:r>
        <w:t>Design parameters of the proposed antenna</w:t>
      </w:r>
    </w:p>
    <w:sdt>
      <w:sdtPr>
        <w:tag w:val="goog_rdk_1"/>
        <w:id w:val="-334941417"/>
        <w:lock w:val="contentLocked"/>
      </w:sdtPr>
      <w:sdtContent>
        <w:tbl>
          <w:tblPr>
            <w:tblStyle w:val="a0"/>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7"/>
            <w:gridCol w:w="1216"/>
            <w:gridCol w:w="1216"/>
            <w:gridCol w:w="1216"/>
          </w:tblGrid>
          <w:tr w:rsidR="00CB4628" w14:paraId="128B0108" w14:textId="77777777">
            <w:tc>
              <w:tcPr>
                <w:tcW w:w="1216" w:type="dxa"/>
                <w:tcMar>
                  <w:top w:w="100" w:type="dxa"/>
                  <w:left w:w="100" w:type="dxa"/>
                  <w:bottom w:w="100" w:type="dxa"/>
                  <w:right w:w="100" w:type="dxa"/>
                </w:tcMar>
              </w:tcPr>
              <w:p w14:paraId="128B0104" w14:textId="77777777" w:rsidR="00CB4628" w:rsidRDefault="000B328F">
                <w:pPr>
                  <w:widowControl w:val="0"/>
                  <w:pBdr>
                    <w:top w:val="nil"/>
                    <w:left w:val="nil"/>
                    <w:bottom w:val="nil"/>
                    <w:right w:val="nil"/>
                    <w:between w:val="nil"/>
                  </w:pBdr>
                  <w:rPr>
                    <w:b/>
                    <w:bCs/>
                  </w:rPr>
                </w:pPr>
                <w:r>
                  <w:rPr>
                    <w:b/>
                    <w:bCs/>
                  </w:rPr>
                  <w:t xml:space="preserve">Design Parameter </w:t>
                </w:r>
              </w:p>
            </w:tc>
            <w:tc>
              <w:tcPr>
                <w:tcW w:w="1216" w:type="dxa"/>
                <w:tcMar>
                  <w:top w:w="100" w:type="dxa"/>
                  <w:left w:w="100" w:type="dxa"/>
                  <w:bottom w:w="100" w:type="dxa"/>
                  <w:right w:w="100" w:type="dxa"/>
                </w:tcMar>
              </w:tcPr>
              <w:p w14:paraId="128B0105" w14:textId="77777777" w:rsidR="00CB4628" w:rsidRDefault="000B328F">
                <w:pPr>
                  <w:widowControl w:val="0"/>
                  <w:pBdr>
                    <w:top w:val="nil"/>
                    <w:left w:val="nil"/>
                    <w:bottom w:val="nil"/>
                    <w:right w:val="nil"/>
                    <w:between w:val="nil"/>
                  </w:pBdr>
                  <w:rPr>
                    <w:b/>
                    <w:bCs/>
                  </w:rPr>
                </w:pPr>
                <w:r>
                  <w:rPr>
                    <w:b/>
                    <w:bCs/>
                  </w:rPr>
                  <w:t>Length (mm)</w:t>
                </w:r>
              </w:p>
            </w:tc>
            <w:tc>
              <w:tcPr>
                <w:tcW w:w="1216" w:type="dxa"/>
                <w:tcMar>
                  <w:top w:w="100" w:type="dxa"/>
                  <w:left w:w="100" w:type="dxa"/>
                  <w:bottom w:w="100" w:type="dxa"/>
                  <w:right w:w="100" w:type="dxa"/>
                </w:tcMar>
              </w:tcPr>
              <w:p w14:paraId="128B0106" w14:textId="77777777" w:rsidR="00CB4628" w:rsidRDefault="000B328F">
                <w:pPr>
                  <w:widowControl w:val="0"/>
                  <w:pBdr>
                    <w:top w:val="nil"/>
                    <w:left w:val="nil"/>
                    <w:bottom w:val="nil"/>
                    <w:right w:val="nil"/>
                    <w:between w:val="nil"/>
                  </w:pBdr>
                  <w:rPr>
                    <w:b/>
                    <w:bCs/>
                  </w:rPr>
                </w:pPr>
                <w:r>
                  <w:rPr>
                    <w:b/>
                    <w:bCs/>
                  </w:rPr>
                  <w:t xml:space="preserve">Design Parameter </w:t>
                </w:r>
              </w:p>
            </w:tc>
            <w:tc>
              <w:tcPr>
                <w:tcW w:w="1216" w:type="dxa"/>
                <w:tcMar>
                  <w:top w:w="100" w:type="dxa"/>
                  <w:left w:w="100" w:type="dxa"/>
                  <w:bottom w:w="100" w:type="dxa"/>
                  <w:right w:w="100" w:type="dxa"/>
                </w:tcMar>
              </w:tcPr>
              <w:p w14:paraId="128B0107" w14:textId="77777777" w:rsidR="00CB4628" w:rsidRDefault="000B328F">
                <w:pPr>
                  <w:widowControl w:val="0"/>
                  <w:pBdr>
                    <w:top w:val="nil"/>
                    <w:left w:val="nil"/>
                    <w:bottom w:val="nil"/>
                    <w:right w:val="nil"/>
                    <w:between w:val="nil"/>
                  </w:pBdr>
                  <w:rPr>
                    <w:b/>
                    <w:bCs/>
                  </w:rPr>
                </w:pPr>
                <w:r>
                  <w:rPr>
                    <w:b/>
                    <w:bCs/>
                  </w:rPr>
                  <w:t>Length (mm)</w:t>
                </w:r>
              </w:p>
            </w:tc>
          </w:tr>
          <w:tr w:rsidR="00CB4628" w14:paraId="128B010D" w14:textId="77777777">
            <w:tc>
              <w:tcPr>
                <w:tcW w:w="1216" w:type="dxa"/>
                <w:tcMar>
                  <w:top w:w="100" w:type="dxa"/>
                  <w:left w:w="100" w:type="dxa"/>
                  <w:bottom w:w="100" w:type="dxa"/>
                  <w:right w:w="100" w:type="dxa"/>
                </w:tcMar>
              </w:tcPr>
              <w:p w14:paraId="128B0109" w14:textId="77777777" w:rsidR="00CB4628" w:rsidRDefault="000B328F">
                <w:pPr>
                  <w:widowControl w:val="0"/>
                  <w:pBdr>
                    <w:top w:val="nil"/>
                    <w:left w:val="nil"/>
                    <w:bottom w:val="nil"/>
                    <w:right w:val="nil"/>
                    <w:between w:val="nil"/>
                  </w:pBdr>
                </w:pPr>
                <w:r>
                  <w:t>L</w:t>
                </w:r>
                <w:r>
                  <w:rPr>
                    <w:vertAlign w:val="subscript"/>
                  </w:rPr>
                  <w:t>s</w:t>
                </w:r>
                <w:r>
                  <w:t xml:space="preserve"> </w:t>
                </w:r>
              </w:p>
            </w:tc>
            <w:tc>
              <w:tcPr>
                <w:tcW w:w="1216" w:type="dxa"/>
                <w:tcMar>
                  <w:top w:w="100" w:type="dxa"/>
                  <w:left w:w="100" w:type="dxa"/>
                  <w:bottom w:w="100" w:type="dxa"/>
                  <w:right w:w="100" w:type="dxa"/>
                </w:tcMar>
              </w:tcPr>
              <w:p w14:paraId="128B010A" w14:textId="77777777" w:rsidR="00CB4628" w:rsidRDefault="000B328F">
                <w:pPr>
                  <w:widowControl w:val="0"/>
                  <w:pBdr>
                    <w:top w:val="nil"/>
                    <w:left w:val="nil"/>
                    <w:bottom w:val="nil"/>
                    <w:right w:val="nil"/>
                    <w:between w:val="nil"/>
                  </w:pBdr>
                </w:pPr>
                <w:r>
                  <w:t>59.5</w:t>
                </w:r>
              </w:p>
            </w:tc>
            <w:tc>
              <w:tcPr>
                <w:tcW w:w="1216" w:type="dxa"/>
                <w:tcMar>
                  <w:top w:w="100" w:type="dxa"/>
                  <w:left w:w="100" w:type="dxa"/>
                  <w:bottom w:w="100" w:type="dxa"/>
                  <w:right w:w="100" w:type="dxa"/>
                </w:tcMar>
              </w:tcPr>
              <w:p w14:paraId="128B010B" w14:textId="77777777" w:rsidR="00CB4628" w:rsidRDefault="000B328F">
                <w:pPr>
                  <w:widowControl w:val="0"/>
                  <w:pBdr>
                    <w:top w:val="nil"/>
                    <w:left w:val="nil"/>
                    <w:bottom w:val="nil"/>
                    <w:right w:val="nil"/>
                    <w:between w:val="nil"/>
                  </w:pBdr>
                </w:pPr>
                <w:r>
                  <w:t>L</w:t>
                </w:r>
                <w:r>
                  <w:rPr>
                    <w:vertAlign w:val="subscript"/>
                  </w:rPr>
                  <w:t>g</w:t>
                </w:r>
                <w:r>
                  <w:t xml:space="preserve"> </w:t>
                </w:r>
              </w:p>
            </w:tc>
            <w:tc>
              <w:tcPr>
                <w:tcW w:w="1216" w:type="dxa"/>
                <w:tcMar>
                  <w:top w:w="100" w:type="dxa"/>
                  <w:left w:w="100" w:type="dxa"/>
                  <w:bottom w:w="100" w:type="dxa"/>
                  <w:right w:w="100" w:type="dxa"/>
                </w:tcMar>
              </w:tcPr>
              <w:p w14:paraId="128B010C" w14:textId="77777777" w:rsidR="00CB4628" w:rsidRDefault="000B328F">
                <w:pPr>
                  <w:widowControl w:val="0"/>
                  <w:pBdr>
                    <w:top w:val="nil"/>
                    <w:left w:val="nil"/>
                    <w:bottom w:val="nil"/>
                    <w:right w:val="nil"/>
                    <w:between w:val="nil"/>
                  </w:pBdr>
                </w:pPr>
                <w:r>
                  <w:t>49.2</w:t>
                </w:r>
              </w:p>
            </w:tc>
          </w:tr>
          <w:tr w:rsidR="00CB4628" w14:paraId="128B0112" w14:textId="77777777">
            <w:tc>
              <w:tcPr>
                <w:tcW w:w="1216" w:type="dxa"/>
                <w:tcMar>
                  <w:top w:w="100" w:type="dxa"/>
                  <w:left w:w="100" w:type="dxa"/>
                  <w:bottom w:w="100" w:type="dxa"/>
                  <w:right w:w="100" w:type="dxa"/>
                </w:tcMar>
              </w:tcPr>
              <w:p w14:paraId="128B010E" w14:textId="77777777" w:rsidR="00CB4628" w:rsidRDefault="000B328F">
                <w:pPr>
                  <w:widowControl w:val="0"/>
                  <w:pBdr>
                    <w:top w:val="nil"/>
                    <w:left w:val="nil"/>
                    <w:bottom w:val="nil"/>
                    <w:right w:val="nil"/>
                    <w:between w:val="nil"/>
                  </w:pBdr>
                </w:pPr>
                <w:r>
                  <w:t>W</w:t>
                </w:r>
                <w:r>
                  <w:rPr>
                    <w:vertAlign w:val="subscript"/>
                  </w:rPr>
                  <w:t>s</w:t>
                </w:r>
                <w:r>
                  <w:t xml:space="preserve"> </w:t>
                </w:r>
              </w:p>
            </w:tc>
            <w:tc>
              <w:tcPr>
                <w:tcW w:w="1216" w:type="dxa"/>
                <w:tcMar>
                  <w:top w:w="100" w:type="dxa"/>
                  <w:left w:w="100" w:type="dxa"/>
                  <w:bottom w:w="100" w:type="dxa"/>
                  <w:right w:w="100" w:type="dxa"/>
                </w:tcMar>
              </w:tcPr>
              <w:p w14:paraId="128B010F" w14:textId="77777777" w:rsidR="00CB4628" w:rsidRDefault="000B328F">
                <w:pPr>
                  <w:widowControl w:val="0"/>
                  <w:pBdr>
                    <w:top w:val="nil"/>
                    <w:left w:val="nil"/>
                    <w:bottom w:val="nil"/>
                    <w:right w:val="nil"/>
                    <w:between w:val="nil"/>
                  </w:pBdr>
                </w:pPr>
                <w:r>
                  <w:t>76</w:t>
                </w:r>
              </w:p>
            </w:tc>
            <w:tc>
              <w:tcPr>
                <w:tcW w:w="1216" w:type="dxa"/>
                <w:tcMar>
                  <w:top w:w="100" w:type="dxa"/>
                  <w:left w:w="100" w:type="dxa"/>
                  <w:bottom w:w="100" w:type="dxa"/>
                  <w:right w:w="100" w:type="dxa"/>
                </w:tcMar>
              </w:tcPr>
              <w:p w14:paraId="128B0110" w14:textId="77777777" w:rsidR="00CB4628" w:rsidRDefault="000B328F">
                <w:pPr>
                  <w:widowControl w:val="0"/>
                  <w:pBdr>
                    <w:top w:val="nil"/>
                    <w:left w:val="nil"/>
                    <w:bottom w:val="nil"/>
                    <w:right w:val="nil"/>
                    <w:between w:val="nil"/>
                  </w:pBdr>
                </w:pPr>
                <w:r>
                  <w:t>W</w:t>
                </w:r>
                <w:r>
                  <w:rPr>
                    <w:vertAlign w:val="subscript"/>
                  </w:rPr>
                  <w:t>g</w:t>
                </w:r>
                <w:r>
                  <w:t xml:space="preserve"> </w:t>
                </w:r>
              </w:p>
            </w:tc>
            <w:tc>
              <w:tcPr>
                <w:tcW w:w="1216" w:type="dxa"/>
                <w:tcMar>
                  <w:top w:w="100" w:type="dxa"/>
                  <w:left w:w="100" w:type="dxa"/>
                  <w:bottom w:w="100" w:type="dxa"/>
                  <w:right w:w="100" w:type="dxa"/>
                </w:tcMar>
              </w:tcPr>
              <w:p w14:paraId="128B0111" w14:textId="77777777" w:rsidR="00CB4628" w:rsidRDefault="000B328F">
                <w:pPr>
                  <w:widowControl w:val="0"/>
                  <w:pBdr>
                    <w:top w:val="nil"/>
                    <w:left w:val="nil"/>
                    <w:bottom w:val="nil"/>
                    <w:right w:val="nil"/>
                    <w:between w:val="nil"/>
                  </w:pBdr>
                </w:pPr>
                <w:r>
                  <w:t>19</w:t>
                </w:r>
              </w:p>
            </w:tc>
          </w:tr>
          <w:tr w:rsidR="00CB4628" w14:paraId="128B0117" w14:textId="77777777">
            <w:tc>
              <w:tcPr>
                <w:tcW w:w="1216" w:type="dxa"/>
                <w:tcMar>
                  <w:top w:w="100" w:type="dxa"/>
                  <w:left w:w="100" w:type="dxa"/>
                  <w:bottom w:w="100" w:type="dxa"/>
                  <w:right w:w="100" w:type="dxa"/>
                </w:tcMar>
              </w:tcPr>
              <w:p w14:paraId="128B0113" w14:textId="77777777" w:rsidR="00CB4628" w:rsidRDefault="000B328F">
                <w:pPr>
                  <w:widowControl w:val="0"/>
                  <w:pBdr>
                    <w:top w:val="nil"/>
                    <w:left w:val="nil"/>
                    <w:bottom w:val="nil"/>
                    <w:right w:val="nil"/>
                    <w:between w:val="nil"/>
                  </w:pBdr>
                </w:pPr>
                <w:r>
                  <w:t>L</w:t>
                </w:r>
                <w:r>
                  <w:rPr>
                    <w:vertAlign w:val="subscript"/>
                  </w:rPr>
                  <w:t>p</w:t>
                </w:r>
                <w:r>
                  <w:t xml:space="preserve"> </w:t>
                </w:r>
              </w:p>
            </w:tc>
            <w:tc>
              <w:tcPr>
                <w:tcW w:w="1216" w:type="dxa"/>
                <w:tcMar>
                  <w:top w:w="100" w:type="dxa"/>
                  <w:left w:w="100" w:type="dxa"/>
                  <w:bottom w:w="100" w:type="dxa"/>
                  <w:right w:w="100" w:type="dxa"/>
                </w:tcMar>
              </w:tcPr>
              <w:p w14:paraId="128B0114" w14:textId="77777777" w:rsidR="00CB4628" w:rsidRDefault="000B328F">
                <w:pPr>
                  <w:widowControl w:val="0"/>
                  <w:pBdr>
                    <w:top w:val="nil"/>
                    <w:left w:val="nil"/>
                    <w:bottom w:val="nil"/>
                    <w:right w:val="nil"/>
                    <w:between w:val="nil"/>
                  </w:pBdr>
                </w:pPr>
                <w:r>
                  <w:t>27</w:t>
                </w:r>
              </w:p>
            </w:tc>
            <w:tc>
              <w:tcPr>
                <w:tcW w:w="1216" w:type="dxa"/>
                <w:tcMar>
                  <w:top w:w="100" w:type="dxa"/>
                  <w:left w:w="100" w:type="dxa"/>
                  <w:bottom w:w="100" w:type="dxa"/>
                  <w:right w:w="100" w:type="dxa"/>
                </w:tcMar>
              </w:tcPr>
              <w:p w14:paraId="128B0115" w14:textId="77777777" w:rsidR="00CB4628" w:rsidRDefault="000B328F">
                <w:pPr>
                  <w:widowControl w:val="0"/>
                  <w:pBdr>
                    <w:top w:val="nil"/>
                    <w:left w:val="nil"/>
                    <w:bottom w:val="nil"/>
                    <w:right w:val="nil"/>
                    <w:between w:val="nil"/>
                  </w:pBdr>
                </w:pPr>
                <w:r>
                  <w:t>L</w:t>
                </w:r>
                <w:r>
                  <w:rPr>
                    <w:vertAlign w:val="subscript"/>
                  </w:rPr>
                  <w:t>p2</w:t>
                </w:r>
                <w:r>
                  <w:t xml:space="preserve"> </w:t>
                </w:r>
              </w:p>
            </w:tc>
            <w:tc>
              <w:tcPr>
                <w:tcW w:w="1216" w:type="dxa"/>
                <w:tcMar>
                  <w:top w:w="100" w:type="dxa"/>
                  <w:left w:w="100" w:type="dxa"/>
                  <w:bottom w:w="100" w:type="dxa"/>
                  <w:right w:w="100" w:type="dxa"/>
                </w:tcMar>
              </w:tcPr>
              <w:p w14:paraId="128B0116" w14:textId="77777777" w:rsidR="00CB4628" w:rsidRDefault="000B328F">
                <w:pPr>
                  <w:widowControl w:val="0"/>
                  <w:pBdr>
                    <w:top w:val="nil"/>
                    <w:left w:val="nil"/>
                    <w:bottom w:val="nil"/>
                    <w:right w:val="nil"/>
                    <w:between w:val="nil"/>
                  </w:pBdr>
                </w:pPr>
                <w:r>
                  <w:t>13.3</w:t>
                </w:r>
              </w:p>
            </w:tc>
          </w:tr>
          <w:tr w:rsidR="00CB4628" w14:paraId="128B011C" w14:textId="77777777">
            <w:tc>
              <w:tcPr>
                <w:tcW w:w="1216" w:type="dxa"/>
                <w:tcMar>
                  <w:top w:w="100" w:type="dxa"/>
                  <w:left w:w="100" w:type="dxa"/>
                  <w:bottom w:w="100" w:type="dxa"/>
                  <w:right w:w="100" w:type="dxa"/>
                </w:tcMar>
              </w:tcPr>
              <w:p w14:paraId="128B0118" w14:textId="77777777" w:rsidR="00CB4628" w:rsidRDefault="000B328F">
                <w:pPr>
                  <w:widowControl w:val="0"/>
                  <w:pBdr>
                    <w:top w:val="nil"/>
                    <w:left w:val="nil"/>
                    <w:bottom w:val="nil"/>
                    <w:right w:val="nil"/>
                    <w:between w:val="nil"/>
                  </w:pBdr>
                </w:pPr>
                <w:r>
                  <w:t>W</w:t>
                </w:r>
                <w:r>
                  <w:rPr>
                    <w:vertAlign w:val="subscript"/>
                  </w:rPr>
                  <w:t>p</w:t>
                </w:r>
                <w:r>
                  <w:t xml:space="preserve"> </w:t>
                </w:r>
              </w:p>
            </w:tc>
            <w:tc>
              <w:tcPr>
                <w:tcW w:w="1216" w:type="dxa"/>
                <w:tcMar>
                  <w:top w:w="100" w:type="dxa"/>
                  <w:left w:w="100" w:type="dxa"/>
                  <w:bottom w:w="100" w:type="dxa"/>
                  <w:right w:w="100" w:type="dxa"/>
                </w:tcMar>
              </w:tcPr>
              <w:p w14:paraId="128B0119" w14:textId="77777777" w:rsidR="00CB4628" w:rsidRDefault="000B328F">
                <w:pPr>
                  <w:widowControl w:val="0"/>
                  <w:pBdr>
                    <w:top w:val="nil"/>
                    <w:left w:val="nil"/>
                    <w:bottom w:val="nil"/>
                    <w:right w:val="nil"/>
                    <w:between w:val="nil"/>
                  </w:pBdr>
                </w:pPr>
                <w:r>
                  <w:t>39.2</w:t>
                </w:r>
              </w:p>
            </w:tc>
            <w:tc>
              <w:tcPr>
                <w:tcW w:w="1216" w:type="dxa"/>
                <w:tcMar>
                  <w:top w:w="100" w:type="dxa"/>
                  <w:left w:w="100" w:type="dxa"/>
                  <w:bottom w:w="100" w:type="dxa"/>
                  <w:right w:w="100" w:type="dxa"/>
                </w:tcMar>
              </w:tcPr>
              <w:p w14:paraId="128B011A" w14:textId="77777777" w:rsidR="00CB4628" w:rsidRDefault="000B328F">
                <w:pPr>
                  <w:widowControl w:val="0"/>
                  <w:pBdr>
                    <w:top w:val="nil"/>
                    <w:left w:val="nil"/>
                    <w:bottom w:val="nil"/>
                    <w:right w:val="nil"/>
                    <w:between w:val="nil"/>
                  </w:pBdr>
                </w:pPr>
                <w:r>
                  <w:t>W</w:t>
                </w:r>
                <w:r>
                  <w:rPr>
                    <w:vertAlign w:val="subscript"/>
                  </w:rPr>
                  <w:t>p2</w:t>
                </w:r>
                <w:r>
                  <w:t xml:space="preserve"> </w:t>
                </w:r>
              </w:p>
            </w:tc>
            <w:tc>
              <w:tcPr>
                <w:tcW w:w="1216" w:type="dxa"/>
                <w:tcMar>
                  <w:top w:w="100" w:type="dxa"/>
                  <w:left w:w="100" w:type="dxa"/>
                  <w:bottom w:w="100" w:type="dxa"/>
                  <w:right w:w="100" w:type="dxa"/>
                </w:tcMar>
              </w:tcPr>
              <w:p w14:paraId="128B011B" w14:textId="77777777" w:rsidR="00CB4628" w:rsidRDefault="000B328F">
                <w:pPr>
                  <w:widowControl w:val="0"/>
                  <w:pBdr>
                    <w:top w:val="nil"/>
                    <w:left w:val="nil"/>
                    <w:bottom w:val="nil"/>
                    <w:right w:val="nil"/>
                    <w:between w:val="nil"/>
                  </w:pBdr>
                </w:pPr>
                <w:r>
                  <w:t>15</w:t>
                </w:r>
              </w:p>
            </w:tc>
          </w:tr>
          <w:tr w:rsidR="00CB4628" w14:paraId="128B0121" w14:textId="77777777">
            <w:tc>
              <w:tcPr>
                <w:tcW w:w="1216" w:type="dxa"/>
                <w:tcMar>
                  <w:top w:w="100" w:type="dxa"/>
                  <w:left w:w="100" w:type="dxa"/>
                  <w:bottom w:w="100" w:type="dxa"/>
                  <w:right w:w="100" w:type="dxa"/>
                </w:tcMar>
              </w:tcPr>
              <w:p w14:paraId="128B011D" w14:textId="77777777" w:rsidR="00CB4628" w:rsidRDefault="000B328F">
                <w:pPr>
                  <w:widowControl w:val="0"/>
                  <w:pBdr>
                    <w:top w:val="nil"/>
                    <w:left w:val="nil"/>
                    <w:bottom w:val="nil"/>
                    <w:right w:val="nil"/>
                    <w:between w:val="nil"/>
                  </w:pBdr>
                </w:pPr>
                <w:r>
                  <w:t>L</w:t>
                </w:r>
                <w:r>
                  <w:rPr>
                    <w:vertAlign w:val="subscript"/>
                  </w:rPr>
                  <w:t>f</w:t>
                </w:r>
                <w:r>
                  <w:t xml:space="preserve"> </w:t>
                </w:r>
              </w:p>
            </w:tc>
            <w:tc>
              <w:tcPr>
                <w:tcW w:w="1216" w:type="dxa"/>
                <w:tcMar>
                  <w:top w:w="100" w:type="dxa"/>
                  <w:left w:w="100" w:type="dxa"/>
                  <w:bottom w:w="100" w:type="dxa"/>
                  <w:right w:w="100" w:type="dxa"/>
                </w:tcMar>
              </w:tcPr>
              <w:p w14:paraId="128B011E" w14:textId="77777777" w:rsidR="00CB4628" w:rsidRDefault="000B328F">
                <w:pPr>
                  <w:widowControl w:val="0"/>
                  <w:pBdr>
                    <w:top w:val="nil"/>
                    <w:left w:val="nil"/>
                    <w:bottom w:val="nil"/>
                    <w:right w:val="nil"/>
                    <w:between w:val="nil"/>
                  </w:pBdr>
                </w:pPr>
                <w:r>
                  <w:t>20.2</w:t>
                </w:r>
              </w:p>
            </w:tc>
            <w:tc>
              <w:tcPr>
                <w:tcW w:w="1216" w:type="dxa"/>
                <w:tcMar>
                  <w:top w:w="100" w:type="dxa"/>
                  <w:left w:w="100" w:type="dxa"/>
                  <w:bottom w:w="100" w:type="dxa"/>
                  <w:right w:w="100" w:type="dxa"/>
                </w:tcMar>
              </w:tcPr>
              <w:p w14:paraId="128B011F" w14:textId="77777777" w:rsidR="00CB4628" w:rsidRDefault="000B328F">
                <w:pPr>
                  <w:widowControl w:val="0"/>
                  <w:pBdr>
                    <w:top w:val="nil"/>
                    <w:left w:val="nil"/>
                    <w:bottom w:val="nil"/>
                    <w:right w:val="nil"/>
                    <w:between w:val="nil"/>
                  </w:pBdr>
                </w:pPr>
                <w:r>
                  <w:t>L</w:t>
                </w:r>
                <w:r>
                  <w:rPr>
                    <w:vertAlign w:val="subscript"/>
                  </w:rPr>
                  <w:t>g2</w:t>
                </w:r>
                <w:r>
                  <w:t xml:space="preserve"> </w:t>
                </w:r>
              </w:p>
            </w:tc>
            <w:tc>
              <w:tcPr>
                <w:tcW w:w="1216" w:type="dxa"/>
                <w:tcMar>
                  <w:top w:w="100" w:type="dxa"/>
                  <w:left w:w="100" w:type="dxa"/>
                  <w:bottom w:w="100" w:type="dxa"/>
                  <w:right w:w="100" w:type="dxa"/>
                </w:tcMar>
              </w:tcPr>
              <w:p w14:paraId="128B0120" w14:textId="77777777" w:rsidR="00CB4628" w:rsidRDefault="000B328F">
                <w:pPr>
                  <w:widowControl w:val="0"/>
                  <w:pBdr>
                    <w:top w:val="nil"/>
                    <w:left w:val="nil"/>
                    <w:bottom w:val="nil"/>
                    <w:right w:val="nil"/>
                    <w:between w:val="nil"/>
                  </w:pBdr>
                </w:pPr>
                <w:r>
                  <w:t>11</w:t>
                </w:r>
              </w:p>
            </w:tc>
          </w:tr>
          <w:tr w:rsidR="00CB4628" w14:paraId="128B0126" w14:textId="77777777">
            <w:tc>
              <w:tcPr>
                <w:tcW w:w="1216" w:type="dxa"/>
                <w:tcMar>
                  <w:top w:w="100" w:type="dxa"/>
                  <w:left w:w="100" w:type="dxa"/>
                  <w:bottom w:w="100" w:type="dxa"/>
                  <w:right w:w="100" w:type="dxa"/>
                </w:tcMar>
              </w:tcPr>
              <w:p w14:paraId="128B0122" w14:textId="77777777" w:rsidR="00CB4628" w:rsidRDefault="000B328F">
                <w:pPr>
                  <w:widowControl w:val="0"/>
                  <w:pBdr>
                    <w:top w:val="nil"/>
                    <w:left w:val="nil"/>
                    <w:bottom w:val="nil"/>
                    <w:right w:val="nil"/>
                    <w:between w:val="nil"/>
                  </w:pBdr>
                </w:pPr>
                <w:r>
                  <w:t>W</w:t>
                </w:r>
                <w:r>
                  <w:rPr>
                    <w:vertAlign w:val="subscript"/>
                  </w:rPr>
                  <w:t>f</w:t>
                </w:r>
                <w:r>
                  <w:t xml:space="preserve"> </w:t>
                </w:r>
              </w:p>
            </w:tc>
            <w:tc>
              <w:tcPr>
                <w:tcW w:w="1216" w:type="dxa"/>
                <w:tcMar>
                  <w:top w:w="100" w:type="dxa"/>
                  <w:left w:w="100" w:type="dxa"/>
                  <w:bottom w:w="100" w:type="dxa"/>
                  <w:right w:w="100" w:type="dxa"/>
                </w:tcMar>
              </w:tcPr>
              <w:p w14:paraId="128B0123" w14:textId="77777777" w:rsidR="00CB4628" w:rsidRDefault="000B328F">
                <w:pPr>
                  <w:widowControl w:val="0"/>
                  <w:pBdr>
                    <w:top w:val="nil"/>
                    <w:left w:val="nil"/>
                    <w:bottom w:val="nil"/>
                    <w:right w:val="nil"/>
                    <w:between w:val="nil"/>
                  </w:pBdr>
                </w:pPr>
                <w:r>
                  <w:t>2.8</w:t>
                </w:r>
              </w:p>
            </w:tc>
            <w:tc>
              <w:tcPr>
                <w:tcW w:w="1216" w:type="dxa"/>
                <w:tcMar>
                  <w:top w:w="100" w:type="dxa"/>
                  <w:left w:w="100" w:type="dxa"/>
                  <w:bottom w:w="100" w:type="dxa"/>
                  <w:right w:w="100" w:type="dxa"/>
                </w:tcMar>
              </w:tcPr>
              <w:p w14:paraId="128B0124" w14:textId="77777777" w:rsidR="00CB4628" w:rsidRDefault="000B328F">
                <w:pPr>
                  <w:widowControl w:val="0"/>
                  <w:pBdr>
                    <w:top w:val="nil"/>
                    <w:left w:val="nil"/>
                    <w:bottom w:val="nil"/>
                    <w:right w:val="nil"/>
                    <w:between w:val="nil"/>
                  </w:pBdr>
                </w:pPr>
                <w:r>
                  <w:t>W</w:t>
                </w:r>
                <w:r>
                  <w:rPr>
                    <w:vertAlign w:val="subscript"/>
                  </w:rPr>
                  <w:t>g2</w:t>
                </w:r>
                <w:r>
                  <w:t xml:space="preserve"> </w:t>
                </w:r>
              </w:p>
            </w:tc>
            <w:tc>
              <w:tcPr>
                <w:tcW w:w="1216" w:type="dxa"/>
                <w:tcMar>
                  <w:top w:w="100" w:type="dxa"/>
                  <w:left w:w="100" w:type="dxa"/>
                  <w:bottom w:w="100" w:type="dxa"/>
                  <w:right w:w="100" w:type="dxa"/>
                </w:tcMar>
              </w:tcPr>
              <w:p w14:paraId="128B0125" w14:textId="77777777" w:rsidR="00CB4628" w:rsidRDefault="000B328F">
                <w:pPr>
                  <w:widowControl w:val="0"/>
                  <w:pBdr>
                    <w:top w:val="nil"/>
                    <w:left w:val="nil"/>
                    <w:bottom w:val="nil"/>
                    <w:right w:val="nil"/>
                    <w:between w:val="nil"/>
                  </w:pBdr>
                </w:pPr>
                <w:r>
                  <w:t>3</w:t>
                </w:r>
              </w:p>
            </w:tc>
          </w:tr>
        </w:tbl>
      </w:sdtContent>
    </w:sdt>
    <w:p w14:paraId="128B0127" w14:textId="077C96E6" w:rsidR="00CB4628" w:rsidRDefault="000B328F">
      <w:pPr>
        <w:tabs>
          <w:tab w:val="left" w:pos="288"/>
        </w:tabs>
        <w:spacing w:before="240" w:after="240" w:line="228" w:lineRule="auto"/>
        <w:ind w:firstLine="360"/>
        <w:jc w:val="both"/>
      </w:pPr>
      <w:r>
        <w:lastRenderedPageBreak/>
        <w:t xml:space="preserve">The antenna design evolved through four progressive stages, as illustrated in Figure 2. In the initial configuration (Stage 1, Fig. 2a), a standard rectangular microstrip patch was used, which failed to exhibit any resonant behavior beyond the -10 dB threshold, as shown in the return loss plot in Figure 3. In Stage 2 (Fig. 2b), the integration of dual symmetrical slots in the patch and the use of an </w:t>
      </w:r>
      <w:proofErr w:type="spellStart"/>
      <w:r>
        <w:t>inset</w:t>
      </w:r>
      <w:proofErr w:type="spellEnd"/>
      <w:r>
        <w:t>-fed configuration over a partial ground plane introduced additional current paths. This modification yielded a resonant response with a return loss of -22 dB at 2.4 GHz, surpassing the -10 dB benchmark. Stage 3 (Fig. 2c) further enhanced performance by adding a circular slot in the ground plane and an elliptical aperture at the center of the patch, resulting in dual-mode operation. This adjustment expanded the -10 dB impedance bandwidth to approximately 490 MHz, achieving a minimum S</w:t>
      </w:r>
      <w:r>
        <w:rPr>
          <w:vertAlign w:val="subscript"/>
        </w:rPr>
        <w:t>11</w:t>
      </w:r>
      <w:r>
        <w:t xml:space="preserve"> value of around -28 </w:t>
      </w:r>
      <w:proofErr w:type="spellStart"/>
      <w:r>
        <w:t>dB.</w:t>
      </w:r>
      <w:proofErr w:type="spellEnd"/>
      <w:r>
        <w:t xml:space="preserve"> In the final stage (Stage 4, Fig. 2d), two additional rectangular slots were embedded one within the elliptical patch aperture and another inside the circular ground slot </w:t>
      </w:r>
      <w:r w:rsidR="00001C90">
        <w:t>to optimize surface current distribution further</w:t>
      </w:r>
      <w:r>
        <w:t xml:space="preserve">. This </w:t>
      </w:r>
      <w:r w:rsidR="00001C90">
        <w:t>resulted in a significantly deeper return loss of -58 dB at 2.4 GHz, extending</w:t>
      </w:r>
      <w:r>
        <w:t xml:space="preserve"> the -10 dB bandwidth to approximately 500 </w:t>
      </w:r>
      <w:proofErr w:type="spellStart"/>
      <w:r>
        <w:t>MHz.</w:t>
      </w:r>
      <w:proofErr w:type="spellEnd"/>
    </w:p>
    <w:sdt>
      <w:sdtPr>
        <w:tag w:val="goog_rdk_2"/>
        <w:id w:val="-1804229789"/>
        <w:lock w:val="contentLocked"/>
      </w:sdtPr>
      <w:sdtContent>
        <w:tbl>
          <w:tblPr>
            <w:tblStyle w:val="a1"/>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2"/>
            <w:gridCol w:w="2433"/>
          </w:tblGrid>
          <w:tr w:rsidR="00CB4628" w14:paraId="128B012A" w14:textId="77777777">
            <w:tc>
              <w:tcPr>
                <w:tcW w:w="2432" w:type="dxa"/>
                <w:tcMar>
                  <w:top w:w="100" w:type="dxa"/>
                  <w:left w:w="100" w:type="dxa"/>
                  <w:bottom w:w="100" w:type="dxa"/>
                  <w:right w:w="100" w:type="dxa"/>
                </w:tcMar>
              </w:tcPr>
              <w:p w14:paraId="128B0128"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8D" wp14:editId="128B018E">
                      <wp:extent cx="1485504" cy="118653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485504" cy="1186535"/>
                              </a:xfrm>
                              <a:prstGeom prst="rect">
                                <a:avLst/>
                              </a:prstGeom>
                              <a:ln/>
                            </pic:spPr>
                          </pic:pic>
                        </a:graphicData>
                      </a:graphic>
                    </wp:inline>
                  </w:drawing>
                </w:r>
              </w:p>
            </w:tc>
            <w:tc>
              <w:tcPr>
                <w:tcW w:w="2432" w:type="dxa"/>
                <w:tcMar>
                  <w:top w:w="100" w:type="dxa"/>
                  <w:left w:w="100" w:type="dxa"/>
                  <w:bottom w:w="100" w:type="dxa"/>
                  <w:right w:w="100" w:type="dxa"/>
                </w:tcMar>
              </w:tcPr>
              <w:p w14:paraId="128B0129"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8F" wp14:editId="128B0190">
                      <wp:extent cx="1428511" cy="1139994"/>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428511" cy="1139994"/>
                              </a:xfrm>
                              <a:prstGeom prst="rect">
                                <a:avLst/>
                              </a:prstGeom>
                              <a:ln/>
                            </pic:spPr>
                          </pic:pic>
                        </a:graphicData>
                      </a:graphic>
                    </wp:inline>
                  </w:drawing>
                </w:r>
              </w:p>
            </w:tc>
          </w:tr>
          <w:tr w:rsidR="00CB4628" w14:paraId="128B012D" w14:textId="77777777">
            <w:tc>
              <w:tcPr>
                <w:tcW w:w="2432" w:type="dxa"/>
                <w:tcMar>
                  <w:top w:w="100" w:type="dxa"/>
                  <w:left w:w="100" w:type="dxa"/>
                  <w:bottom w:w="100" w:type="dxa"/>
                  <w:right w:w="100" w:type="dxa"/>
                </w:tcMar>
              </w:tcPr>
              <w:p w14:paraId="128B012B" w14:textId="77777777" w:rsidR="00CB4628" w:rsidRDefault="00CB4628">
                <w:pPr>
                  <w:widowControl w:val="0"/>
                  <w:pBdr>
                    <w:top w:val="nil"/>
                    <w:left w:val="nil"/>
                    <w:bottom w:val="nil"/>
                    <w:right w:val="nil"/>
                    <w:between w:val="nil"/>
                  </w:pBdr>
                  <w:jc w:val="left"/>
                </w:pPr>
              </w:p>
            </w:tc>
            <w:tc>
              <w:tcPr>
                <w:tcW w:w="2432" w:type="dxa"/>
                <w:tcMar>
                  <w:top w:w="100" w:type="dxa"/>
                  <w:left w:w="100" w:type="dxa"/>
                  <w:bottom w:w="100" w:type="dxa"/>
                  <w:right w:w="100" w:type="dxa"/>
                </w:tcMar>
              </w:tcPr>
              <w:p w14:paraId="128B012C" w14:textId="77777777" w:rsidR="00CB4628" w:rsidRDefault="00CB4628">
                <w:pPr>
                  <w:widowControl w:val="0"/>
                  <w:numPr>
                    <w:ilvl w:val="0"/>
                    <w:numId w:val="2"/>
                  </w:numPr>
                  <w:pBdr>
                    <w:top w:val="nil"/>
                    <w:left w:val="nil"/>
                    <w:bottom w:val="nil"/>
                    <w:right w:val="nil"/>
                    <w:between w:val="nil"/>
                  </w:pBdr>
                  <w:jc w:val="left"/>
                </w:pPr>
              </w:p>
            </w:tc>
          </w:tr>
          <w:tr w:rsidR="00CB4628" w14:paraId="128B0130" w14:textId="77777777">
            <w:tc>
              <w:tcPr>
                <w:tcW w:w="2432" w:type="dxa"/>
                <w:tcMar>
                  <w:top w:w="100" w:type="dxa"/>
                  <w:left w:w="100" w:type="dxa"/>
                  <w:bottom w:w="100" w:type="dxa"/>
                  <w:right w:w="100" w:type="dxa"/>
                </w:tcMar>
              </w:tcPr>
              <w:p w14:paraId="128B012E"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1" wp14:editId="128B0192">
                      <wp:extent cx="1485415" cy="124218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485415" cy="1242189"/>
                              </a:xfrm>
                              <a:prstGeom prst="rect">
                                <a:avLst/>
                              </a:prstGeom>
                              <a:ln/>
                            </pic:spPr>
                          </pic:pic>
                        </a:graphicData>
                      </a:graphic>
                    </wp:inline>
                  </w:drawing>
                </w:r>
              </w:p>
            </w:tc>
            <w:tc>
              <w:tcPr>
                <w:tcW w:w="2432" w:type="dxa"/>
                <w:tcMar>
                  <w:top w:w="100" w:type="dxa"/>
                  <w:left w:w="100" w:type="dxa"/>
                  <w:bottom w:w="100" w:type="dxa"/>
                  <w:right w:w="100" w:type="dxa"/>
                </w:tcMar>
              </w:tcPr>
              <w:p w14:paraId="128B012F"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3" wp14:editId="128B0194">
                      <wp:extent cx="1457820" cy="1158157"/>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457820" cy="1158157"/>
                              </a:xfrm>
                              <a:prstGeom prst="rect">
                                <a:avLst/>
                              </a:prstGeom>
                              <a:ln/>
                            </pic:spPr>
                          </pic:pic>
                        </a:graphicData>
                      </a:graphic>
                    </wp:inline>
                  </w:drawing>
                </w:r>
              </w:p>
            </w:tc>
          </w:tr>
          <w:tr w:rsidR="00CB4628" w14:paraId="128B0133" w14:textId="77777777">
            <w:tc>
              <w:tcPr>
                <w:tcW w:w="2432" w:type="dxa"/>
                <w:tcMar>
                  <w:top w:w="100" w:type="dxa"/>
                  <w:left w:w="100" w:type="dxa"/>
                  <w:bottom w:w="100" w:type="dxa"/>
                  <w:right w:w="100" w:type="dxa"/>
                </w:tcMar>
              </w:tcPr>
              <w:p w14:paraId="128B0131" w14:textId="77777777" w:rsidR="00CB4628" w:rsidRDefault="00CB4628">
                <w:pPr>
                  <w:widowControl w:val="0"/>
                  <w:pBdr>
                    <w:top w:val="nil"/>
                    <w:left w:val="nil"/>
                    <w:bottom w:val="nil"/>
                    <w:right w:val="nil"/>
                    <w:between w:val="nil"/>
                  </w:pBdr>
                  <w:jc w:val="left"/>
                </w:pPr>
              </w:p>
            </w:tc>
            <w:tc>
              <w:tcPr>
                <w:tcW w:w="2432" w:type="dxa"/>
                <w:tcMar>
                  <w:top w:w="100" w:type="dxa"/>
                  <w:left w:w="100" w:type="dxa"/>
                  <w:bottom w:w="100" w:type="dxa"/>
                  <w:right w:w="100" w:type="dxa"/>
                </w:tcMar>
              </w:tcPr>
              <w:p w14:paraId="128B0132" w14:textId="77777777" w:rsidR="00CB4628" w:rsidRDefault="00CB4628">
                <w:pPr>
                  <w:widowControl w:val="0"/>
                  <w:numPr>
                    <w:ilvl w:val="0"/>
                    <w:numId w:val="2"/>
                  </w:numPr>
                  <w:pBdr>
                    <w:top w:val="nil"/>
                    <w:left w:val="nil"/>
                    <w:bottom w:val="nil"/>
                    <w:right w:val="nil"/>
                    <w:between w:val="nil"/>
                  </w:pBdr>
                  <w:jc w:val="left"/>
                </w:pPr>
              </w:p>
            </w:tc>
          </w:tr>
          <w:tr w:rsidR="00CB4628" w14:paraId="128B0136" w14:textId="77777777">
            <w:tc>
              <w:tcPr>
                <w:tcW w:w="2432" w:type="dxa"/>
                <w:tcMar>
                  <w:top w:w="100" w:type="dxa"/>
                  <w:left w:w="100" w:type="dxa"/>
                  <w:bottom w:w="100" w:type="dxa"/>
                  <w:right w:w="100" w:type="dxa"/>
                </w:tcMar>
              </w:tcPr>
              <w:p w14:paraId="128B0134"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5" wp14:editId="128B0196">
                      <wp:extent cx="1449573" cy="119333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449573" cy="1193335"/>
                              </a:xfrm>
                              <a:prstGeom prst="rect">
                                <a:avLst/>
                              </a:prstGeom>
                              <a:ln/>
                            </pic:spPr>
                          </pic:pic>
                        </a:graphicData>
                      </a:graphic>
                    </wp:inline>
                  </w:drawing>
                </w:r>
              </w:p>
            </w:tc>
            <w:tc>
              <w:tcPr>
                <w:tcW w:w="2432" w:type="dxa"/>
                <w:tcMar>
                  <w:top w:w="100" w:type="dxa"/>
                  <w:left w:w="100" w:type="dxa"/>
                  <w:bottom w:w="100" w:type="dxa"/>
                  <w:right w:w="100" w:type="dxa"/>
                </w:tcMar>
              </w:tcPr>
              <w:p w14:paraId="128B0135"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7" wp14:editId="128B0198">
                      <wp:extent cx="1425435" cy="1148088"/>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425435" cy="1148088"/>
                              </a:xfrm>
                              <a:prstGeom prst="rect">
                                <a:avLst/>
                              </a:prstGeom>
                              <a:ln/>
                            </pic:spPr>
                          </pic:pic>
                        </a:graphicData>
                      </a:graphic>
                    </wp:inline>
                  </w:drawing>
                </w:r>
              </w:p>
            </w:tc>
          </w:tr>
          <w:tr w:rsidR="00CB4628" w14:paraId="128B0139" w14:textId="77777777">
            <w:tc>
              <w:tcPr>
                <w:tcW w:w="2432" w:type="dxa"/>
                <w:tcMar>
                  <w:top w:w="100" w:type="dxa"/>
                  <w:left w:w="100" w:type="dxa"/>
                  <w:bottom w:w="100" w:type="dxa"/>
                  <w:right w:w="100" w:type="dxa"/>
                </w:tcMar>
              </w:tcPr>
              <w:p w14:paraId="128B0137" w14:textId="77777777" w:rsidR="00CB4628" w:rsidRDefault="00CB4628">
                <w:pPr>
                  <w:widowControl w:val="0"/>
                  <w:pBdr>
                    <w:top w:val="nil"/>
                    <w:left w:val="nil"/>
                    <w:bottom w:val="nil"/>
                    <w:right w:val="nil"/>
                    <w:between w:val="nil"/>
                  </w:pBdr>
                  <w:jc w:val="left"/>
                </w:pPr>
              </w:p>
            </w:tc>
            <w:tc>
              <w:tcPr>
                <w:tcW w:w="2432" w:type="dxa"/>
                <w:tcMar>
                  <w:top w:w="100" w:type="dxa"/>
                  <w:left w:w="100" w:type="dxa"/>
                  <w:bottom w:w="100" w:type="dxa"/>
                  <w:right w:w="100" w:type="dxa"/>
                </w:tcMar>
              </w:tcPr>
              <w:p w14:paraId="128B0138" w14:textId="77777777" w:rsidR="00CB4628" w:rsidRDefault="000B328F">
                <w:pPr>
                  <w:widowControl w:val="0"/>
                  <w:pBdr>
                    <w:top w:val="nil"/>
                    <w:left w:val="nil"/>
                    <w:bottom w:val="nil"/>
                    <w:right w:val="nil"/>
                    <w:between w:val="nil"/>
                  </w:pBdr>
                  <w:jc w:val="left"/>
                </w:pPr>
                <w:r>
                  <w:t>(c)</w:t>
                </w:r>
              </w:p>
            </w:tc>
          </w:tr>
          <w:tr w:rsidR="00CB4628" w14:paraId="128B013C" w14:textId="77777777">
            <w:tc>
              <w:tcPr>
                <w:tcW w:w="2432" w:type="dxa"/>
                <w:tcMar>
                  <w:top w:w="100" w:type="dxa"/>
                  <w:left w:w="100" w:type="dxa"/>
                  <w:bottom w:w="100" w:type="dxa"/>
                  <w:right w:w="100" w:type="dxa"/>
                </w:tcMar>
              </w:tcPr>
              <w:p w14:paraId="128B013A"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9" wp14:editId="128B019A">
                      <wp:extent cx="1423075" cy="1200183"/>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1423075" cy="1200183"/>
                              </a:xfrm>
                              <a:prstGeom prst="rect">
                                <a:avLst/>
                              </a:prstGeom>
                              <a:ln/>
                            </pic:spPr>
                          </pic:pic>
                        </a:graphicData>
                      </a:graphic>
                    </wp:inline>
                  </w:drawing>
                </w:r>
              </w:p>
            </w:tc>
            <w:tc>
              <w:tcPr>
                <w:tcW w:w="2432" w:type="dxa"/>
                <w:tcMar>
                  <w:top w:w="100" w:type="dxa"/>
                  <w:left w:w="100" w:type="dxa"/>
                  <w:bottom w:w="100" w:type="dxa"/>
                  <w:right w:w="100" w:type="dxa"/>
                </w:tcMar>
              </w:tcPr>
              <w:p w14:paraId="128B013B"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9B" wp14:editId="128B019C">
                      <wp:extent cx="1430578" cy="114779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430578" cy="1147790"/>
                              </a:xfrm>
                              <a:prstGeom prst="rect">
                                <a:avLst/>
                              </a:prstGeom>
                              <a:ln/>
                            </pic:spPr>
                          </pic:pic>
                        </a:graphicData>
                      </a:graphic>
                    </wp:inline>
                  </w:drawing>
                </w:r>
              </w:p>
            </w:tc>
          </w:tr>
          <w:tr w:rsidR="00CB4628" w14:paraId="128B013F" w14:textId="77777777">
            <w:tc>
              <w:tcPr>
                <w:tcW w:w="2432" w:type="dxa"/>
                <w:tcMar>
                  <w:top w:w="100" w:type="dxa"/>
                  <w:left w:w="100" w:type="dxa"/>
                  <w:bottom w:w="100" w:type="dxa"/>
                  <w:right w:w="100" w:type="dxa"/>
                </w:tcMar>
              </w:tcPr>
              <w:p w14:paraId="128B013D" w14:textId="77777777" w:rsidR="00CB4628" w:rsidRDefault="00CB4628">
                <w:pPr>
                  <w:widowControl w:val="0"/>
                  <w:pBdr>
                    <w:top w:val="nil"/>
                    <w:left w:val="nil"/>
                    <w:bottom w:val="nil"/>
                    <w:right w:val="nil"/>
                    <w:between w:val="nil"/>
                  </w:pBdr>
                  <w:jc w:val="left"/>
                </w:pPr>
              </w:p>
            </w:tc>
            <w:tc>
              <w:tcPr>
                <w:tcW w:w="2432" w:type="dxa"/>
                <w:tcMar>
                  <w:top w:w="100" w:type="dxa"/>
                  <w:left w:w="100" w:type="dxa"/>
                  <w:bottom w:w="100" w:type="dxa"/>
                  <w:right w:w="100" w:type="dxa"/>
                </w:tcMar>
              </w:tcPr>
              <w:p w14:paraId="128B013E" w14:textId="77777777" w:rsidR="00CB4628" w:rsidRDefault="000B328F">
                <w:pPr>
                  <w:widowControl w:val="0"/>
                  <w:pBdr>
                    <w:top w:val="nil"/>
                    <w:left w:val="nil"/>
                    <w:bottom w:val="nil"/>
                    <w:right w:val="nil"/>
                    <w:between w:val="nil"/>
                  </w:pBdr>
                  <w:jc w:val="left"/>
                </w:pPr>
                <w:r>
                  <w:t xml:space="preserve">(d) </w:t>
                </w:r>
              </w:p>
            </w:tc>
          </w:tr>
        </w:tbl>
      </w:sdtContent>
    </w:sdt>
    <w:p w14:paraId="128B0140" w14:textId="77777777" w:rsidR="00CB4628" w:rsidRDefault="000B328F">
      <w:pPr>
        <w:tabs>
          <w:tab w:val="left" w:pos="288"/>
        </w:tabs>
        <w:spacing w:before="120" w:after="240" w:line="228" w:lineRule="auto"/>
        <w:rPr>
          <w:sz w:val="16"/>
          <w:szCs w:val="16"/>
        </w:rPr>
      </w:pPr>
      <w:r>
        <w:rPr>
          <w:sz w:val="16"/>
          <w:szCs w:val="16"/>
        </w:rPr>
        <w:t>Fig. 2 The design procedure of the proposed antenna (a)step 1, (b) step 2, (c) step 3, and (d)step 4.</w:t>
      </w:r>
    </w:p>
    <w:p w14:paraId="128B0141" w14:textId="77777777" w:rsidR="00CB4628" w:rsidRDefault="000B328F">
      <w:pPr>
        <w:pBdr>
          <w:top w:val="nil"/>
          <w:left w:val="nil"/>
          <w:bottom w:val="nil"/>
          <w:right w:val="nil"/>
          <w:between w:val="nil"/>
        </w:pBdr>
        <w:tabs>
          <w:tab w:val="left" w:pos="288"/>
        </w:tabs>
        <w:spacing w:after="120" w:line="228" w:lineRule="auto"/>
        <w:ind w:firstLine="288"/>
        <w:jc w:val="both"/>
      </w:pPr>
      <w:r>
        <w:rPr>
          <w:noProof/>
        </w:rPr>
        <w:drawing>
          <wp:inline distT="114300" distB="114300" distL="114300" distR="114300" wp14:anchorId="128B019D" wp14:editId="128B019E">
            <wp:extent cx="2737481" cy="1827357"/>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737481" cy="1827357"/>
                    </a:xfrm>
                    <a:prstGeom prst="rect">
                      <a:avLst/>
                    </a:prstGeom>
                    <a:ln/>
                  </pic:spPr>
                </pic:pic>
              </a:graphicData>
            </a:graphic>
          </wp:inline>
        </w:drawing>
      </w:r>
    </w:p>
    <w:p w14:paraId="128B0142" w14:textId="77777777" w:rsidR="00CB4628" w:rsidRDefault="000B328F">
      <w:pPr>
        <w:tabs>
          <w:tab w:val="left" w:pos="288"/>
        </w:tabs>
        <w:spacing w:after="240" w:line="228" w:lineRule="auto"/>
      </w:pPr>
      <w:r>
        <w:rPr>
          <w:sz w:val="16"/>
          <w:szCs w:val="16"/>
        </w:rPr>
        <w:t>Fig. 3 The simulated return loss results of the design steps.</w:t>
      </w:r>
    </w:p>
    <w:p w14:paraId="128B0143" w14:textId="77777777" w:rsidR="00CB4628" w:rsidRDefault="000B328F">
      <w:pPr>
        <w:pStyle w:val="Heading1"/>
        <w:numPr>
          <w:ilvl w:val="0"/>
          <w:numId w:val="1"/>
        </w:numPr>
      </w:pPr>
      <w:r>
        <w:t xml:space="preserve">Simulation And Measurement Results </w:t>
      </w:r>
    </w:p>
    <w:p w14:paraId="128B0144" w14:textId="77777777" w:rsidR="00CB4628" w:rsidRDefault="000B328F">
      <w:pPr>
        <w:tabs>
          <w:tab w:val="left" w:pos="288"/>
        </w:tabs>
        <w:spacing w:before="240" w:after="240" w:line="228" w:lineRule="auto"/>
        <w:jc w:val="both"/>
      </w:pPr>
      <w:r>
        <w:t>Based on the finalized design, the antenna was fabricated using standard photolithographic techniques. A photograph of the fabricated prototype is shown in Figure 4. To evaluate its performance, the input reflection coefficient was measured using a ROHDE &amp; SCHWARZ ZVA 67 vector network analyzer. Additionally, the radiation pattern and gain characteristics were assessed in a controlled environment using an NSI 700S-30 anechoic chamber.</w:t>
      </w:r>
    </w:p>
    <w:tbl>
      <w:tblPr>
        <w:tblStyle w:val="a2"/>
        <w:tblW w:w="0" w:type="auto"/>
        <w:tblBorders>
          <w:top w:val="nil"/>
          <w:left w:val="nil"/>
          <w:bottom w:val="nil"/>
          <w:right w:val="nil"/>
          <w:insideH w:val="nil"/>
          <w:insideV w:val="nil"/>
        </w:tblBorders>
        <w:tblLayout w:type="fixed"/>
        <w:tblLook w:val="0600" w:firstRow="0" w:lastRow="0" w:firstColumn="0" w:lastColumn="0" w:noHBand="1" w:noVBand="1"/>
      </w:tblPr>
      <w:tblGrid>
        <w:gridCol w:w="2432"/>
        <w:gridCol w:w="2432"/>
      </w:tblGrid>
      <w:tr w:rsidR="00CB4628" w14:paraId="128B0149" w14:textId="77777777">
        <w:tc>
          <w:tcPr>
            <w:tcW w:w="24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8B0145" w14:textId="77777777" w:rsidR="00CB4628" w:rsidRDefault="000B328F">
            <w:pPr>
              <w:tabs>
                <w:tab w:val="left" w:pos="288"/>
              </w:tabs>
              <w:spacing w:after="120" w:line="228" w:lineRule="auto"/>
              <w:ind w:left="100"/>
              <w:jc w:val="both"/>
            </w:pPr>
            <w:r>
              <w:rPr>
                <w:noProof/>
              </w:rPr>
              <w:drawing>
                <wp:inline distT="114300" distB="114300" distL="114300" distR="114300" wp14:anchorId="128B019F" wp14:editId="128B01A0">
                  <wp:extent cx="1320597" cy="1100497"/>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320597" cy="1100497"/>
                          </a:xfrm>
                          <a:prstGeom prst="rect">
                            <a:avLst/>
                          </a:prstGeom>
                          <a:ln/>
                        </pic:spPr>
                      </pic:pic>
                    </a:graphicData>
                  </a:graphic>
                </wp:inline>
              </w:drawing>
            </w:r>
          </w:p>
          <w:p w14:paraId="128B0146" w14:textId="77777777" w:rsidR="00CB4628" w:rsidRDefault="000B328F">
            <w:pPr>
              <w:tabs>
                <w:tab w:val="left" w:pos="288"/>
              </w:tabs>
              <w:spacing w:after="120" w:line="228" w:lineRule="auto"/>
              <w:ind w:left="100"/>
            </w:pPr>
            <w:r>
              <w:t>(a)</w:t>
            </w:r>
          </w:p>
        </w:tc>
        <w:tc>
          <w:tcPr>
            <w:tcW w:w="243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8B0147" w14:textId="77777777" w:rsidR="00CB4628" w:rsidRDefault="000B328F">
            <w:pPr>
              <w:tabs>
                <w:tab w:val="left" w:pos="288"/>
              </w:tabs>
              <w:spacing w:after="120" w:line="228" w:lineRule="auto"/>
              <w:ind w:left="100"/>
              <w:jc w:val="both"/>
            </w:pPr>
            <w:r>
              <w:rPr>
                <w:noProof/>
              </w:rPr>
              <w:drawing>
                <wp:inline distT="114300" distB="114300" distL="114300" distR="114300" wp14:anchorId="128B01A1" wp14:editId="128B01A2">
                  <wp:extent cx="1356689" cy="1079814"/>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1356689" cy="1079814"/>
                          </a:xfrm>
                          <a:prstGeom prst="rect">
                            <a:avLst/>
                          </a:prstGeom>
                          <a:ln/>
                        </pic:spPr>
                      </pic:pic>
                    </a:graphicData>
                  </a:graphic>
                </wp:inline>
              </w:drawing>
            </w:r>
          </w:p>
          <w:p w14:paraId="128B0148" w14:textId="77777777" w:rsidR="00CB4628" w:rsidRDefault="000B328F">
            <w:pPr>
              <w:tabs>
                <w:tab w:val="left" w:pos="288"/>
              </w:tabs>
              <w:spacing w:after="120" w:line="228" w:lineRule="auto"/>
              <w:ind w:left="100"/>
            </w:pPr>
            <w:r>
              <w:t>(b)</w:t>
            </w:r>
          </w:p>
        </w:tc>
      </w:tr>
    </w:tbl>
    <w:p w14:paraId="128B014A" w14:textId="77777777" w:rsidR="00CB4628" w:rsidRDefault="000B328F">
      <w:pPr>
        <w:tabs>
          <w:tab w:val="left" w:pos="288"/>
        </w:tabs>
        <w:spacing w:before="240" w:after="240" w:line="228" w:lineRule="auto"/>
        <w:jc w:val="both"/>
        <w:rPr>
          <w:sz w:val="16"/>
          <w:szCs w:val="16"/>
        </w:rPr>
      </w:pPr>
      <w:r>
        <w:rPr>
          <w:sz w:val="16"/>
          <w:szCs w:val="16"/>
        </w:rPr>
        <w:t>Fig. 4 Photograph of fabricated antenna. (a) front view, and (b) back view.</w:t>
      </w:r>
    </w:p>
    <w:p w14:paraId="128B014B" w14:textId="77777777" w:rsidR="00CB4628" w:rsidRDefault="000B328F">
      <w:pPr>
        <w:tabs>
          <w:tab w:val="left" w:pos="288"/>
        </w:tabs>
        <w:spacing w:before="240" w:after="240" w:line="228" w:lineRule="auto"/>
        <w:jc w:val="both"/>
      </w:pPr>
      <w:r>
        <w:t xml:space="preserve">The simulation and measurement results of the proposed antenna in free space are presented in Figures 5 through 7. As shown in Figure 5, the simulated response demonstrates excellent impedance matching at 2.4 GHz, achieving a return loss of -70 dB and a bandwidth of 492 </w:t>
      </w:r>
      <w:proofErr w:type="spellStart"/>
      <w:r>
        <w:t>MHz.</w:t>
      </w:r>
      <w:proofErr w:type="spellEnd"/>
      <w:r>
        <w:t xml:space="preserve"> In comparison, the free-space measurements indicate a resonance range from 2.18 to 2.73 GHz, yielding a slightly broader bandwidth of 550 </w:t>
      </w:r>
      <w:proofErr w:type="spellStart"/>
      <w:r>
        <w:t>MHz.</w:t>
      </w:r>
      <w:proofErr w:type="spellEnd"/>
      <w:r>
        <w:t xml:space="preserve"> Figure 6 displays simulated and measured radiation patterns in both the E- and H-planes. These patterns exhibit a bi-directional shape with good symmetry. Minor </w:t>
      </w:r>
      <w:r>
        <w:lastRenderedPageBreak/>
        <w:t xml:space="preserve">deviations in the measured curves, relative to the simulations, are attributed to fabrication tolerances and variations in the measurement setup. Figure 7 illustrates the simulated realized gain across the 2.0-3.0 GHz frequency range. The gain steadily increases from approximately 1 </w:t>
      </w:r>
      <w:proofErr w:type="spellStart"/>
      <w:r>
        <w:t>dBi</w:t>
      </w:r>
      <w:proofErr w:type="spellEnd"/>
      <w:r>
        <w:t xml:space="preserve"> at 2.0 GHz to a peak of 4.4 </w:t>
      </w:r>
      <w:proofErr w:type="spellStart"/>
      <w:r>
        <w:t>dBi</w:t>
      </w:r>
      <w:proofErr w:type="spellEnd"/>
      <w:r>
        <w:t xml:space="preserve"> near 2.45 GHz, maintaining values above 4 </w:t>
      </w:r>
      <w:proofErr w:type="spellStart"/>
      <w:r>
        <w:t>dBi</w:t>
      </w:r>
      <w:proofErr w:type="spellEnd"/>
      <w:r>
        <w:t xml:space="preserve"> across most of the ISM band. Beyond 2.7 GHz, however, the gain drops sharply-falling below -4 </w:t>
      </w:r>
      <w:proofErr w:type="spellStart"/>
      <w:r>
        <w:t>dBi</w:t>
      </w:r>
      <w:proofErr w:type="spellEnd"/>
      <w:r>
        <w:t xml:space="preserve"> around 2.8 GHz indicating strong performance within the desired band and limited radiation efficiency outside of it.</w:t>
      </w:r>
    </w:p>
    <w:p w14:paraId="128B014C" w14:textId="77777777" w:rsidR="00CB4628" w:rsidRDefault="000B328F">
      <w:pPr>
        <w:tabs>
          <w:tab w:val="left" w:pos="288"/>
        </w:tabs>
        <w:spacing w:before="240" w:after="240" w:line="228" w:lineRule="auto"/>
        <w:jc w:val="both"/>
      </w:pPr>
      <w:r>
        <w:rPr>
          <w:noProof/>
        </w:rPr>
        <w:drawing>
          <wp:inline distT="114300" distB="114300" distL="114300" distR="114300" wp14:anchorId="128B01A3" wp14:editId="128B01A4">
            <wp:extent cx="2785663" cy="232284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785663" cy="2322842"/>
                    </a:xfrm>
                    <a:prstGeom prst="rect">
                      <a:avLst/>
                    </a:prstGeom>
                    <a:ln/>
                  </pic:spPr>
                </pic:pic>
              </a:graphicData>
            </a:graphic>
          </wp:inline>
        </w:drawing>
      </w:r>
    </w:p>
    <w:p w14:paraId="128B014D" w14:textId="77777777" w:rsidR="00CB4628" w:rsidRDefault="000B328F">
      <w:pPr>
        <w:pBdr>
          <w:top w:val="nil"/>
          <w:left w:val="nil"/>
          <w:bottom w:val="nil"/>
          <w:right w:val="nil"/>
          <w:between w:val="nil"/>
        </w:pBdr>
        <w:tabs>
          <w:tab w:val="left" w:pos="288"/>
        </w:tabs>
        <w:spacing w:after="120" w:line="228" w:lineRule="auto"/>
        <w:ind w:firstLine="288"/>
        <w:jc w:val="both"/>
      </w:pPr>
      <w:r>
        <w:rPr>
          <w:sz w:val="16"/>
          <w:szCs w:val="16"/>
        </w:rPr>
        <w:t>Fig. 5 The simulated and measured reflection coefficien</w:t>
      </w:r>
      <w:r>
        <w:t>t.</w:t>
      </w:r>
    </w:p>
    <w:sdt>
      <w:sdtPr>
        <w:tag w:val="goog_rdk_3"/>
        <w:id w:val="-1816706033"/>
        <w:lock w:val="contentLocked"/>
      </w:sdtPr>
      <w:sdtContent>
        <w:tbl>
          <w:tblPr>
            <w:tblStyle w:val="a3"/>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2"/>
            <w:gridCol w:w="2433"/>
          </w:tblGrid>
          <w:tr w:rsidR="00CB4628" w14:paraId="128B0152" w14:textId="77777777">
            <w:tc>
              <w:tcPr>
                <w:tcW w:w="2432" w:type="dxa"/>
                <w:tcMar>
                  <w:top w:w="100" w:type="dxa"/>
                  <w:left w:w="100" w:type="dxa"/>
                  <w:bottom w:w="100" w:type="dxa"/>
                  <w:right w:w="100" w:type="dxa"/>
                </w:tcMar>
              </w:tcPr>
              <w:p w14:paraId="128B014E"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A5" wp14:editId="128B01A6">
                      <wp:extent cx="1408010" cy="1233294"/>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1408010" cy="1233294"/>
                              </a:xfrm>
                              <a:prstGeom prst="rect">
                                <a:avLst/>
                              </a:prstGeom>
                              <a:ln/>
                            </pic:spPr>
                          </pic:pic>
                        </a:graphicData>
                      </a:graphic>
                    </wp:inline>
                  </w:drawing>
                </w:r>
              </w:p>
              <w:p w14:paraId="128B014F" w14:textId="77777777" w:rsidR="00CB4628" w:rsidRDefault="000B328F">
                <w:pPr>
                  <w:widowControl w:val="0"/>
                  <w:pBdr>
                    <w:top w:val="nil"/>
                    <w:left w:val="nil"/>
                    <w:bottom w:val="nil"/>
                    <w:right w:val="nil"/>
                    <w:between w:val="nil"/>
                  </w:pBdr>
                </w:pPr>
                <w:r>
                  <w:t>(a)</w:t>
                </w:r>
              </w:p>
            </w:tc>
            <w:tc>
              <w:tcPr>
                <w:tcW w:w="2432" w:type="dxa"/>
                <w:tcMar>
                  <w:top w:w="100" w:type="dxa"/>
                  <w:left w:w="100" w:type="dxa"/>
                  <w:bottom w:w="100" w:type="dxa"/>
                  <w:right w:w="100" w:type="dxa"/>
                </w:tcMar>
              </w:tcPr>
              <w:p w14:paraId="128B0150"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A7" wp14:editId="128B01A8">
                      <wp:extent cx="1446242" cy="1183289"/>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1446242" cy="1183289"/>
                              </a:xfrm>
                              <a:prstGeom prst="rect">
                                <a:avLst/>
                              </a:prstGeom>
                              <a:ln/>
                            </pic:spPr>
                          </pic:pic>
                        </a:graphicData>
                      </a:graphic>
                    </wp:inline>
                  </w:drawing>
                </w:r>
              </w:p>
              <w:p w14:paraId="128B0151" w14:textId="77777777" w:rsidR="00CB4628" w:rsidRDefault="000B328F">
                <w:pPr>
                  <w:widowControl w:val="0"/>
                  <w:pBdr>
                    <w:top w:val="nil"/>
                    <w:left w:val="nil"/>
                    <w:bottom w:val="nil"/>
                    <w:right w:val="nil"/>
                    <w:between w:val="nil"/>
                  </w:pBdr>
                </w:pPr>
                <w:r>
                  <w:t>(b)</w:t>
                </w:r>
              </w:p>
            </w:tc>
          </w:tr>
        </w:tbl>
      </w:sdtContent>
    </w:sdt>
    <w:p w14:paraId="128B0153" w14:textId="77777777" w:rsidR="00CB4628" w:rsidRDefault="000B328F">
      <w:pPr>
        <w:tabs>
          <w:tab w:val="left" w:pos="288"/>
        </w:tabs>
        <w:spacing w:before="240" w:after="240" w:line="228" w:lineRule="auto"/>
        <w:jc w:val="both"/>
        <w:rPr>
          <w:sz w:val="16"/>
          <w:szCs w:val="16"/>
        </w:rPr>
      </w:pPr>
      <w:r>
        <w:rPr>
          <w:sz w:val="16"/>
          <w:szCs w:val="16"/>
        </w:rPr>
        <w:t>Fig. 6 The simulated and measured radiation pattern (a) E-plan, and (b) H-plan.</w:t>
      </w:r>
    </w:p>
    <w:p w14:paraId="128B0154" w14:textId="77777777" w:rsidR="00CB4628" w:rsidRDefault="000B328F">
      <w:pPr>
        <w:pBdr>
          <w:top w:val="nil"/>
          <w:left w:val="nil"/>
          <w:bottom w:val="nil"/>
          <w:right w:val="nil"/>
          <w:between w:val="nil"/>
        </w:pBdr>
        <w:tabs>
          <w:tab w:val="left" w:pos="288"/>
        </w:tabs>
        <w:spacing w:after="120" w:line="228" w:lineRule="auto"/>
        <w:ind w:firstLine="288"/>
        <w:jc w:val="both"/>
      </w:pPr>
      <w:r>
        <w:rPr>
          <w:noProof/>
        </w:rPr>
        <w:drawing>
          <wp:inline distT="114300" distB="114300" distL="114300" distR="114300" wp14:anchorId="128B01A9" wp14:editId="128B01AA">
            <wp:extent cx="2805072" cy="1903441"/>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805072" cy="1903441"/>
                    </a:xfrm>
                    <a:prstGeom prst="rect">
                      <a:avLst/>
                    </a:prstGeom>
                    <a:ln/>
                  </pic:spPr>
                </pic:pic>
              </a:graphicData>
            </a:graphic>
          </wp:inline>
        </w:drawing>
      </w:r>
    </w:p>
    <w:p w14:paraId="128B0155" w14:textId="77777777" w:rsidR="00CB4628" w:rsidRDefault="000B328F">
      <w:pPr>
        <w:tabs>
          <w:tab w:val="left" w:pos="288"/>
        </w:tabs>
        <w:spacing w:before="240" w:after="240" w:line="228" w:lineRule="auto"/>
        <w:rPr>
          <w:sz w:val="16"/>
          <w:szCs w:val="16"/>
        </w:rPr>
      </w:pPr>
      <w:r>
        <w:rPr>
          <w:sz w:val="16"/>
          <w:szCs w:val="16"/>
        </w:rPr>
        <w:t>Fig. 7 The simulated gain.</w:t>
      </w:r>
    </w:p>
    <w:p w14:paraId="128B0156" w14:textId="2ADDF506" w:rsidR="00CB4628" w:rsidRDefault="000B328F">
      <w:pPr>
        <w:tabs>
          <w:tab w:val="left" w:pos="288"/>
        </w:tabs>
        <w:spacing w:before="240" w:after="240" w:line="228" w:lineRule="auto"/>
        <w:jc w:val="both"/>
      </w:pPr>
      <w:r>
        <w:t xml:space="preserve">This subsection presents the direct on-body evaluation of the proposed antenna, focusing on its practical performance under realistic </w:t>
      </w:r>
      <w:r w:rsidR="0024467B">
        <w:t>conditions for biomedical monitoring</w:t>
      </w:r>
      <w:r>
        <w:t xml:space="preserve">. Blood </w:t>
      </w:r>
      <w:r>
        <w:t>pressure fluctuations within the brachial artery significantly affect blood flow dynamics and the physiological behavior of surrounding tissues. As pressure varies, changes in arterial diameter and elasticity alter the propagation of pressure and pulse waves thereby influencing how body-worn antennas absorb and reflect electromagnetic signals. These interactions offer a promising non-invasive pathway to detect dynamic shifts in blood pressure. As shown in Figure 8, the upper arm consists of multiple anatomical layers, including skin, subcutaneous fat, muscle, bone, and the brachial artery each contributing differently to the local dielectric environment. By leveraging this layered physiological structure, the proposed microstrip antenna was tested directly on the human arm to assess its sensitivity to tissue composition and pressure-induced dielectric variations.</w:t>
      </w:r>
    </w:p>
    <w:p w14:paraId="128B0157" w14:textId="77777777" w:rsidR="00CB4628" w:rsidRDefault="000B328F">
      <w:pPr>
        <w:tabs>
          <w:tab w:val="left" w:pos="288"/>
        </w:tabs>
        <w:spacing w:before="240" w:after="240" w:line="228" w:lineRule="auto"/>
        <w:jc w:val="both"/>
      </w:pPr>
      <w:r>
        <w:rPr>
          <w:noProof/>
        </w:rPr>
        <w:drawing>
          <wp:inline distT="114300" distB="114300" distL="114300" distR="114300" wp14:anchorId="128B01AB" wp14:editId="128B01AC">
            <wp:extent cx="2952559" cy="2240169"/>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952559" cy="2240169"/>
                    </a:xfrm>
                    <a:prstGeom prst="rect">
                      <a:avLst/>
                    </a:prstGeom>
                    <a:ln/>
                  </pic:spPr>
                </pic:pic>
              </a:graphicData>
            </a:graphic>
          </wp:inline>
        </w:drawing>
      </w:r>
    </w:p>
    <w:p w14:paraId="128B0158" w14:textId="77777777" w:rsidR="00CB4628" w:rsidRDefault="000B328F">
      <w:pPr>
        <w:tabs>
          <w:tab w:val="left" w:pos="288"/>
        </w:tabs>
        <w:spacing w:before="240" w:after="240" w:line="228" w:lineRule="auto"/>
        <w:jc w:val="both"/>
        <w:rPr>
          <w:sz w:val="16"/>
          <w:szCs w:val="16"/>
        </w:rPr>
      </w:pPr>
      <w:r>
        <w:rPr>
          <w:sz w:val="16"/>
          <w:szCs w:val="16"/>
        </w:rPr>
        <w:t>Fig .8 Upper Arm Physiological Components: Bone, Muscle, Fat, Artery, Skin [17].</w:t>
      </w:r>
    </w:p>
    <w:p w14:paraId="128B015A" w14:textId="32D9F143" w:rsidR="00CB4628" w:rsidRDefault="000B328F" w:rsidP="001834C9">
      <w:pPr>
        <w:tabs>
          <w:tab w:val="left" w:pos="288"/>
        </w:tabs>
        <w:spacing w:before="240" w:after="240" w:line="228" w:lineRule="auto"/>
        <w:jc w:val="both"/>
      </w:pPr>
      <w:r>
        <w:t xml:space="preserve">To assess the antenna’s performance under varying anatomical conditions, return loss measurements were carried out at three distinct positions on the upper arm, as illustrated in Figure 9. Position 1 was located along the lateral side of the humerus; Position 2 was placed slightly toward the posterior side of the upper arm, near the long head of the triceps; and Position 3 was situated directly above the brachial artery, close to the insertion point of the </w:t>
      </w:r>
      <w:r w:rsidR="0024467B">
        <w:t>biceps</w:t>
      </w:r>
      <w:r>
        <w:t xml:space="preserve"> tendon. These locations were selected to expose the antenna to different tissue compositions</w:t>
      </w:r>
      <w:r w:rsidR="0024467B">
        <w:t>, including varying amounts of skin, fat, muscle, bone, and vascular structures,</w:t>
      </w:r>
      <w:r>
        <w:t xml:space="preserve"> which influence the local dielectric environment. Figure 10 provides an example of the measurement setup for Position 1, where the fabricated antenna is affixed to the subject’s upper arm and connected to a Vector Network Analyzer (VNA) to capture return loss data.</w:t>
      </w:r>
    </w:p>
    <w:sdt>
      <w:sdtPr>
        <w:tag w:val="goog_rdk_4"/>
        <w:id w:val="-1924679403"/>
        <w:lock w:val="contentLocked"/>
      </w:sdtPr>
      <w:sdtContent>
        <w:tbl>
          <w:tblPr>
            <w:tblStyle w:val="a4"/>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5"/>
          </w:tblGrid>
          <w:tr w:rsidR="00CB4628" w14:paraId="128B015D" w14:textId="77777777">
            <w:tc>
              <w:tcPr>
                <w:tcW w:w="4865" w:type="dxa"/>
                <w:tcMar>
                  <w:top w:w="100" w:type="dxa"/>
                  <w:left w:w="100" w:type="dxa"/>
                  <w:bottom w:w="100" w:type="dxa"/>
                  <w:right w:w="100" w:type="dxa"/>
                </w:tcMar>
              </w:tcPr>
              <w:p w14:paraId="128B015B"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AD" wp14:editId="128B01AE">
                      <wp:extent cx="2783104" cy="1234887"/>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2783104" cy="1234887"/>
                              </a:xfrm>
                              <a:prstGeom prst="rect">
                                <a:avLst/>
                              </a:prstGeom>
                              <a:ln/>
                            </pic:spPr>
                          </pic:pic>
                        </a:graphicData>
                      </a:graphic>
                    </wp:inline>
                  </w:drawing>
                </w:r>
              </w:p>
              <w:p w14:paraId="128B015C" w14:textId="77777777" w:rsidR="00CB4628" w:rsidRDefault="000B328F">
                <w:pPr>
                  <w:widowControl w:val="0"/>
                  <w:pBdr>
                    <w:top w:val="nil"/>
                    <w:left w:val="nil"/>
                    <w:bottom w:val="nil"/>
                    <w:right w:val="nil"/>
                    <w:between w:val="nil"/>
                  </w:pBdr>
                </w:pPr>
                <w:r>
                  <w:t>(a)</w:t>
                </w:r>
              </w:p>
            </w:tc>
          </w:tr>
          <w:tr w:rsidR="00CB4628" w14:paraId="128B0160" w14:textId="77777777">
            <w:tc>
              <w:tcPr>
                <w:tcW w:w="4865" w:type="dxa"/>
                <w:tcMar>
                  <w:top w:w="100" w:type="dxa"/>
                  <w:left w:w="100" w:type="dxa"/>
                  <w:bottom w:w="100" w:type="dxa"/>
                  <w:right w:w="100" w:type="dxa"/>
                </w:tcMar>
              </w:tcPr>
              <w:p w14:paraId="128B015E" w14:textId="77777777" w:rsidR="00CB4628" w:rsidRDefault="000B328F">
                <w:pPr>
                  <w:widowControl w:val="0"/>
                  <w:pBdr>
                    <w:top w:val="nil"/>
                    <w:left w:val="nil"/>
                    <w:bottom w:val="nil"/>
                    <w:right w:val="nil"/>
                    <w:between w:val="nil"/>
                  </w:pBdr>
                  <w:jc w:val="left"/>
                </w:pPr>
                <w:r>
                  <w:rPr>
                    <w:noProof/>
                  </w:rPr>
                  <w:lastRenderedPageBreak/>
                  <w:drawing>
                    <wp:inline distT="114300" distB="114300" distL="114300" distR="114300" wp14:anchorId="128B01AF" wp14:editId="128B01B0">
                      <wp:extent cx="2894736" cy="1233822"/>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2894736" cy="1233822"/>
                              </a:xfrm>
                              <a:prstGeom prst="rect">
                                <a:avLst/>
                              </a:prstGeom>
                              <a:ln/>
                            </pic:spPr>
                          </pic:pic>
                        </a:graphicData>
                      </a:graphic>
                    </wp:inline>
                  </w:drawing>
                </w:r>
              </w:p>
              <w:p w14:paraId="128B015F" w14:textId="77777777" w:rsidR="00CB4628" w:rsidRDefault="000B328F">
                <w:pPr>
                  <w:widowControl w:val="0"/>
                  <w:pBdr>
                    <w:top w:val="nil"/>
                    <w:left w:val="nil"/>
                    <w:bottom w:val="nil"/>
                    <w:right w:val="nil"/>
                    <w:between w:val="nil"/>
                  </w:pBdr>
                </w:pPr>
                <w:r>
                  <w:t>(b)</w:t>
                </w:r>
              </w:p>
            </w:tc>
          </w:tr>
        </w:tbl>
      </w:sdtContent>
    </w:sdt>
    <w:p w14:paraId="128B0161" w14:textId="77777777" w:rsidR="00CB4628" w:rsidRDefault="000B328F">
      <w:pPr>
        <w:tabs>
          <w:tab w:val="left" w:pos="288"/>
        </w:tabs>
        <w:spacing w:before="240" w:after="240" w:line="228" w:lineRule="auto"/>
        <w:jc w:val="both"/>
        <w:rPr>
          <w:sz w:val="16"/>
          <w:szCs w:val="16"/>
        </w:rPr>
      </w:pPr>
      <w:r>
        <w:rPr>
          <w:sz w:val="16"/>
          <w:szCs w:val="16"/>
        </w:rPr>
        <w:t>Fig.9 Positions of the Patch Antenna on the Human Arm for Blood Pressure Monitoring (a) back view of the arm. (b) front view of the arm.</w:t>
      </w:r>
    </w:p>
    <w:p w14:paraId="128B0162" w14:textId="77777777" w:rsidR="00CB4628" w:rsidRDefault="000B328F">
      <w:pPr>
        <w:tabs>
          <w:tab w:val="left" w:pos="288"/>
        </w:tabs>
        <w:spacing w:before="240" w:after="240" w:line="228" w:lineRule="auto"/>
        <w:jc w:val="both"/>
      </w:pPr>
      <w:r>
        <w:rPr>
          <w:noProof/>
        </w:rPr>
        <w:drawing>
          <wp:inline distT="114300" distB="114300" distL="114300" distR="114300" wp14:anchorId="128B01B1" wp14:editId="128B01B2">
            <wp:extent cx="2998975" cy="3044691"/>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2998975" cy="3044691"/>
                    </a:xfrm>
                    <a:prstGeom prst="rect">
                      <a:avLst/>
                    </a:prstGeom>
                    <a:ln/>
                  </pic:spPr>
                </pic:pic>
              </a:graphicData>
            </a:graphic>
          </wp:inline>
        </w:drawing>
      </w:r>
    </w:p>
    <w:p w14:paraId="128B0163" w14:textId="77777777" w:rsidR="00CB4628" w:rsidRDefault="000B328F">
      <w:pPr>
        <w:tabs>
          <w:tab w:val="left" w:pos="288"/>
        </w:tabs>
        <w:spacing w:before="240" w:after="240" w:line="228" w:lineRule="auto"/>
        <w:jc w:val="both"/>
        <w:rPr>
          <w:sz w:val="16"/>
          <w:szCs w:val="16"/>
        </w:rPr>
      </w:pPr>
      <w:r>
        <w:rPr>
          <w:sz w:val="16"/>
          <w:szCs w:val="16"/>
        </w:rPr>
        <w:t>Fig.10 Measurement of antenna return loss on the side of the arm (position 1).</w:t>
      </w:r>
    </w:p>
    <w:p w14:paraId="128B0164" w14:textId="77777777" w:rsidR="00CB4628" w:rsidRDefault="000B328F">
      <w:pPr>
        <w:tabs>
          <w:tab w:val="left" w:pos="288"/>
        </w:tabs>
        <w:spacing w:before="240" w:after="240" w:line="228" w:lineRule="auto"/>
        <w:jc w:val="both"/>
      </w:pPr>
      <w:r>
        <w:t>As shown in Figure 10, measurements were conducted at all three arm positions on two individuals with differing blood pressure levels: Person A, with normal blood pressure (107/63 mmHg), and Person B, with elevated blood pressure (131/80 mmHg). For Person A, the S</w:t>
      </w:r>
      <w:r>
        <w:rPr>
          <w:vertAlign w:val="subscript"/>
        </w:rPr>
        <w:t>11</w:t>
      </w:r>
      <w:r>
        <w:t xml:space="preserve"> curves across all positions (Figure 11) resonated within the 2.4-2.6 GHz range, displaying narrow bandwidths and consistent return loss values indicating stable antenna performance in a normotensive condition. In contrast, the measurements for Person B revealed a noticeable leftward shift in resonant frequency at all three positions, along with minor variations in return loss magnitude. This frequency shift reflects the influence of elevated blood pressure on the dielectric properties of surrounding tissues, which affects the antenna’s impedance matching. These findings confirm the antenna’s sensitivity to physiological changes and reinforce its potential as a non-invasive tool for monitoring blood pressure variations.</w:t>
      </w:r>
    </w:p>
    <w:sdt>
      <w:sdtPr>
        <w:tag w:val="goog_rdk_5"/>
        <w:id w:val="50197445"/>
        <w:lock w:val="contentLocked"/>
      </w:sdtPr>
      <w:sdtContent>
        <w:tbl>
          <w:tblPr>
            <w:tblStyle w:val="a5"/>
            <w:tblW w:w="4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5"/>
          </w:tblGrid>
          <w:tr w:rsidR="00CB4628" w14:paraId="128B0167" w14:textId="77777777">
            <w:tc>
              <w:tcPr>
                <w:tcW w:w="4865" w:type="dxa"/>
                <w:tcMar>
                  <w:top w:w="100" w:type="dxa"/>
                  <w:left w:w="100" w:type="dxa"/>
                  <w:bottom w:w="100" w:type="dxa"/>
                  <w:right w:w="100" w:type="dxa"/>
                </w:tcMar>
              </w:tcPr>
              <w:p w14:paraId="128B0165"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B3" wp14:editId="128B01B4">
                      <wp:extent cx="2224571" cy="188093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2224571" cy="1880938"/>
                              </a:xfrm>
                              <a:prstGeom prst="rect">
                                <a:avLst/>
                              </a:prstGeom>
                              <a:ln/>
                            </pic:spPr>
                          </pic:pic>
                        </a:graphicData>
                      </a:graphic>
                    </wp:inline>
                  </w:drawing>
                </w:r>
              </w:p>
              <w:p w14:paraId="128B0166" w14:textId="77777777" w:rsidR="00CB4628" w:rsidRDefault="000B328F">
                <w:pPr>
                  <w:widowControl w:val="0"/>
                  <w:pBdr>
                    <w:top w:val="nil"/>
                    <w:left w:val="nil"/>
                    <w:bottom w:val="nil"/>
                    <w:right w:val="nil"/>
                    <w:between w:val="nil"/>
                  </w:pBdr>
                </w:pPr>
                <w:r>
                  <w:t>(a)</w:t>
                </w:r>
              </w:p>
            </w:tc>
          </w:tr>
          <w:tr w:rsidR="00CB4628" w14:paraId="128B016A" w14:textId="77777777">
            <w:tc>
              <w:tcPr>
                <w:tcW w:w="4865" w:type="dxa"/>
                <w:tcMar>
                  <w:top w:w="100" w:type="dxa"/>
                  <w:left w:w="100" w:type="dxa"/>
                  <w:bottom w:w="100" w:type="dxa"/>
                  <w:right w:w="100" w:type="dxa"/>
                </w:tcMar>
              </w:tcPr>
              <w:p w14:paraId="128B0168"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B5" wp14:editId="128B01B6">
                      <wp:extent cx="2207691" cy="243670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2207691" cy="2436705"/>
                              </a:xfrm>
                              <a:prstGeom prst="rect">
                                <a:avLst/>
                              </a:prstGeom>
                              <a:ln/>
                            </pic:spPr>
                          </pic:pic>
                        </a:graphicData>
                      </a:graphic>
                    </wp:inline>
                  </w:drawing>
                </w:r>
              </w:p>
              <w:p w14:paraId="128B0169" w14:textId="77777777" w:rsidR="00CB4628" w:rsidRDefault="000B328F">
                <w:pPr>
                  <w:widowControl w:val="0"/>
                  <w:pBdr>
                    <w:top w:val="nil"/>
                    <w:left w:val="nil"/>
                    <w:bottom w:val="nil"/>
                    <w:right w:val="nil"/>
                    <w:between w:val="nil"/>
                  </w:pBdr>
                </w:pPr>
                <w:r>
                  <w:t>(b)</w:t>
                </w:r>
              </w:p>
            </w:tc>
          </w:tr>
          <w:tr w:rsidR="00CB4628" w14:paraId="128B016D" w14:textId="77777777">
            <w:tc>
              <w:tcPr>
                <w:tcW w:w="4865" w:type="dxa"/>
                <w:tcMar>
                  <w:top w:w="100" w:type="dxa"/>
                  <w:left w:w="100" w:type="dxa"/>
                  <w:bottom w:w="100" w:type="dxa"/>
                  <w:right w:w="100" w:type="dxa"/>
                </w:tcMar>
              </w:tcPr>
              <w:p w14:paraId="128B016B" w14:textId="77777777" w:rsidR="00CB4628" w:rsidRDefault="000B328F">
                <w:pPr>
                  <w:widowControl w:val="0"/>
                  <w:pBdr>
                    <w:top w:val="nil"/>
                    <w:left w:val="nil"/>
                    <w:bottom w:val="nil"/>
                    <w:right w:val="nil"/>
                    <w:between w:val="nil"/>
                  </w:pBdr>
                  <w:jc w:val="left"/>
                </w:pPr>
                <w:r>
                  <w:rPr>
                    <w:noProof/>
                  </w:rPr>
                  <w:drawing>
                    <wp:inline distT="114300" distB="114300" distL="114300" distR="114300" wp14:anchorId="128B01B7" wp14:editId="128B01B8">
                      <wp:extent cx="2060982" cy="2314942"/>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2060982" cy="2314942"/>
                              </a:xfrm>
                              <a:prstGeom prst="rect">
                                <a:avLst/>
                              </a:prstGeom>
                              <a:ln/>
                            </pic:spPr>
                          </pic:pic>
                        </a:graphicData>
                      </a:graphic>
                    </wp:inline>
                  </w:drawing>
                </w:r>
              </w:p>
              <w:p w14:paraId="128B016C" w14:textId="77777777" w:rsidR="00CB4628" w:rsidRDefault="000B328F">
                <w:pPr>
                  <w:widowControl w:val="0"/>
                  <w:pBdr>
                    <w:top w:val="nil"/>
                    <w:left w:val="nil"/>
                    <w:bottom w:val="nil"/>
                    <w:right w:val="nil"/>
                    <w:between w:val="nil"/>
                  </w:pBdr>
                </w:pPr>
                <w:r>
                  <w:t>(c)</w:t>
                </w:r>
              </w:p>
            </w:tc>
          </w:tr>
        </w:tbl>
      </w:sdtContent>
    </w:sdt>
    <w:p w14:paraId="128B016E" w14:textId="77777777" w:rsidR="00CB4628" w:rsidRDefault="000B328F">
      <w:pPr>
        <w:tabs>
          <w:tab w:val="left" w:pos="288"/>
        </w:tabs>
        <w:spacing w:before="240" w:after="240" w:line="228" w:lineRule="auto"/>
        <w:jc w:val="both"/>
        <w:rPr>
          <w:sz w:val="16"/>
          <w:szCs w:val="16"/>
        </w:rPr>
      </w:pPr>
      <w:r>
        <w:rPr>
          <w:sz w:val="16"/>
          <w:szCs w:val="16"/>
        </w:rPr>
        <w:t>Fig.11 S</w:t>
      </w:r>
      <w:r>
        <w:rPr>
          <w:sz w:val="16"/>
          <w:szCs w:val="16"/>
          <w:vertAlign w:val="subscript"/>
        </w:rPr>
        <w:t>11</w:t>
      </w:r>
      <w:r>
        <w:rPr>
          <w:sz w:val="16"/>
          <w:szCs w:val="16"/>
        </w:rPr>
        <w:t xml:space="preserve"> Measurement Results in Free Space, Normal Pressure, and High Pressure (a) Position 1 (b) Position 2 (c) Position 3.</w:t>
      </w:r>
    </w:p>
    <w:p w14:paraId="128B016F" w14:textId="789BA229" w:rsidR="00CB4628" w:rsidRDefault="000B328F">
      <w:pPr>
        <w:tabs>
          <w:tab w:val="left" w:pos="288"/>
        </w:tabs>
        <w:spacing w:before="240" w:after="240" w:line="228" w:lineRule="auto"/>
        <w:jc w:val="both"/>
        <w:rPr>
          <w:color w:val="000000"/>
        </w:rPr>
      </w:pPr>
      <w:r>
        <w:t>Among the three tested positions, Position 2</w:t>
      </w:r>
      <w:r w:rsidR="001834C9">
        <w:t>, located slightly toward the back of the upper arm near the long head of the triceps,</w:t>
      </w:r>
      <w:r>
        <w:t xml:space="preserve"> exhibited the greatest shift in resonant frequency (S</w:t>
      </w:r>
      <w:r>
        <w:rPr>
          <w:vertAlign w:val="subscript"/>
        </w:rPr>
        <w:t>11</w:t>
      </w:r>
      <w:r>
        <w:t xml:space="preserve">) between normal and elevated blood pressure conditions. This heightened sensitivity is likely due to its balanced exposure to both vascular and muscular tissues, which amplifies dielectric variations in response to pressure changes. In </w:t>
      </w:r>
      <w:r>
        <w:lastRenderedPageBreak/>
        <w:t xml:space="preserve">contrast, Position 1, being closer to </w:t>
      </w:r>
      <w:r w:rsidR="0024467B">
        <w:t>the bone, showed reduced sensitivity, while Position 3, despite being directly above the brachial artery,</w:t>
      </w:r>
      <w:r>
        <w:t xml:space="preserve"> produced a more modest frequency shift. Based on these observations, Position 2 is identified as the most effective placement for reliable, non-invasive blood pressure monitoring.</w:t>
      </w:r>
    </w:p>
    <w:p w14:paraId="128B0170" w14:textId="77777777" w:rsidR="00CB4628" w:rsidRDefault="000B328F">
      <w:pPr>
        <w:pStyle w:val="Heading1"/>
        <w:numPr>
          <w:ilvl w:val="0"/>
          <w:numId w:val="1"/>
        </w:numPr>
      </w:pPr>
      <w:r>
        <w:t xml:space="preserve">Conclusion </w:t>
      </w:r>
    </w:p>
    <w:p w14:paraId="128B0171" w14:textId="77777777" w:rsidR="00CB4628" w:rsidRDefault="000B328F">
      <w:pPr>
        <w:tabs>
          <w:tab w:val="left" w:pos="288"/>
        </w:tabs>
        <w:spacing w:before="240" w:after="240" w:line="228" w:lineRule="auto"/>
        <w:jc w:val="both"/>
      </w:pPr>
      <w:r>
        <w:t xml:space="preserve">This study presented a slot-optimized microstrip patch antenna designed for non-invasive blood pressure monitoring in the 2.4 GHz ISM band. The fabricated prototype achieved an impedance bandwidth of 550 MHz, and a peak gain of 4.4 </w:t>
      </w:r>
      <w:proofErr w:type="spellStart"/>
      <w:r>
        <w:t>dBi</w:t>
      </w:r>
      <w:proofErr w:type="spellEnd"/>
      <w:r>
        <w:t xml:space="preserve"> demonstrating strong alignment with simulation results. On-body evaluations at three different arm positions confirmed the antenna’s sensitivity to blood pressure variations, with the placement near the brachial artery producing the most noticeable frequency shift between normotensive and hypertensive states. These findings highlight the antenna’s mechanical robustness, cost-effectiveness, and reliable performance, making it a strong candidate for continuous, cuff-free blood pressure monitoring in wearable healthcare applications.</w:t>
      </w:r>
    </w:p>
    <w:p w14:paraId="128B0172" w14:textId="77777777" w:rsidR="00CB4628" w:rsidRDefault="000B328F">
      <w:pPr>
        <w:pStyle w:val="Heading5"/>
      </w:pPr>
      <w:r>
        <w:t>References</w:t>
      </w:r>
    </w:p>
    <w:p w14:paraId="128B0173" w14:textId="77777777" w:rsidR="00CB4628" w:rsidRDefault="000B328F">
      <w:pPr>
        <w:tabs>
          <w:tab w:val="left" w:pos="288"/>
        </w:tabs>
        <w:spacing w:before="240" w:after="240" w:line="235" w:lineRule="auto"/>
        <w:ind w:right="40"/>
        <w:jc w:val="both"/>
        <w:rPr>
          <w:color w:val="1155CC"/>
          <w:sz w:val="16"/>
          <w:szCs w:val="16"/>
          <w:u w:val="single"/>
        </w:rPr>
      </w:pPr>
      <w:r>
        <w:rPr>
          <w:sz w:val="18"/>
          <w:szCs w:val="18"/>
        </w:rPr>
        <w:t>[1]</w:t>
      </w:r>
      <w:r>
        <w:rPr>
          <w:sz w:val="14"/>
          <w:szCs w:val="14"/>
        </w:rPr>
        <w:t xml:space="preserve">    </w:t>
      </w:r>
      <w:r>
        <w:rPr>
          <w:sz w:val="16"/>
          <w:szCs w:val="16"/>
        </w:rPr>
        <w:t>World Health Organization, “Hypertension,” Fact Sheet, 2023. [Online].</w:t>
      </w:r>
      <w:hyperlink r:id="rId42">
        <w:r w:rsidR="00CB4628">
          <w:rPr>
            <w:color w:val="1155CC"/>
            <w:sz w:val="16"/>
            <w:szCs w:val="16"/>
            <w:u w:val="single"/>
          </w:rPr>
          <w:t>https://www.who.int/news-room/fact-sheets/detail/hypertension</w:t>
        </w:r>
      </w:hyperlink>
    </w:p>
    <w:p w14:paraId="128B0174" w14:textId="77777777" w:rsidR="00CB4628" w:rsidRDefault="000B328F">
      <w:pPr>
        <w:tabs>
          <w:tab w:val="left" w:pos="288"/>
        </w:tabs>
        <w:spacing w:before="240" w:after="240" w:line="235" w:lineRule="auto"/>
        <w:ind w:right="40"/>
        <w:jc w:val="both"/>
        <w:rPr>
          <w:sz w:val="16"/>
          <w:szCs w:val="16"/>
        </w:rPr>
      </w:pPr>
      <w:r>
        <w:rPr>
          <w:sz w:val="18"/>
          <w:szCs w:val="18"/>
        </w:rPr>
        <w:t>[2]</w:t>
      </w:r>
      <w:r>
        <w:rPr>
          <w:sz w:val="14"/>
          <w:szCs w:val="14"/>
        </w:rPr>
        <w:t xml:space="preserve">    </w:t>
      </w:r>
      <w:r>
        <w:rPr>
          <w:sz w:val="16"/>
          <w:szCs w:val="16"/>
        </w:rPr>
        <w:t>B. Zhou et al., “Worldwide trends in hypertension prevalence and progress in treatment and control from 1990 to 2019: a pooled analysis of 1201 population-representative studies,” The Lancet, vol. 398, no. 10304, pp. 957–980, 2021.</w:t>
      </w:r>
    </w:p>
    <w:p w14:paraId="128B0175" w14:textId="77777777" w:rsidR="00CB4628" w:rsidRDefault="000B328F">
      <w:pPr>
        <w:tabs>
          <w:tab w:val="left" w:pos="288"/>
        </w:tabs>
        <w:spacing w:before="240" w:after="240" w:line="235" w:lineRule="auto"/>
        <w:ind w:right="40"/>
        <w:jc w:val="both"/>
        <w:rPr>
          <w:sz w:val="16"/>
          <w:szCs w:val="16"/>
        </w:rPr>
      </w:pPr>
      <w:r>
        <w:rPr>
          <w:sz w:val="18"/>
          <w:szCs w:val="18"/>
        </w:rPr>
        <w:t>[3]</w:t>
      </w:r>
      <w:r>
        <w:rPr>
          <w:sz w:val="14"/>
          <w:szCs w:val="14"/>
        </w:rPr>
        <w:t xml:space="preserve">    </w:t>
      </w:r>
      <w:r>
        <w:rPr>
          <w:sz w:val="16"/>
          <w:szCs w:val="16"/>
        </w:rPr>
        <w:t xml:space="preserve">K. O'Brien et al., “International protocol for validation of blood pressure measuring devices,” </w:t>
      </w:r>
      <w:r>
        <w:rPr>
          <w:i/>
          <w:iCs/>
          <w:sz w:val="16"/>
          <w:szCs w:val="16"/>
        </w:rPr>
        <w:t>Blood Press. Monit.</w:t>
      </w:r>
      <w:r>
        <w:rPr>
          <w:sz w:val="16"/>
          <w:szCs w:val="16"/>
        </w:rPr>
        <w:t>, vol. 7, no. 1, pp. 3–17, 2002.</w:t>
      </w:r>
    </w:p>
    <w:p w14:paraId="128B0176" w14:textId="77777777" w:rsidR="00CB4628" w:rsidRDefault="000B328F">
      <w:pPr>
        <w:tabs>
          <w:tab w:val="left" w:pos="288"/>
        </w:tabs>
        <w:spacing w:before="240" w:after="240" w:line="235" w:lineRule="auto"/>
        <w:ind w:right="40"/>
        <w:jc w:val="both"/>
        <w:rPr>
          <w:sz w:val="16"/>
          <w:szCs w:val="16"/>
        </w:rPr>
      </w:pPr>
      <w:r>
        <w:rPr>
          <w:sz w:val="18"/>
          <w:szCs w:val="18"/>
        </w:rPr>
        <w:t>[4]</w:t>
      </w:r>
      <w:r>
        <w:rPr>
          <w:sz w:val="14"/>
          <w:szCs w:val="14"/>
        </w:rPr>
        <w:t xml:space="preserve">    </w:t>
      </w:r>
      <w:r>
        <w:rPr>
          <w:sz w:val="16"/>
          <w:szCs w:val="16"/>
        </w:rPr>
        <w:t xml:space="preserve">L. Niiranen et al., “Office, home and ambulatory blood pressures as predictors of cardiovascular risk,” </w:t>
      </w:r>
      <w:r>
        <w:rPr>
          <w:i/>
          <w:iCs/>
          <w:sz w:val="16"/>
          <w:szCs w:val="16"/>
        </w:rPr>
        <w:t>Hypertension</w:t>
      </w:r>
      <w:r>
        <w:rPr>
          <w:sz w:val="16"/>
          <w:szCs w:val="16"/>
        </w:rPr>
        <w:t>, vol. 45, no. 5, pp. 846–853, 2005.</w:t>
      </w:r>
    </w:p>
    <w:p w14:paraId="128B0177" w14:textId="77777777" w:rsidR="00CB4628" w:rsidRDefault="000B328F">
      <w:pPr>
        <w:tabs>
          <w:tab w:val="left" w:pos="288"/>
        </w:tabs>
        <w:spacing w:before="240" w:after="240" w:line="235" w:lineRule="auto"/>
        <w:ind w:right="40"/>
        <w:jc w:val="both"/>
        <w:rPr>
          <w:sz w:val="16"/>
          <w:szCs w:val="16"/>
        </w:rPr>
      </w:pPr>
      <w:r>
        <w:rPr>
          <w:sz w:val="18"/>
          <w:szCs w:val="18"/>
        </w:rPr>
        <w:t>[5]</w:t>
      </w:r>
      <w:r>
        <w:rPr>
          <w:sz w:val="14"/>
          <w:szCs w:val="14"/>
        </w:rPr>
        <w:t xml:space="preserve">   </w:t>
      </w:r>
      <w:r>
        <w:rPr>
          <w:sz w:val="16"/>
          <w:szCs w:val="16"/>
        </w:rPr>
        <w:t xml:space="preserve"> D. Dey et al., “Cuffless Blood Pressure Estimation Using PPG and Deep Learning,” </w:t>
      </w:r>
      <w:r>
        <w:rPr>
          <w:i/>
          <w:iCs/>
          <w:sz w:val="16"/>
          <w:szCs w:val="16"/>
        </w:rPr>
        <w:t>IEEE J. Biomed. Health Inform.</w:t>
      </w:r>
      <w:r>
        <w:rPr>
          <w:sz w:val="16"/>
          <w:szCs w:val="16"/>
        </w:rPr>
        <w:t>, vol. 27, no. 1, pp. 55–64, Jan. 2023.</w:t>
      </w:r>
    </w:p>
    <w:p w14:paraId="128B0178" w14:textId="77777777" w:rsidR="00CB4628" w:rsidRDefault="000B328F">
      <w:pPr>
        <w:tabs>
          <w:tab w:val="left" w:pos="288"/>
        </w:tabs>
        <w:spacing w:before="240" w:after="240" w:line="235" w:lineRule="auto"/>
        <w:ind w:right="40"/>
        <w:jc w:val="both"/>
        <w:rPr>
          <w:sz w:val="16"/>
          <w:szCs w:val="16"/>
        </w:rPr>
      </w:pPr>
      <w:r>
        <w:rPr>
          <w:sz w:val="18"/>
          <w:szCs w:val="18"/>
        </w:rPr>
        <w:t>[6]</w:t>
      </w:r>
      <w:r>
        <w:rPr>
          <w:sz w:val="14"/>
          <w:szCs w:val="14"/>
        </w:rPr>
        <w:t xml:space="preserve">    </w:t>
      </w:r>
      <w:r>
        <w:rPr>
          <w:sz w:val="16"/>
          <w:szCs w:val="16"/>
        </w:rPr>
        <w:t xml:space="preserve">M. K. </w:t>
      </w:r>
      <w:proofErr w:type="spellStart"/>
      <w:r>
        <w:rPr>
          <w:sz w:val="16"/>
          <w:szCs w:val="16"/>
        </w:rPr>
        <w:t>ElAbbasi</w:t>
      </w:r>
      <w:proofErr w:type="spellEnd"/>
      <w:r>
        <w:rPr>
          <w:sz w:val="16"/>
          <w:szCs w:val="16"/>
        </w:rPr>
        <w:t xml:space="preserve"> et al., “Wearable Blood Pressure Sensing Using Microstrip Patch Antennas,” </w:t>
      </w:r>
      <w:r>
        <w:rPr>
          <w:i/>
          <w:iCs/>
          <w:sz w:val="16"/>
          <w:szCs w:val="16"/>
        </w:rPr>
        <w:t>Sensors</w:t>
      </w:r>
      <w:r>
        <w:rPr>
          <w:sz w:val="16"/>
          <w:szCs w:val="16"/>
        </w:rPr>
        <w:t>, vol. 22, no. 11, p. 3996, 2022.</w:t>
      </w:r>
    </w:p>
    <w:p w14:paraId="128B0179" w14:textId="77777777" w:rsidR="00CB4628" w:rsidRDefault="000B328F">
      <w:pPr>
        <w:tabs>
          <w:tab w:val="left" w:pos="288"/>
        </w:tabs>
        <w:spacing w:before="240" w:after="240" w:line="235" w:lineRule="auto"/>
        <w:ind w:right="40"/>
        <w:jc w:val="both"/>
        <w:rPr>
          <w:sz w:val="16"/>
          <w:szCs w:val="16"/>
        </w:rPr>
      </w:pPr>
      <w:r>
        <w:rPr>
          <w:sz w:val="18"/>
          <w:szCs w:val="18"/>
        </w:rPr>
        <w:t>[7]</w:t>
      </w:r>
      <w:r>
        <w:rPr>
          <w:sz w:val="14"/>
          <w:szCs w:val="14"/>
        </w:rPr>
        <w:t xml:space="preserve">    </w:t>
      </w:r>
      <w:r>
        <w:rPr>
          <w:sz w:val="16"/>
          <w:szCs w:val="16"/>
        </w:rPr>
        <w:t xml:space="preserve">Y. Wang et al., “A Review of Wearable Cuffless Blood Pressure Monitoring Techniques,” </w:t>
      </w:r>
      <w:r>
        <w:rPr>
          <w:i/>
          <w:iCs/>
          <w:sz w:val="16"/>
          <w:szCs w:val="16"/>
        </w:rPr>
        <w:t>Sensors</w:t>
      </w:r>
      <w:r>
        <w:rPr>
          <w:sz w:val="16"/>
          <w:szCs w:val="16"/>
        </w:rPr>
        <w:t>, vol. 21, no. 16, p. 5289, 2021.</w:t>
      </w:r>
    </w:p>
    <w:p w14:paraId="128B017A" w14:textId="77777777" w:rsidR="00CB4628" w:rsidRDefault="000B328F">
      <w:pPr>
        <w:tabs>
          <w:tab w:val="left" w:pos="288"/>
        </w:tabs>
        <w:spacing w:before="240" w:after="240" w:line="228" w:lineRule="auto"/>
        <w:jc w:val="both"/>
        <w:rPr>
          <w:sz w:val="16"/>
          <w:szCs w:val="16"/>
        </w:rPr>
      </w:pPr>
      <w:r>
        <w:rPr>
          <w:sz w:val="18"/>
          <w:szCs w:val="18"/>
        </w:rPr>
        <w:t>[8]</w:t>
      </w:r>
      <w:r>
        <w:rPr>
          <w:sz w:val="14"/>
          <w:szCs w:val="14"/>
        </w:rPr>
        <w:tab/>
      </w:r>
      <w:r>
        <w:rPr>
          <w:sz w:val="16"/>
          <w:szCs w:val="16"/>
        </w:rPr>
        <w:t xml:space="preserve">N. Zhang et al., “Flexible Antenna-Based Wireless Sensor for Continuous Blood Pressure Monitoring,” </w:t>
      </w:r>
      <w:r>
        <w:rPr>
          <w:i/>
          <w:iCs/>
          <w:sz w:val="16"/>
          <w:szCs w:val="16"/>
        </w:rPr>
        <w:t xml:space="preserve">IEEE Trans. Antennas </w:t>
      </w:r>
      <w:proofErr w:type="spellStart"/>
      <w:r>
        <w:rPr>
          <w:i/>
          <w:iCs/>
          <w:sz w:val="16"/>
          <w:szCs w:val="16"/>
        </w:rPr>
        <w:t>Propag</w:t>
      </w:r>
      <w:proofErr w:type="spellEnd"/>
      <w:r>
        <w:rPr>
          <w:i/>
          <w:iCs/>
          <w:sz w:val="16"/>
          <w:szCs w:val="16"/>
        </w:rPr>
        <w:t>.</w:t>
      </w:r>
      <w:r>
        <w:rPr>
          <w:sz w:val="16"/>
          <w:szCs w:val="16"/>
        </w:rPr>
        <w:t>, vol. 70, no. 3, pp. 2124–2133, Mar. 2022.</w:t>
      </w:r>
    </w:p>
    <w:p w14:paraId="128B017B" w14:textId="77777777" w:rsidR="00CB4628" w:rsidRDefault="000B328F">
      <w:pPr>
        <w:tabs>
          <w:tab w:val="left" w:pos="288"/>
        </w:tabs>
        <w:spacing w:before="240" w:after="240" w:line="228" w:lineRule="auto"/>
        <w:jc w:val="both"/>
        <w:rPr>
          <w:sz w:val="16"/>
          <w:szCs w:val="16"/>
        </w:rPr>
      </w:pPr>
      <w:r>
        <w:rPr>
          <w:sz w:val="18"/>
          <w:szCs w:val="18"/>
        </w:rPr>
        <w:t>[9]</w:t>
      </w:r>
      <w:r>
        <w:rPr>
          <w:sz w:val="14"/>
          <w:szCs w:val="14"/>
        </w:rPr>
        <w:t xml:space="preserve">    </w:t>
      </w:r>
      <w:r>
        <w:rPr>
          <w:sz w:val="16"/>
          <w:szCs w:val="16"/>
        </w:rPr>
        <w:t xml:space="preserve">A. Nella, R. W. </w:t>
      </w:r>
      <w:proofErr w:type="spellStart"/>
      <w:r>
        <w:rPr>
          <w:sz w:val="16"/>
          <w:szCs w:val="16"/>
        </w:rPr>
        <w:t>Aldhaheri</w:t>
      </w:r>
      <w:proofErr w:type="spellEnd"/>
      <w:r>
        <w:rPr>
          <w:sz w:val="16"/>
          <w:szCs w:val="16"/>
        </w:rPr>
        <w:t xml:space="preserve">, J. B. Kamili, and N. M. Sobahi, “A non-invasive method of glucose monitoring using FR4 material based microwave antenna sensor,” </w:t>
      </w:r>
      <w:r>
        <w:rPr>
          <w:i/>
          <w:iCs/>
          <w:sz w:val="16"/>
          <w:szCs w:val="16"/>
        </w:rPr>
        <w:t>Sci. Eng. Compos. Mater.</w:t>
      </w:r>
      <w:r>
        <w:rPr>
          <w:sz w:val="16"/>
          <w:szCs w:val="16"/>
        </w:rPr>
        <w:t>, vol. 30, no. 1, pp. 1–13, 2023.</w:t>
      </w:r>
    </w:p>
    <w:p w14:paraId="128B017C" w14:textId="77777777" w:rsidR="00CB4628" w:rsidRDefault="000B328F">
      <w:pPr>
        <w:tabs>
          <w:tab w:val="left" w:pos="288"/>
        </w:tabs>
        <w:spacing w:before="240" w:after="240" w:line="228" w:lineRule="auto"/>
        <w:jc w:val="both"/>
        <w:rPr>
          <w:sz w:val="16"/>
          <w:szCs w:val="16"/>
        </w:rPr>
      </w:pPr>
      <w:r>
        <w:rPr>
          <w:sz w:val="18"/>
          <w:szCs w:val="18"/>
        </w:rPr>
        <w:t>[10]</w:t>
      </w:r>
      <w:r>
        <w:rPr>
          <w:sz w:val="14"/>
          <w:szCs w:val="14"/>
        </w:rPr>
        <w:t xml:space="preserve">  </w:t>
      </w:r>
      <w:r>
        <w:rPr>
          <w:sz w:val="16"/>
          <w:szCs w:val="16"/>
        </w:rPr>
        <w:t xml:space="preserve">S. Yang </w:t>
      </w:r>
      <w:r>
        <w:rPr>
          <w:i/>
          <w:iCs/>
          <w:sz w:val="16"/>
          <w:szCs w:val="16"/>
        </w:rPr>
        <w:t>et al.</w:t>
      </w:r>
      <w:r>
        <w:rPr>
          <w:sz w:val="16"/>
          <w:szCs w:val="16"/>
        </w:rPr>
        <w:t xml:space="preserve">, “A compact wideband Vivaldi antenna for non-invasive glucose monitoring,” </w:t>
      </w:r>
      <w:r>
        <w:rPr>
          <w:i/>
          <w:iCs/>
          <w:sz w:val="16"/>
          <w:szCs w:val="16"/>
        </w:rPr>
        <w:t>Micromachines</w:t>
      </w:r>
      <w:r>
        <w:rPr>
          <w:sz w:val="16"/>
          <w:szCs w:val="16"/>
        </w:rPr>
        <w:t>, vol. 15, no. 11, p. 1389, 2024.</w:t>
      </w:r>
    </w:p>
    <w:p w14:paraId="128B017D" w14:textId="77777777" w:rsidR="00CB4628" w:rsidRDefault="000B328F">
      <w:pPr>
        <w:tabs>
          <w:tab w:val="left" w:pos="288"/>
        </w:tabs>
        <w:spacing w:after="240" w:line="235" w:lineRule="auto"/>
        <w:jc w:val="both"/>
        <w:rPr>
          <w:sz w:val="16"/>
          <w:szCs w:val="16"/>
        </w:rPr>
      </w:pPr>
      <w:r>
        <w:rPr>
          <w:sz w:val="18"/>
          <w:szCs w:val="18"/>
        </w:rPr>
        <w:t>[11]</w:t>
      </w:r>
      <w:r>
        <w:rPr>
          <w:sz w:val="14"/>
          <w:szCs w:val="14"/>
        </w:rPr>
        <w:t xml:space="preserve">  </w:t>
      </w:r>
      <w:r>
        <w:rPr>
          <w:sz w:val="16"/>
          <w:szCs w:val="16"/>
        </w:rPr>
        <w:t xml:space="preserve">D. N. </w:t>
      </w:r>
      <w:proofErr w:type="spellStart"/>
      <w:r>
        <w:rPr>
          <w:sz w:val="16"/>
          <w:szCs w:val="16"/>
        </w:rPr>
        <w:t>Elsheakh</w:t>
      </w:r>
      <w:proofErr w:type="spellEnd"/>
      <w:r>
        <w:rPr>
          <w:sz w:val="16"/>
          <w:szCs w:val="16"/>
        </w:rPr>
        <w:t xml:space="preserve">, E.-H. Mohamed, and A. R. </w:t>
      </w:r>
      <w:proofErr w:type="spellStart"/>
      <w:r>
        <w:rPr>
          <w:sz w:val="16"/>
          <w:szCs w:val="16"/>
        </w:rPr>
        <w:t>Eldamak</w:t>
      </w:r>
      <w:proofErr w:type="spellEnd"/>
      <w:r>
        <w:rPr>
          <w:sz w:val="16"/>
          <w:szCs w:val="16"/>
        </w:rPr>
        <w:t xml:space="preserve">, “Blood glucose monitoring biosensor based on multiband split-ring resonator monopole antenna,” </w:t>
      </w:r>
      <w:r>
        <w:rPr>
          <w:i/>
          <w:iCs/>
          <w:sz w:val="16"/>
          <w:szCs w:val="16"/>
        </w:rPr>
        <w:t>Biosensors</w:t>
      </w:r>
      <w:r>
        <w:rPr>
          <w:sz w:val="16"/>
          <w:szCs w:val="16"/>
        </w:rPr>
        <w:t>, vol. 15, no. 4, p. 250, 2025.</w:t>
      </w:r>
    </w:p>
    <w:p w14:paraId="128B017E" w14:textId="77777777" w:rsidR="00CB4628" w:rsidRDefault="000B328F">
      <w:pPr>
        <w:tabs>
          <w:tab w:val="left" w:pos="288"/>
        </w:tabs>
        <w:spacing w:after="240" w:line="235" w:lineRule="auto"/>
        <w:jc w:val="both"/>
        <w:rPr>
          <w:sz w:val="16"/>
          <w:szCs w:val="16"/>
        </w:rPr>
      </w:pPr>
      <w:r>
        <w:rPr>
          <w:sz w:val="18"/>
          <w:szCs w:val="18"/>
        </w:rPr>
        <w:t>[12]</w:t>
      </w:r>
      <w:r>
        <w:rPr>
          <w:sz w:val="14"/>
          <w:szCs w:val="14"/>
        </w:rPr>
        <w:t xml:space="preserve">  </w:t>
      </w:r>
      <w:r>
        <w:rPr>
          <w:sz w:val="16"/>
          <w:szCs w:val="16"/>
        </w:rPr>
        <w:t xml:space="preserve">J. Jeyalakshmi, S. Janakiraman, and P. Shanmugam, “Recent trends in flexible substrate antennas for biomedical applications,” </w:t>
      </w:r>
      <w:r>
        <w:rPr>
          <w:i/>
          <w:iCs/>
          <w:sz w:val="16"/>
          <w:szCs w:val="16"/>
        </w:rPr>
        <w:t xml:space="preserve">Int. J. RF </w:t>
      </w:r>
      <w:proofErr w:type="spellStart"/>
      <w:r>
        <w:rPr>
          <w:i/>
          <w:iCs/>
          <w:sz w:val="16"/>
          <w:szCs w:val="16"/>
        </w:rPr>
        <w:t>Microw</w:t>
      </w:r>
      <w:proofErr w:type="spellEnd"/>
      <w:r>
        <w:rPr>
          <w:i/>
          <w:iCs/>
          <w:sz w:val="16"/>
          <w:szCs w:val="16"/>
        </w:rPr>
        <w:t>. Comput.-Aided Eng.</w:t>
      </w:r>
      <w:r>
        <w:rPr>
          <w:sz w:val="16"/>
          <w:szCs w:val="16"/>
        </w:rPr>
        <w:t>, vol. 34, no. 3, 2024.</w:t>
      </w:r>
    </w:p>
    <w:p w14:paraId="128B017F" w14:textId="77777777" w:rsidR="00CB4628" w:rsidRDefault="000B328F">
      <w:pPr>
        <w:tabs>
          <w:tab w:val="left" w:pos="288"/>
        </w:tabs>
        <w:spacing w:after="240" w:line="235" w:lineRule="auto"/>
        <w:jc w:val="both"/>
        <w:rPr>
          <w:sz w:val="16"/>
          <w:szCs w:val="16"/>
        </w:rPr>
      </w:pPr>
      <w:r>
        <w:rPr>
          <w:sz w:val="18"/>
          <w:szCs w:val="18"/>
        </w:rPr>
        <w:t>[13]</w:t>
      </w:r>
      <w:r>
        <w:rPr>
          <w:sz w:val="14"/>
          <w:szCs w:val="14"/>
        </w:rPr>
        <w:t xml:space="preserve">  </w:t>
      </w:r>
      <w:r>
        <w:rPr>
          <w:sz w:val="16"/>
          <w:szCs w:val="16"/>
        </w:rPr>
        <w:t xml:space="preserve">R. </w:t>
      </w:r>
      <w:proofErr w:type="spellStart"/>
      <w:r>
        <w:rPr>
          <w:sz w:val="16"/>
          <w:szCs w:val="16"/>
        </w:rPr>
        <w:t>Marimganti</w:t>
      </w:r>
      <w:proofErr w:type="spellEnd"/>
      <w:r>
        <w:rPr>
          <w:sz w:val="16"/>
          <w:szCs w:val="16"/>
        </w:rPr>
        <w:t xml:space="preserve">, P. K. Sharma, and M. Agarwal, “Performance analysis of conformal antennas for wearable health monitoring,” </w:t>
      </w:r>
      <w:r>
        <w:rPr>
          <w:i/>
          <w:iCs/>
          <w:sz w:val="16"/>
          <w:szCs w:val="16"/>
        </w:rPr>
        <w:t>IETE J. Res.</w:t>
      </w:r>
      <w:r>
        <w:rPr>
          <w:sz w:val="16"/>
          <w:szCs w:val="16"/>
        </w:rPr>
        <w:t>, early access, 2023.</w:t>
      </w:r>
    </w:p>
    <w:p w14:paraId="128B0180" w14:textId="77777777" w:rsidR="00CB4628" w:rsidRDefault="000B328F">
      <w:pPr>
        <w:tabs>
          <w:tab w:val="left" w:pos="288"/>
        </w:tabs>
        <w:spacing w:before="240" w:after="240" w:line="228" w:lineRule="auto"/>
        <w:ind w:right="140"/>
        <w:jc w:val="both"/>
        <w:rPr>
          <w:sz w:val="16"/>
          <w:szCs w:val="16"/>
        </w:rPr>
      </w:pPr>
      <w:r>
        <w:rPr>
          <w:sz w:val="18"/>
          <w:szCs w:val="18"/>
        </w:rPr>
        <w:t>[14]</w:t>
      </w:r>
      <w:r>
        <w:rPr>
          <w:sz w:val="14"/>
          <w:szCs w:val="14"/>
        </w:rPr>
        <w:t xml:space="preserve">  </w:t>
      </w:r>
      <w:r>
        <w:rPr>
          <w:sz w:val="16"/>
          <w:szCs w:val="16"/>
        </w:rPr>
        <w:t xml:space="preserve">P. </w:t>
      </w:r>
      <w:proofErr w:type="spellStart"/>
      <w:r>
        <w:rPr>
          <w:sz w:val="16"/>
          <w:szCs w:val="16"/>
        </w:rPr>
        <w:t>Jattalwar</w:t>
      </w:r>
      <w:proofErr w:type="spellEnd"/>
      <w:r>
        <w:rPr>
          <w:sz w:val="16"/>
          <w:szCs w:val="16"/>
        </w:rPr>
        <w:t xml:space="preserve">, S. K. Sharma, and B. K. </w:t>
      </w:r>
      <w:proofErr w:type="spellStart"/>
      <w:r>
        <w:rPr>
          <w:sz w:val="16"/>
          <w:szCs w:val="16"/>
        </w:rPr>
        <w:t>Kanaujia</w:t>
      </w:r>
      <w:proofErr w:type="spellEnd"/>
      <w:r>
        <w:rPr>
          <w:sz w:val="16"/>
          <w:szCs w:val="16"/>
        </w:rPr>
        <w:t xml:space="preserve">, “Wearable textile antenna: design and performance considerations,” </w:t>
      </w:r>
      <w:r>
        <w:rPr>
          <w:i/>
          <w:iCs/>
          <w:sz w:val="16"/>
          <w:szCs w:val="16"/>
        </w:rPr>
        <w:t xml:space="preserve">J. </w:t>
      </w:r>
      <w:proofErr w:type="spellStart"/>
      <w:r>
        <w:rPr>
          <w:i/>
          <w:iCs/>
          <w:sz w:val="16"/>
          <w:szCs w:val="16"/>
        </w:rPr>
        <w:t>Electromagn</w:t>
      </w:r>
      <w:proofErr w:type="spellEnd"/>
      <w:r>
        <w:rPr>
          <w:i/>
          <w:iCs/>
          <w:sz w:val="16"/>
          <w:szCs w:val="16"/>
        </w:rPr>
        <w:t>. Waves Appl.</w:t>
      </w:r>
      <w:r>
        <w:rPr>
          <w:sz w:val="16"/>
          <w:szCs w:val="16"/>
        </w:rPr>
        <w:t>, vol. 34, no. 13, pp. 1748–1764, 2020.</w:t>
      </w:r>
    </w:p>
    <w:p w14:paraId="128B0181" w14:textId="77777777" w:rsidR="00CB4628" w:rsidRDefault="000B328F">
      <w:pPr>
        <w:tabs>
          <w:tab w:val="left" w:pos="288"/>
        </w:tabs>
        <w:spacing w:before="240" w:after="240" w:line="228" w:lineRule="auto"/>
        <w:ind w:right="60"/>
        <w:jc w:val="both"/>
        <w:rPr>
          <w:sz w:val="16"/>
          <w:szCs w:val="16"/>
        </w:rPr>
      </w:pPr>
      <w:r>
        <w:rPr>
          <w:sz w:val="18"/>
          <w:szCs w:val="18"/>
        </w:rPr>
        <w:t>[15]</w:t>
      </w:r>
      <w:r>
        <w:rPr>
          <w:sz w:val="14"/>
          <w:szCs w:val="14"/>
        </w:rPr>
        <w:t xml:space="preserve">  </w:t>
      </w:r>
      <w:r>
        <w:rPr>
          <w:sz w:val="16"/>
          <w:szCs w:val="16"/>
        </w:rPr>
        <w:t xml:space="preserve">M. K. </w:t>
      </w:r>
      <w:proofErr w:type="spellStart"/>
      <w:r>
        <w:rPr>
          <w:sz w:val="16"/>
          <w:szCs w:val="16"/>
        </w:rPr>
        <w:t>ElAbbasi</w:t>
      </w:r>
      <w:proofErr w:type="spellEnd"/>
      <w:r>
        <w:rPr>
          <w:sz w:val="16"/>
          <w:szCs w:val="16"/>
        </w:rPr>
        <w:t xml:space="preserve"> </w:t>
      </w:r>
      <w:r>
        <w:rPr>
          <w:i/>
          <w:iCs/>
          <w:sz w:val="16"/>
          <w:szCs w:val="16"/>
        </w:rPr>
        <w:t>et al.</w:t>
      </w:r>
      <w:r>
        <w:rPr>
          <w:sz w:val="16"/>
          <w:szCs w:val="16"/>
        </w:rPr>
        <w:t xml:space="preserve">, “Wearable blood pressure sensing using microstrip patch antennas,” </w:t>
      </w:r>
      <w:r>
        <w:rPr>
          <w:i/>
          <w:iCs/>
          <w:sz w:val="16"/>
          <w:szCs w:val="16"/>
        </w:rPr>
        <w:t>Sensors</w:t>
      </w:r>
      <w:r>
        <w:rPr>
          <w:sz w:val="16"/>
          <w:szCs w:val="16"/>
        </w:rPr>
        <w:t>, vol. 22, no. 11, p. 3996, 2022.</w:t>
      </w:r>
    </w:p>
    <w:p w14:paraId="128B0182" w14:textId="77777777" w:rsidR="00CB4628" w:rsidRDefault="000B328F">
      <w:pPr>
        <w:tabs>
          <w:tab w:val="left" w:pos="288"/>
        </w:tabs>
        <w:spacing w:before="240" w:after="240" w:line="228" w:lineRule="auto"/>
        <w:ind w:right="60"/>
        <w:jc w:val="both"/>
        <w:rPr>
          <w:sz w:val="16"/>
          <w:szCs w:val="16"/>
        </w:rPr>
      </w:pPr>
      <w:r>
        <w:rPr>
          <w:sz w:val="18"/>
          <w:szCs w:val="18"/>
        </w:rPr>
        <w:t>[16]</w:t>
      </w:r>
      <w:r>
        <w:rPr>
          <w:sz w:val="14"/>
          <w:szCs w:val="14"/>
        </w:rPr>
        <w:t xml:space="preserve">  </w:t>
      </w:r>
      <w:r>
        <w:rPr>
          <w:sz w:val="16"/>
          <w:szCs w:val="16"/>
        </w:rPr>
        <w:t xml:space="preserve">Y. Wang </w:t>
      </w:r>
      <w:r>
        <w:rPr>
          <w:i/>
          <w:iCs/>
          <w:sz w:val="16"/>
          <w:szCs w:val="16"/>
        </w:rPr>
        <w:t>et al.</w:t>
      </w:r>
      <w:r>
        <w:rPr>
          <w:sz w:val="16"/>
          <w:szCs w:val="16"/>
        </w:rPr>
        <w:t xml:space="preserve">, “A review of wearable cuffless blood pressure monitoring techniques,” </w:t>
      </w:r>
      <w:r>
        <w:rPr>
          <w:i/>
          <w:iCs/>
          <w:sz w:val="16"/>
          <w:szCs w:val="16"/>
        </w:rPr>
        <w:t>Sensors</w:t>
      </w:r>
      <w:r>
        <w:rPr>
          <w:sz w:val="16"/>
          <w:szCs w:val="16"/>
        </w:rPr>
        <w:t>, vol. 21, no. 16, p. 5289, 2021.</w:t>
      </w:r>
    </w:p>
    <w:p w14:paraId="128B0183" w14:textId="77777777" w:rsidR="00CB4628" w:rsidRDefault="000B328F">
      <w:pPr>
        <w:tabs>
          <w:tab w:val="left" w:pos="288"/>
        </w:tabs>
        <w:spacing w:before="240" w:after="240" w:line="228" w:lineRule="auto"/>
        <w:ind w:right="40"/>
        <w:jc w:val="both"/>
        <w:rPr>
          <w:sz w:val="16"/>
          <w:szCs w:val="16"/>
        </w:rPr>
      </w:pPr>
      <w:r>
        <w:rPr>
          <w:sz w:val="18"/>
          <w:szCs w:val="18"/>
        </w:rPr>
        <w:t>[17]</w:t>
      </w:r>
      <w:r>
        <w:rPr>
          <w:sz w:val="14"/>
          <w:szCs w:val="14"/>
        </w:rPr>
        <w:t xml:space="preserve">  </w:t>
      </w:r>
      <w:r>
        <w:rPr>
          <w:sz w:val="16"/>
          <w:szCs w:val="16"/>
        </w:rPr>
        <w:t xml:space="preserve">Lee, B., Jeong, JH., Hong, J. </w:t>
      </w:r>
      <w:r>
        <w:rPr>
          <w:i/>
          <w:iCs/>
          <w:sz w:val="16"/>
          <w:szCs w:val="16"/>
        </w:rPr>
        <w:t>et al.</w:t>
      </w:r>
      <w:r>
        <w:rPr>
          <w:sz w:val="16"/>
          <w:szCs w:val="16"/>
        </w:rPr>
        <w:t xml:space="preserve"> Correlation analysis of human upper arm parameters to </w:t>
      </w:r>
      <w:proofErr w:type="spellStart"/>
      <w:r>
        <w:rPr>
          <w:sz w:val="16"/>
          <w:szCs w:val="16"/>
        </w:rPr>
        <w:t>oscillometric</w:t>
      </w:r>
      <w:proofErr w:type="spellEnd"/>
      <w:r>
        <w:rPr>
          <w:sz w:val="16"/>
          <w:szCs w:val="16"/>
        </w:rPr>
        <w:t xml:space="preserve"> signal in automatic blood pressure measurement. </w:t>
      </w:r>
      <w:r>
        <w:rPr>
          <w:i/>
          <w:iCs/>
          <w:sz w:val="16"/>
          <w:szCs w:val="16"/>
        </w:rPr>
        <w:t>Sci Rep</w:t>
      </w:r>
      <w:r>
        <w:rPr>
          <w:sz w:val="16"/>
          <w:szCs w:val="16"/>
        </w:rPr>
        <w:t xml:space="preserve"> 12, 2022.</w:t>
      </w:r>
    </w:p>
    <w:p w14:paraId="128B0184" w14:textId="77777777" w:rsidR="00CB4628" w:rsidRDefault="000B328F">
      <w:pPr>
        <w:tabs>
          <w:tab w:val="left" w:pos="288"/>
        </w:tabs>
        <w:spacing w:before="240" w:after="240" w:line="228" w:lineRule="auto"/>
        <w:ind w:right="40"/>
        <w:jc w:val="both"/>
        <w:rPr>
          <w:sz w:val="16"/>
          <w:szCs w:val="16"/>
        </w:rPr>
      </w:pPr>
      <w:r>
        <w:rPr>
          <w:sz w:val="16"/>
          <w:szCs w:val="16"/>
        </w:rPr>
        <w:t>[18] Ahmed, Samir, Taisir Ismail, Hani Attar, Mohamed Hafez, Ahmed Solyman, and Ramy Said Agieb. "Comparative Study of Circular and Rectangular Microstrip Patch antennas in Wi-Fi Band." In 2023 2nd International Engineering Conference on Electrical, Energy, and Artificial Intelligence (EICEEAI), pp. 1-9. IEEE, 2023.</w:t>
      </w:r>
    </w:p>
    <w:p w14:paraId="128B0185" w14:textId="77777777" w:rsidR="00CB4628" w:rsidRDefault="000B328F">
      <w:pPr>
        <w:tabs>
          <w:tab w:val="left" w:pos="288"/>
        </w:tabs>
        <w:spacing w:before="240" w:after="240" w:line="228" w:lineRule="auto"/>
        <w:ind w:right="40"/>
        <w:jc w:val="both"/>
        <w:rPr>
          <w:sz w:val="16"/>
          <w:szCs w:val="16"/>
        </w:rPr>
      </w:pPr>
      <w:r>
        <w:rPr>
          <w:sz w:val="16"/>
          <w:szCs w:val="16"/>
        </w:rPr>
        <w:t xml:space="preserve">[19] </w:t>
      </w:r>
      <w:proofErr w:type="spellStart"/>
      <w:r>
        <w:rPr>
          <w:sz w:val="16"/>
          <w:szCs w:val="16"/>
        </w:rPr>
        <w:t>Flayeh</w:t>
      </w:r>
      <w:proofErr w:type="spellEnd"/>
      <w:r>
        <w:rPr>
          <w:sz w:val="16"/>
          <w:szCs w:val="16"/>
        </w:rPr>
        <w:t xml:space="preserve">, Azhar Kassem, </w:t>
      </w:r>
      <w:proofErr w:type="spellStart"/>
      <w:r>
        <w:rPr>
          <w:sz w:val="16"/>
          <w:szCs w:val="16"/>
        </w:rPr>
        <w:t>Bourair</w:t>
      </w:r>
      <w:proofErr w:type="spellEnd"/>
      <w:r>
        <w:rPr>
          <w:sz w:val="16"/>
          <w:szCs w:val="16"/>
        </w:rPr>
        <w:t xml:space="preserve"> Al-Attar, Mohanad Sameer Jabbar, Lateef Abd Zaid Qudr, Jamal Fadhil Tawfeq, and Poh Soon </w:t>
      </w:r>
      <w:proofErr w:type="spellStart"/>
      <w:r>
        <w:rPr>
          <w:sz w:val="16"/>
          <w:szCs w:val="16"/>
        </w:rPr>
        <w:t>JosephN</w:t>
      </w:r>
      <w:proofErr w:type="spellEnd"/>
      <w:r>
        <w:rPr>
          <w:sz w:val="16"/>
          <w:szCs w:val="16"/>
        </w:rPr>
        <w:t>. "A Secure Proposed Method for Real-Time Preserving Transmitted Biomedical Signals Based on Virtual Instruments." Mathematical Modelling of Engineering Problems 10, no. 6 (2023).</w:t>
      </w:r>
    </w:p>
    <w:p w14:paraId="128B0186" w14:textId="77777777" w:rsidR="00CB4628" w:rsidRDefault="000B328F">
      <w:pPr>
        <w:tabs>
          <w:tab w:val="left" w:pos="288"/>
        </w:tabs>
        <w:spacing w:before="240" w:after="240" w:line="228" w:lineRule="auto"/>
        <w:ind w:right="40"/>
        <w:jc w:val="both"/>
        <w:rPr>
          <w:sz w:val="16"/>
          <w:szCs w:val="16"/>
        </w:rPr>
      </w:pPr>
      <w:r>
        <w:rPr>
          <w:sz w:val="16"/>
          <w:szCs w:val="16"/>
        </w:rPr>
        <w:t xml:space="preserve">[20] Dewi, </w:t>
      </w:r>
      <w:proofErr w:type="spellStart"/>
      <w:r>
        <w:rPr>
          <w:sz w:val="16"/>
          <w:szCs w:val="16"/>
        </w:rPr>
        <w:t>Deshinta</w:t>
      </w:r>
      <w:proofErr w:type="spellEnd"/>
      <w:r>
        <w:rPr>
          <w:sz w:val="16"/>
          <w:szCs w:val="16"/>
        </w:rPr>
        <w:t xml:space="preserve"> Arrova, </w:t>
      </w:r>
      <w:proofErr w:type="spellStart"/>
      <w:r>
        <w:rPr>
          <w:sz w:val="16"/>
          <w:szCs w:val="16"/>
        </w:rPr>
        <w:t>Rajermani</w:t>
      </w:r>
      <w:proofErr w:type="spellEnd"/>
      <w:r>
        <w:rPr>
          <w:sz w:val="16"/>
          <w:szCs w:val="16"/>
        </w:rPr>
        <w:t xml:space="preserve"> Thinakan, Malathy Batumalay, and Tri Basuki Kurniawan. "A model for pervasive computing and wearable devices for sustainable healthcare applications." International Journal of Advanced Computer Science and Applications 14, no. 10 (2023).</w:t>
      </w:r>
    </w:p>
    <w:p w14:paraId="128B0187" w14:textId="77777777" w:rsidR="00CB4628" w:rsidRDefault="00CB4628">
      <w:pPr>
        <w:pBdr>
          <w:top w:val="nil"/>
          <w:left w:val="nil"/>
          <w:bottom w:val="nil"/>
          <w:right w:val="nil"/>
          <w:between w:val="nil"/>
        </w:pBdr>
        <w:spacing w:after="50"/>
        <w:ind w:left="360" w:hanging="360"/>
        <w:rPr>
          <w:color w:val="FF0000"/>
        </w:rPr>
        <w:sectPr w:rsidR="00CB4628">
          <w:type w:val="continuous"/>
          <w:pgSz w:w="11906" w:h="16838"/>
          <w:pgMar w:top="1080" w:right="907" w:bottom="1440" w:left="907" w:header="720" w:footer="720" w:gutter="0"/>
          <w:cols w:num="2" w:space="720" w:equalWidth="0">
            <w:col w:w="4865" w:space="360"/>
            <w:col w:w="4865" w:space="0"/>
          </w:cols>
        </w:sectPr>
      </w:pPr>
    </w:p>
    <w:p w14:paraId="128B0188" w14:textId="77777777" w:rsidR="00CB4628" w:rsidRDefault="00CB4628"/>
    <w:sectPr w:rsidR="00CB4628">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6DEDB" w14:textId="77777777" w:rsidR="00A44299" w:rsidRDefault="00A44299">
      <w:r>
        <w:separator/>
      </w:r>
    </w:p>
  </w:endnote>
  <w:endnote w:type="continuationSeparator" w:id="0">
    <w:p w14:paraId="7FDEC6C7" w14:textId="77777777" w:rsidR="00A44299" w:rsidRDefault="00A4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EE03DDB-36E9-4358-A107-4A6FC1B11F01}"/>
  </w:font>
  <w:font w:name="Calibri">
    <w:panose1 w:val="020F0502020204030204"/>
    <w:charset w:val="00"/>
    <w:family w:val="swiss"/>
    <w:pitch w:val="variable"/>
    <w:sig w:usb0="E4002EFF" w:usb1="C200247B" w:usb2="00000009" w:usb3="00000000" w:csb0="000001FF" w:csb1="00000000"/>
    <w:embedRegular r:id="rId2" w:fontKey="{A7FCEF67-6EF4-4718-A7DA-E4DDDE51A53B}"/>
  </w:font>
  <w:font w:name="Cambria">
    <w:panose1 w:val="02040503050406030204"/>
    <w:charset w:val="00"/>
    <w:family w:val="roman"/>
    <w:pitch w:val="variable"/>
    <w:sig w:usb0="E00006FF" w:usb1="420024FF" w:usb2="02000000" w:usb3="00000000" w:csb0="0000019F" w:csb1="00000000"/>
    <w:embedRegular r:id="rId3" w:fontKey="{B0CB666D-1C6E-43A2-BA27-2038D4BADF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01BA" w14:textId="77777777" w:rsidR="00CB4628" w:rsidRDefault="00CB46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01BB" w14:textId="77777777" w:rsidR="00CB4628" w:rsidRDefault="000B328F">
    <w:pPr>
      <w:pBdr>
        <w:top w:val="nil"/>
        <w:left w:val="nil"/>
        <w:bottom w:val="nil"/>
        <w:right w:val="nil"/>
        <w:between w:val="nil"/>
      </w:pBd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BAF71" w14:textId="77777777" w:rsidR="00A44299" w:rsidRDefault="00A44299">
      <w:r>
        <w:separator/>
      </w:r>
    </w:p>
  </w:footnote>
  <w:footnote w:type="continuationSeparator" w:id="0">
    <w:p w14:paraId="350DA3C2" w14:textId="77777777" w:rsidR="00A44299" w:rsidRDefault="00A44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01B9" w14:textId="77777777" w:rsidR="00CB4628" w:rsidRDefault="00CB46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B6B8B"/>
    <w:multiLevelType w:val="multilevel"/>
    <w:tmpl w:val="E8C8FCF6"/>
    <w:lvl w:ilvl="0">
      <w:start w:val="1"/>
      <w:numFmt w:val="lowerLetter"/>
      <w:pStyle w:val="figurecaption"/>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67711C5"/>
    <w:multiLevelType w:val="multilevel"/>
    <w:tmpl w:val="EA8ED4C6"/>
    <w:lvl w:ilvl="0">
      <w:start w:val="1"/>
      <w:numFmt w:val="decimal"/>
      <w:pStyle w:val="footn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A92658"/>
    <w:multiLevelType w:val="multilevel"/>
    <w:tmpl w:val="78EECEAE"/>
    <w:lvl w:ilvl="0">
      <w:start w:val="1"/>
      <w:numFmt w:val="upperRoman"/>
      <w:pStyle w:val="bulletlist"/>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num w:numId="1" w16cid:durableId="113981958">
    <w:abstractNumId w:val="2"/>
  </w:num>
  <w:num w:numId="2" w16cid:durableId="553542998">
    <w:abstractNumId w:val="0"/>
  </w:num>
  <w:num w:numId="3" w16cid:durableId="694887613">
    <w:abstractNumId w:val="1"/>
  </w:num>
  <w:num w:numId="4" w16cid:durableId="623728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2960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9559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628"/>
    <w:rsid w:val="00001C90"/>
    <w:rsid w:val="000244B2"/>
    <w:rsid w:val="00026BB0"/>
    <w:rsid w:val="00077C94"/>
    <w:rsid w:val="000B328F"/>
    <w:rsid w:val="001834C9"/>
    <w:rsid w:val="001F2D46"/>
    <w:rsid w:val="0024467B"/>
    <w:rsid w:val="00546F68"/>
    <w:rsid w:val="00581B6C"/>
    <w:rsid w:val="00695465"/>
    <w:rsid w:val="006B77C6"/>
    <w:rsid w:val="008364F6"/>
    <w:rsid w:val="008711A6"/>
    <w:rsid w:val="00886193"/>
    <w:rsid w:val="00A44299"/>
    <w:rsid w:val="00BB5F49"/>
    <w:rsid w:val="00C77056"/>
    <w:rsid w:val="00CA737E"/>
    <w:rsid w:val="00CB2376"/>
    <w:rsid w:val="00CB4628"/>
    <w:rsid w:val="00E621D1"/>
    <w:rsid w:val="00F470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8B00CF"/>
  <w15:docId w15:val="{96E12BAA-5C4D-4A53-ABFD-B2A51EAB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uppressAutoHyphens/>
      <w:spacing w:after="120" w:line="228" w:lineRule="auto"/>
      <w:ind w:leftChars="-1" w:left="-1" w:hangingChars="1" w:hanging="1"/>
      <w:jc w:val="both"/>
      <w:textDirection w:val="btLr"/>
      <w:textAlignment w:val="top"/>
      <w:outlineLvl w:val="0"/>
    </w:pPr>
    <w:rPr>
      <w:position w:val="-1"/>
    </w:rPr>
  </w:style>
  <w:style w:type="character" w:customStyle="1" w:styleId="BodyTextChar">
    <w:name w:val="Body Text Char"/>
    <w:rPr>
      <w:w w:val="100"/>
      <w:position w:val="-1"/>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uppressAutoHyphens/>
      <w:spacing w:before="240" w:after="240" w:line="216" w:lineRule="auto"/>
      <w:ind w:leftChars="-1" w:left="-1" w:hangingChars="1" w:hanging="1"/>
      <w:textDirection w:val="btLr"/>
      <w:textAlignment w:val="top"/>
      <w:outlineLvl w:val="0"/>
    </w:pPr>
    <w:rPr>
      <w:rFonts w:ascii="Symbol" w:hAnsi="Symbol" w:cs="Symbol"/>
      <w:position w:val="-1"/>
      <w:lang w:val="en-US" w:eastAsia="en-US"/>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pPr>
      <w:suppressAutoHyphens/>
      <w:spacing w:line="1" w:lineRule="atLeast"/>
      <w:ind w:leftChars="-1" w:left="-1" w:hangingChars="1" w:hanging="1"/>
      <w:textDirection w:val="btLr"/>
      <w:textAlignment w:val="top"/>
      <w:outlineLvl w:val="0"/>
    </w:pPr>
    <w:rPr>
      <w:b/>
      <w:bCs/>
      <w:position w:val="-1"/>
      <w:sz w:val="16"/>
      <w:szCs w:val="16"/>
      <w:lang w:val="en-US" w:eastAsia="en-US"/>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Keywords">
    <w:name w:val="Keywords"/>
    <w:basedOn w:val="Abstract"/>
    <w:pPr>
      <w:spacing w:after="120"/>
      <w:ind w:firstLine="274"/>
    </w:pPr>
    <w:rPr>
      <w:i/>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Hyperlink">
    <w:name w:val="Hyperlink"/>
    <w:basedOn w:val="DefaultParagraphFont"/>
    <w:uiPriority w:val="99"/>
    <w:unhideWhenUsed/>
    <w:rsid w:val="00CA737E"/>
    <w:rPr>
      <w:color w:val="0000FF" w:themeColor="hyperlink"/>
      <w:u w:val="single"/>
    </w:rPr>
  </w:style>
  <w:style w:type="character" w:styleId="UnresolvedMention">
    <w:name w:val="Unresolved Mention"/>
    <w:basedOn w:val="DefaultParagraphFont"/>
    <w:uiPriority w:val="99"/>
    <w:semiHidden/>
    <w:unhideWhenUsed/>
    <w:rsid w:val="00CA7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hmed.S.ahmed@ururk.edu.iqline"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who.int/news-room/fact-sheets/detail/hypertens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haimaa.Mohassieb.eng@o6u.edu.eg"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zzat@akhbaracademy.edu.eg"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mailto:A.gendy999@gmail.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e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zakaria.chemuda@newinti.edu.my" TargetMode="External"/><Relationship Id="rId17" Type="http://schemas.openxmlformats.org/officeDocument/2006/relationships/hyperlink" Target="mailto:Shaimaa.Mohassieb.eng@o6u.edu.e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EXRw0b27I0zXQN3pQT4xpY7cA==">CgMxLjAaHwoBMBIaChgICVIUChJ0YWJsZS5oMXA2MWY0dHFtcnAaHwoBMRIaChgICVIUChJ0YWJsZS42cjJqamdpdDVneW4aHwoBMhIaChgICVIUChJ0YWJsZS5ydHk3NHFueDl2Y2waHwoBMxIaChgICVIUChJ0YWJsZS54MmJzZWx4c3d5Z2saHwoBNBIaChgICVIUChJ0YWJsZS51cG5uaWNteTQ2Y2QaHwoBNRIaChgICVIUChJ0YWJsZS5hMTU0MG9uc2VoZW04AHIhMWZOWXBaSFIycnRabU9GNlNzQUV6MmZpV25oZG9zZG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3039</Words>
  <Characters>17814</Characters>
  <Application>Microsoft Office Word</Application>
  <DocSecurity>0</DocSecurity>
  <Lines>481</Lines>
  <Paragraphs>139</Paragraphs>
  <ScaleCrop>false</ScaleCrop>
  <Company>Glasgow Caledonian University</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Mohamed Ezzat Yassien</cp:lastModifiedBy>
  <cp:revision>16</cp:revision>
  <dcterms:created xsi:type="dcterms:W3CDTF">2017-07-25T19:59:00Z</dcterms:created>
  <dcterms:modified xsi:type="dcterms:W3CDTF">2025-11-28T18:08:00Z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3c35ab0c-94ef-423b-9de9-59884979fd12</vt:lpwstr>
  </property>
</Properties>
</file>