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6531D" w14:textId="7B63B2C5" w:rsidR="00EB6D42" w:rsidRPr="00064253" w:rsidRDefault="00C735A9" w:rsidP="00C735A9">
      <w:pPr>
        <w:pStyle w:val="papertitle"/>
        <w:spacing w:before="100" w:beforeAutospacing="1" w:after="100" w:afterAutospacing="1"/>
        <w:rPr>
          <w:kern w:val="48"/>
        </w:rPr>
      </w:pPr>
      <w:r w:rsidRPr="00B40EA5">
        <w:rPr>
          <w:kern w:val="48"/>
        </w:rPr>
        <w:t>Leveraging Explainable Transformers for Robust Financial Time Series Forecasting</w:t>
      </w:r>
    </w:p>
    <w:p w14:paraId="1E9F776C" w14:textId="77777777" w:rsidR="00D7522C" w:rsidRDefault="00D7522C" w:rsidP="003B4E04">
      <w:pPr>
        <w:pStyle w:val="Author"/>
        <w:spacing w:before="100" w:beforeAutospacing="1" w:after="100" w:afterAutospacing="1" w:line="120" w:lineRule="auto"/>
        <w:rPr>
          <w:sz w:val="16"/>
          <w:szCs w:val="16"/>
        </w:rPr>
      </w:pPr>
    </w:p>
    <w:p w14:paraId="66B535AF"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72B3C25D" w14:textId="77777777" w:rsidR="00BF60FF" w:rsidRPr="00BF60FF" w:rsidRDefault="00BF60FF" w:rsidP="00BF60FF">
      <w:pPr>
        <w:rPr>
          <w:rFonts w:eastAsia="Times New Roman"/>
          <w:color w:val="000000"/>
          <w:sz w:val="18"/>
          <w:szCs w:val="18"/>
          <w:lang w:val="en-IN" w:eastAsia="en-IN" w:bidi="hi-IN"/>
        </w:rPr>
      </w:pPr>
      <w:r w:rsidRPr="00BF60FF">
        <w:rPr>
          <w:rFonts w:eastAsia="Times New Roman"/>
          <w:color w:val="000000"/>
          <w:sz w:val="18"/>
          <w:szCs w:val="18"/>
          <w:lang w:val="en-IN" w:eastAsia="en-IN" w:bidi="hi-IN"/>
        </w:rPr>
        <w:t>Rakesh Kumar</w:t>
      </w:r>
      <w:r w:rsidRPr="00BF60FF">
        <w:rPr>
          <w:rFonts w:eastAsia="Times New Roman"/>
          <w:color w:val="000000"/>
          <w:sz w:val="18"/>
          <w:szCs w:val="18"/>
          <w:lang w:val="en-IN" w:eastAsia="en-IN" w:bidi="hi-IN"/>
        </w:rPr>
        <w:br/>
      </w:r>
      <w:r w:rsidRPr="00BF60FF">
        <w:rPr>
          <w:rFonts w:eastAsia="Times New Roman"/>
          <w:i/>
          <w:iCs/>
          <w:color w:val="000000"/>
          <w:sz w:val="18"/>
          <w:szCs w:val="18"/>
          <w:lang w:val="en-IN" w:eastAsia="en-IN" w:bidi="hi-IN"/>
        </w:rPr>
        <w:t>Department of Computer Engineering &amp; Applications</w:t>
      </w:r>
      <w:r w:rsidRPr="00BF60FF">
        <w:rPr>
          <w:rFonts w:eastAsia="Times New Roman"/>
          <w:i/>
          <w:iCs/>
          <w:color w:val="000000"/>
          <w:sz w:val="18"/>
          <w:szCs w:val="18"/>
          <w:lang w:val="en-IN" w:eastAsia="en-IN" w:bidi="hi-IN"/>
        </w:rPr>
        <w:br/>
        <w:t>GLA University, Mathura</w:t>
      </w:r>
      <w:r w:rsidRPr="00BF60FF">
        <w:rPr>
          <w:rFonts w:eastAsia="Times New Roman"/>
          <w:color w:val="000000"/>
          <w:sz w:val="18"/>
          <w:szCs w:val="18"/>
          <w:lang w:val="en-IN" w:eastAsia="en-IN" w:bidi="hi-IN"/>
        </w:rPr>
        <w:br/>
        <w:t>rakesh.kumar@gla.ac.in</w:t>
      </w:r>
    </w:p>
    <w:p w14:paraId="4BD6D0D3" w14:textId="77777777" w:rsidR="00BF60FF" w:rsidRPr="00BF60FF" w:rsidRDefault="00BF60FF" w:rsidP="00BF60FF">
      <w:pPr>
        <w:rPr>
          <w:rFonts w:eastAsia="Times New Roman"/>
          <w:color w:val="000000"/>
          <w:sz w:val="18"/>
          <w:szCs w:val="18"/>
          <w:lang w:val="en-IN" w:eastAsia="en-IN" w:bidi="hi-IN"/>
        </w:rPr>
      </w:pPr>
      <w:r w:rsidRPr="00BF60FF">
        <w:rPr>
          <w:rFonts w:eastAsia="Times New Roman"/>
          <w:color w:val="000000"/>
          <w:sz w:val="18"/>
          <w:szCs w:val="18"/>
          <w:lang w:val="en-IN" w:eastAsia="en-IN" w:bidi="hi-IN"/>
        </w:rPr>
        <w:t>Ashish Sharma</w:t>
      </w:r>
      <w:r w:rsidRPr="00BF60FF">
        <w:rPr>
          <w:rFonts w:eastAsia="Times New Roman"/>
          <w:color w:val="000000"/>
          <w:sz w:val="18"/>
          <w:szCs w:val="18"/>
          <w:lang w:val="en-IN" w:eastAsia="en-IN" w:bidi="hi-IN"/>
        </w:rPr>
        <w:br/>
      </w:r>
      <w:r w:rsidRPr="00BF60FF">
        <w:rPr>
          <w:rFonts w:eastAsia="Times New Roman"/>
          <w:i/>
          <w:iCs/>
          <w:color w:val="000000"/>
          <w:sz w:val="18"/>
          <w:szCs w:val="18"/>
          <w:lang w:val="en-IN" w:eastAsia="en-IN" w:bidi="hi-IN"/>
        </w:rPr>
        <w:t>Department of Computer Engineering &amp; Applications</w:t>
      </w:r>
      <w:r w:rsidRPr="00BF60FF">
        <w:rPr>
          <w:rFonts w:eastAsia="Times New Roman"/>
          <w:i/>
          <w:iCs/>
          <w:color w:val="000000"/>
          <w:sz w:val="18"/>
          <w:szCs w:val="18"/>
          <w:lang w:val="en-IN" w:eastAsia="en-IN" w:bidi="hi-IN"/>
        </w:rPr>
        <w:br/>
        <w:t>GLA University, Mathura</w:t>
      </w:r>
      <w:r w:rsidRPr="00BF60FF">
        <w:rPr>
          <w:rFonts w:eastAsia="Times New Roman"/>
          <w:color w:val="000000"/>
          <w:sz w:val="18"/>
          <w:szCs w:val="18"/>
          <w:lang w:val="en-IN" w:eastAsia="en-IN" w:bidi="hi-IN"/>
        </w:rPr>
        <w:br/>
        <w:t>ashish.sharma@gla.ac.in</w:t>
      </w:r>
    </w:p>
    <w:p w14:paraId="675C1AED" w14:textId="77777777" w:rsidR="00BF60FF" w:rsidRDefault="00BF60FF" w:rsidP="00BF60FF">
      <w:pPr>
        <w:pStyle w:val="Author"/>
        <w:spacing w:before="100" w:beforeAutospacing="1"/>
        <w:rPr>
          <w:sz w:val="18"/>
          <w:szCs w:val="18"/>
        </w:rPr>
        <w:sectPr w:rsidR="00BF60FF" w:rsidSect="00BF60FF">
          <w:type w:val="continuous"/>
          <w:pgSz w:w="11906" w:h="16838" w:code="9"/>
          <w:pgMar w:top="450" w:right="893" w:bottom="1440" w:left="893" w:header="720" w:footer="720" w:gutter="0"/>
          <w:cols w:num="2" w:space="720"/>
          <w:docGrid w:linePitch="360"/>
        </w:sectPr>
      </w:pPr>
    </w:p>
    <w:p w14:paraId="5C61C0A2" w14:textId="0B1608CB" w:rsidR="00447BB9" w:rsidRDefault="00BD670B" w:rsidP="00BF60FF">
      <w:pPr>
        <w:pStyle w:val="Author"/>
        <w:spacing w:before="100" w:beforeAutospacing="1"/>
      </w:pPr>
      <w:r>
        <w:rPr>
          <w:sz w:val="18"/>
          <w:szCs w:val="18"/>
        </w:rPr>
        <w:br w:type="column"/>
      </w:r>
      <w:r w:rsidR="00447BB9">
        <w:t xml:space="preserve"> </w:t>
      </w:r>
    </w:p>
    <w:p w14:paraId="2D27E051"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6DD5589E"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2CB59365" w14:textId="7D11DBA9" w:rsidR="004D72B5" w:rsidRDefault="009303D9" w:rsidP="00972203">
      <w:pPr>
        <w:pStyle w:val="Abstract"/>
        <w:rPr>
          <w:i/>
          <w:iCs/>
        </w:rPr>
      </w:pPr>
      <w:r>
        <w:rPr>
          <w:i/>
          <w:iCs/>
        </w:rPr>
        <w:t>Abstract</w:t>
      </w:r>
      <w:r>
        <w:t>—</w:t>
      </w:r>
      <w:r w:rsidR="00FA3D12" w:rsidRPr="00D90357">
        <w:t xml:space="preserve"> </w:t>
      </w:r>
      <w:r w:rsidR="00FA3D12" w:rsidRPr="00F80371">
        <w:t>Financial time series forecasting is essential for making well-informed financial decisions.</w:t>
      </w:r>
      <w:r w:rsidR="00FA3D12" w:rsidRPr="00A9760D">
        <w:t xml:space="preserve"> Two examples of traditional models that tend to fail to represent intricate temporal dependencies and generate interpretable predictions are long short-term memory (LSTM) networks and autoregressive integrated moving average (ARIMA).  To enhance the accuracy and interpretability of financial time series forecasting, this study introduces a new transformer-based method. The transformer model is more capable of prediction as it effectively models long-term dependency in financial information through self-attention mechanisms. Explainability methods such as SHAP (Shapley Additive Explanations) and attention heatmaps are employed within the research to solve the black-box problem of deep learning models by clarifying the decision process of the model.</w:t>
      </w:r>
      <w:r w:rsidR="00FA3D12" w:rsidRPr="00F80371">
        <w:t xml:space="preserve"> </w:t>
      </w:r>
      <w:r w:rsidR="00FA3D12" w:rsidRPr="00A9760D">
        <w:t xml:space="preserve">Large-scale experiments on various financial datasets show that the new transformer model is more robust and accurate in its predictions compared to baseline methods.  The robustness of the model to market fluctuations is illustrated by its superior R-squared values and lower mean absolute percentage error (MAPE) for a variety of financial assets.  </w:t>
      </w:r>
      <w:r w:rsidR="001E5AC8">
        <w:t>T</w:t>
      </w:r>
      <w:r w:rsidR="00FA3D12" w:rsidRPr="00A9760D">
        <w:t xml:space="preserve">he explainability framework </w:t>
      </w:r>
      <w:r w:rsidR="001E5AC8">
        <w:t xml:space="preserve">also </w:t>
      </w:r>
      <w:r w:rsidR="00FA3D12" w:rsidRPr="00A9760D">
        <w:t>identifies important predictors, providing valuable insights to financial analysts and decision-makers. By merging cutting-edge transformer models with interpretability, our research helps advance the corpus of financial AI and provides credible and transparent financial forecasting</w:t>
      </w:r>
      <w:r w:rsidR="00942B59" w:rsidRPr="00942B59">
        <w:t>.</w:t>
      </w:r>
    </w:p>
    <w:p w14:paraId="4CE4560B" w14:textId="7A938AC1" w:rsidR="009303D9" w:rsidRPr="004D72B5" w:rsidRDefault="004D72B5" w:rsidP="00972203">
      <w:pPr>
        <w:pStyle w:val="Keywords"/>
      </w:pPr>
      <w:r w:rsidRPr="004D72B5">
        <w:t>Keywords—</w:t>
      </w:r>
      <w:r w:rsidR="00942B59">
        <w:t xml:space="preserve"> </w:t>
      </w:r>
      <w:r w:rsidR="00FA3D12" w:rsidRPr="00D90357">
        <w:t>Financial time series, Transformer model, Explainability, SHAP, Market prediction, Self-attention</w:t>
      </w:r>
      <w:r w:rsidR="00625C63">
        <w:t>.</w:t>
      </w:r>
    </w:p>
    <w:p w14:paraId="6EC5C15B" w14:textId="77777777" w:rsidR="009303D9" w:rsidRPr="00D632BE" w:rsidRDefault="009303D9" w:rsidP="00EE16DD">
      <w:pPr>
        <w:pStyle w:val="Heading1"/>
      </w:pPr>
      <w:r w:rsidRPr="00EE16DD">
        <w:t>Introduction</w:t>
      </w:r>
    </w:p>
    <w:p w14:paraId="3ED80A17" w14:textId="0B720969" w:rsidR="00470709" w:rsidRPr="00B40EA5" w:rsidRDefault="004B0130" w:rsidP="00470709">
      <w:pPr>
        <w:pStyle w:val="BodyText"/>
      </w:pPr>
      <w:r w:rsidRPr="004B0130">
        <w:t>Predicting financial time series is an essential part of economic analysis that is used in areas such as investment strategy, risk evaluation, and policy selection. Financial markets prediction is inherently challenging due to the dynamic, non-linear and at times chaotic nature of financial time series. Classical statistical methods, such as autoregressive integrated moving average (ARIMA), are still predominant in the time series paradigm, but are not suitable for capturing the complex pattern nature of financial data. The emergence of deep learning and machine learning has brought more advanced methods that can better handle these complexities, among those are Transformer models which were originally meant for natural language processing but have shown to be quite promising for time series prediction</w:t>
      </w:r>
      <w:r w:rsidR="00470709" w:rsidRPr="00A9760D">
        <w:t xml:space="preserve">. Nonetheless, because these are black-box models, interpretability issues, a heavy-sounding concern in financial decision-making, become apparent. This paper addresses the combination of explainable artificial intelligence (XAI) methods and Transformer models to boost accuracy as well as explainability of financial time series forecasting. The classical models such as ARIMA have been widely applied to time series forecasting due to their ease of use and interpretability. But they are based on stationarity and linearity </w:t>
      </w:r>
      <w:r w:rsidR="00470709" w:rsidRPr="00A9760D">
        <w:t xml:space="preserve">that restrict them to generalize the complex patterns of financial markets. To overcome these, researchers have approached this problem using machine learning methods. </w:t>
      </w:r>
      <w:r w:rsidR="00470709" w:rsidRPr="00AA10A2">
        <w:t xml:space="preserve">Temporal relationships have been learned from accounting data using recurrent neural networks (RNNs), specifically Long Short-Term Memory (LSTM) networks.  Both RNNs and LSTMs suffer from computational inefficiency and long-term dependency issues, even though they can learn non-linear patterns. By employing self-attention mechanisms, the Transformer model gave a paradigm shift to sequence </w:t>
      </w:r>
      <w:proofErr w:type="spellStart"/>
      <w:r w:rsidR="00470709" w:rsidRPr="00AA10A2">
        <w:t>modeling</w:t>
      </w:r>
      <w:proofErr w:type="spellEnd"/>
      <w:r w:rsidR="00470709" w:rsidRPr="00AA10A2">
        <w:t xml:space="preserve"> as it allowed global dependencies to be captured without the sequential processing limitation of RNN.  The architecture has been found to work well in many applications and has been applied to time series forecasting.  For example, the Informer model employs a sparse self-attention mechanism to better and more efficiently forecast long sequences.</w:t>
      </w:r>
      <w:r w:rsidR="00470709" w:rsidRPr="00A9760D">
        <w:t xml:space="preserve"> </w:t>
      </w:r>
      <w:r w:rsidR="00470709" w:rsidRPr="00AA10A2">
        <w:t xml:space="preserve">As another example, the Temporal Fusion Transformer (TFT) enhances the accuracy and interpretability of the predictions through the integration of static and time-varying covariates.  In spite of their impressive performance, Transformer models have been criticized for being overly black-box, and highly relevant in the financial sector where it's vital to understand the underlying assumptions.  </w:t>
      </w:r>
      <w:r w:rsidR="00470709" w:rsidRPr="00FB3538">
        <w:t xml:space="preserve">This has created the use of XAI methods to better understand the explanation for such complex </w:t>
      </w:r>
      <w:r w:rsidR="00470709">
        <w:t xml:space="preserve"> </w:t>
      </w:r>
      <w:r w:rsidR="00470709" w:rsidRPr="00FB3538">
        <w:t>models.</w:t>
      </w:r>
      <w:r w:rsidR="00D17841">
        <w:t xml:space="preserve"> </w:t>
      </w:r>
      <w:proofErr w:type="spellStart"/>
      <w:r w:rsidR="00470709" w:rsidRPr="00FB3538">
        <w:t>SHapley</w:t>
      </w:r>
      <w:proofErr w:type="spellEnd"/>
      <w:r w:rsidR="00470709" w:rsidRPr="00FB3538">
        <w:t xml:space="preserve"> Additive </w:t>
      </w:r>
      <w:proofErr w:type="spellStart"/>
      <w:r w:rsidR="00470709" w:rsidRPr="00FB3538">
        <w:t>ExPlanations</w:t>
      </w:r>
      <w:proofErr w:type="spellEnd"/>
      <w:r w:rsidR="00470709" w:rsidRPr="00FB3538">
        <w:t xml:space="preserve"> (SHAP) were used to interpret feature importance and machine learning model predictions in terms of model input features.</w:t>
      </w:r>
      <w:r w:rsidR="00470709">
        <w:t xml:space="preserve"> </w:t>
      </w:r>
      <w:r w:rsidR="00470709" w:rsidRPr="00FB3538">
        <w:t>The SHAP model has been instrumental in enabling uniform and locally explainable feature attribution.</w:t>
      </w:r>
      <w:r w:rsidR="00470709">
        <w:t xml:space="preserve"> </w:t>
      </w:r>
      <w:r w:rsidR="00470709" w:rsidRPr="00FB3538">
        <w:t>Various studies have examined the convergence of Transformer models with XAI techniques for finance time series forecasting.</w:t>
      </w:r>
      <w:r w:rsidR="00470709">
        <w:t xml:space="preserve"> </w:t>
      </w:r>
      <w:r w:rsidR="00470709" w:rsidRPr="00FB3538">
        <w:t>An instance of a Modality-aware Transformer that improves the accuracy of forecasting from data of various modalities and facilitates cross-modality learning.</w:t>
      </w:r>
      <w:r w:rsidR="00470709">
        <w:t xml:space="preserve"> </w:t>
      </w:r>
      <w:r w:rsidR="00470709" w:rsidRPr="00FB3538">
        <w:t>In conclusion, the use of Transformer models and XAI approaches has transformed the prediction of financial time series.</w:t>
      </w:r>
      <w:r w:rsidR="00470709" w:rsidRPr="00AA10A2">
        <w:t xml:space="preserve"> </w:t>
      </w:r>
      <w:r w:rsidR="00470709" w:rsidRPr="00FB3538">
        <w:t>Along with leveraging Transformers' ability to identify financial trends that otherwise would be difficult or impossible to identify, this method provides predictions with more realism and credibility.    To enable effective decision-making in volatile financial markets, it will be crucial to create such accurate but interpretable models.</w:t>
      </w:r>
    </w:p>
    <w:p w14:paraId="0107F94A" w14:textId="77777777" w:rsidR="00470709" w:rsidRPr="00D90357" w:rsidRDefault="00470709" w:rsidP="005E2981">
      <w:pPr>
        <w:pStyle w:val="Heading1"/>
        <w:rPr>
          <w:smallCaps w:val="0"/>
        </w:rPr>
      </w:pPr>
      <w:r w:rsidRPr="005E2981">
        <w:t>RELATED</w:t>
      </w:r>
      <w:r w:rsidRPr="00D90357">
        <w:t xml:space="preserve"> WORKS</w:t>
      </w:r>
    </w:p>
    <w:p w14:paraId="29F332B3" w14:textId="77777777" w:rsidR="00470709" w:rsidRPr="009E34A0" w:rsidRDefault="00470709" w:rsidP="005E2981">
      <w:pPr>
        <w:pStyle w:val="Heading2"/>
      </w:pPr>
      <w:r w:rsidRPr="009E34A0">
        <w:t>Traditional Financial Forecasting Models</w:t>
      </w:r>
    </w:p>
    <w:p w14:paraId="71ECB3F3" w14:textId="77777777" w:rsidR="00470709" w:rsidRPr="009E34A0" w:rsidRDefault="00470709" w:rsidP="005E2981">
      <w:pPr>
        <w:pStyle w:val="BodyText"/>
      </w:pPr>
      <w:r w:rsidRPr="00504E57">
        <w:t xml:space="preserve">Among the traditional statistical models used to forecast financial time series are vector autoregression (VAR), generalized autoregressive conditional heteroskedasticity (GARCH), and autoregressive integrated moving average (ARIMA).  ARIMA models have been widely adopted because they have the ability to identify long-term linear trends and patterns in finance data [1].  The GARCH model </w:t>
      </w:r>
      <w:r w:rsidRPr="00504E57">
        <w:lastRenderedPageBreak/>
        <w:t xml:space="preserve">by Bollerslev's [2] describes the vast majority of volatility clustering in the financial markets.   The stationarity and linearity assumptions of the models rule them out from accounting for non-linear and complex </w:t>
      </w:r>
      <w:proofErr w:type="spellStart"/>
      <w:r w:rsidRPr="00504E57">
        <w:t>behavior</w:t>
      </w:r>
      <w:proofErr w:type="spellEnd"/>
      <w:r w:rsidRPr="00504E57">
        <w:t xml:space="preserve"> of financial markets.  Engle [3] came up with the autoregressive conditional heteroskedasticity (ARCH) model to account for volatility that changes over time.  Bollerslev [4] later generalized this model using GARCH models.</w:t>
      </w:r>
      <w:r w:rsidRPr="0057101E">
        <w:t xml:space="preserve"> </w:t>
      </w:r>
      <w:r w:rsidRPr="00504E57">
        <w:t xml:space="preserve">Machine learning and deep learning frameworks have come as substitutes to improve forecasting since, while they may be theoretically sound, the models cannot explain intricate market </w:t>
      </w:r>
      <w:proofErr w:type="spellStart"/>
      <w:r w:rsidRPr="00504E57">
        <w:t>behavior</w:t>
      </w:r>
      <w:proofErr w:type="spellEnd"/>
      <w:r w:rsidRPr="00504E57">
        <w:t xml:space="preserve"> and long-term relationships</w:t>
      </w:r>
      <w:r>
        <w:t>[5]</w:t>
      </w:r>
      <w:r w:rsidRPr="009E34A0">
        <w:t>.</w:t>
      </w:r>
    </w:p>
    <w:p w14:paraId="20C05C17" w14:textId="77777777" w:rsidR="00470709" w:rsidRPr="009E34A0" w:rsidRDefault="00470709" w:rsidP="005E2981">
      <w:pPr>
        <w:pStyle w:val="Heading2"/>
      </w:pPr>
      <w:r w:rsidRPr="009E34A0">
        <w:t>Machine Learning and Deep Learning for Financial Prediction</w:t>
      </w:r>
    </w:p>
    <w:p w14:paraId="0E99A252" w14:textId="77777777" w:rsidR="00470709" w:rsidRPr="009E34A0" w:rsidRDefault="00470709" w:rsidP="005E2981">
      <w:pPr>
        <w:pStyle w:val="BodyText"/>
      </w:pPr>
      <w:r w:rsidRPr="0057101E">
        <w:t xml:space="preserve">Machine learning (ML) and deep learning (DL) algorithms have exhibited great promise in financial prediction by identifying non-linear trends and high-dimensional correlations in market data. Support vector machines (SVM), [6], have been utilized for stock market prediction and volatility prediction. Random forests </w:t>
      </w:r>
      <w:proofErr w:type="spellStart"/>
      <w:r w:rsidRPr="0057101E">
        <w:t>Breiman</w:t>
      </w:r>
      <w:proofErr w:type="spellEnd"/>
      <w:r w:rsidRPr="0057101E">
        <w:t>,[7] have been utilized to enhance model stability and diminish overfitting in financial prediction problems. Recurrent neural networks (RNN) and long short-term memory (LSTM) networks are becoming increasingly popular since they can effectively model sequential data. Fischer and Krauss [8] have shown that LSTM networks perform better than standard models in stock return prediction. Convolutional neural networks (CNN) have also been used in financial forecasting, more specifically for extracting intricate patterns from financial time series data (Zhang et al., [9]. The RNN and LSTM models are prone to vanishing gradients and inability to process long-term dependencies, which saw the development of Transformer-based techniques</w:t>
      </w:r>
      <w:r w:rsidRPr="009E34A0">
        <w:t>.</w:t>
      </w:r>
    </w:p>
    <w:p w14:paraId="36F4CD9A" w14:textId="77777777" w:rsidR="00470709" w:rsidRDefault="00470709" w:rsidP="005E2981">
      <w:pPr>
        <w:pStyle w:val="Heading2"/>
      </w:pPr>
      <w:r w:rsidRPr="003F5189">
        <w:t>Transformer Models in Time Series Forecasting</w:t>
      </w:r>
    </w:p>
    <w:p w14:paraId="68804E0E" w14:textId="0C8AAC8D" w:rsidR="00470709" w:rsidRPr="0057101E" w:rsidRDefault="00470709" w:rsidP="005E2981">
      <w:pPr>
        <w:pStyle w:val="BodyText"/>
      </w:pPr>
      <w:r w:rsidRPr="0057101E">
        <w:t xml:space="preserve">Transformers, first created for natural language processing (NLP) by Vaswani et al.[10], have been found to exhibit great performance in forecasting financial time series because their self-attention mechanism better identifies long-term dependencies compared to RNNs and LSTMs. </w:t>
      </w:r>
      <w:r w:rsidRPr="0099434A">
        <w:t xml:space="preserve">By alleviating the computational complexity of self-attention, the Informer model, introduced by Zhou et al. [11], enhances the effectiveness of Transformer-based models for long-sequence prediction.  To cope better with seasonality and trend factors in time series, Wu et al. [12] introduced the </w:t>
      </w:r>
      <w:proofErr w:type="spellStart"/>
      <w:r w:rsidRPr="0099434A">
        <w:t>Autoformer</w:t>
      </w:r>
      <w:proofErr w:type="spellEnd"/>
      <w:r w:rsidRPr="0099434A">
        <w:t xml:space="preserve"> model that marries self-attention with a decomposition approach. The Temporal Fusion Transformer (TFT), which also merges static and dynamic variables in a bid to enhance interpretability and prediction precision, was also introduced by Lim et al. [13].  </w:t>
      </w:r>
      <w:r w:rsidR="00362302" w:rsidRPr="00362302">
        <w:t>Transformer models can be relied upon to model complex behaviour in markets as they consistently outperform other models and deep learning methods in finance prediction.</w:t>
      </w:r>
    </w:p>
    <w:p w14:paraId="1D3F695F" w14:textId="77777777" w:rsidR="00470709" w:rsidRPr="00A9760D" w:rsidRDefault="00470709" w:rsidP="005E2981">
      <w:pPr>
        <w:pStyle w:val="Heading2"/>
      </w:pPr>
      <w:r w:rsidRPr="00A9760D">
        <w:t>Explainability in Financial Forecasting Models</w:t>
      </w:r>
    </w:p>
    <w:p w14:paraId="3CC6DCB2" w14:textId="77777777" w:rsidR="00362302" w:rsidRDefault="00362302" w:rsidP="00362302">
      <w:pPr>
        <w:pStyle w:val="BodyText"/>
      </w:pPr>
      <w:r>
        <w:t>While transformer models can provide more accurate forecasts, the models are considered to be a liability in finance due to their black-box capabilities, even though this is an important characteristic in a market where accountability and transparency are key.</w:t>
      </w:r>
    </w:p>
    <w:p w14:paraId="1447E29E" w14:textId="023978B0" w:rsidR="00470709" w:rsidRPr="0099434A" w:rsidRDefault="00362302" w:rsidP="00362302">
      <w:pPr>
        <w:pStyle w:val="BodyText"/>
      </w:pPr>
      <w:r>
        <w:t>Although interpretability has been improved through the provision of explainable artificial intelligence (XAI) capabilities with transformer models.</w:t>
      </w:r>
    </w:p>
    <w:p w14:paraId="24CD7807" w14:textId="270DD153" w:rsidR="00470709" w:rsidRPr="00B40EA5" w:rsidRDefault="00362302" w:rsidP="005E2981">
      <w:pPr>
        <w:pStyle w:val="BodyText"/>
      </w:pPr>
      <w:r w:rsidRPr="00362302">
        <w:t xml:space="preserve">Lundberg and Lee presented </w:t>
      </w:r>
      <w:proofErr w:type="spellStart"/>
      <w:r w:rsidRPr="00362302">
        <w:t>SHapley</w:t>
      </w:r>
      <w:proofErr w:type="spellEnd"/>
      <w:r w:rsidRPr="00362302">
        <w:t xml:space="preserve"> Additive </w:t>
      </w:r>
      <w:proofErr w:type="spellStart"/>
      <w:r w:rsidRPr="00362302">
        <w:t>exPlanations</w:t>
      </w:r>
      <w:proofErr w:type="spellEnd"/>
      <w:r w:rsidRPr="00362302">
        <w:t xml:space="preserve"> (SHAP) which provide reliable and local accuracy feature attributions [14]. SHAP is often used in finance to show how certain input factors affect the estimates produced by the model. Ribeiro et al. proposed the Local Interpretable Model-Agnostic Explanations (LIME) framework [15]. It approximates models that are interpretable locally to high fidelity models to better understand model </w:t>
      </w:r>
      <w:proofErr w:type="spellStart"/>
      <w:r w:rsidRPr="00362302">
        <w:t>behavior</w:t>
      </w:r>
      <w:proofErr w:type="spellEnd"/>
      <w:r w:rsidRPr="00362302">
        <w:t>.  They propose a modality aware Transformer for forecasting financial time series with attention based feature selection to improve interpretability.  [16] provided a systematic review of XAI methods with applications in financial forecasting finding a trade-off between transparency and accuracy.  Combining these XAI methods with Transformer models would give users more confidence to use these approaches to financial decision-making.</w:t>
      </w:r>
    </w:p>
    <w:p w14:paraId="798279F5" w14:textId="77777777" w:rsidR="00470709" w:rsidRPr="00D90357" w:rsidRDefault="00470709" w:rsidP="005E2981">
      <w:pPr>
        <w:pStyle w:val="Heading1"/>
        <w:rPr>
          <w:smallCaps w:val="0"/>
        </w:rPr>
      </w:pPr>
      <w:r w:rsidRPr="00D90357">
        <w:t>Proposed Methodology</w:t>
      </w:r>
    </w:p>
    <w:p w14:paraId="1D8DAEE8" w14:textId="77777777" w:rsidR="00470709" w:rsidRPr="00B40EA5" w:rsidRDefault="00470709" w:rsidP="005E2981">
      <w:pPr>
        <w:pStyle w:val="BodyText"/>
      </w:pPr>
      <w:r w:rsidRPr="0099434A">
        <w:t xml:space="preserve">The methodology suggested would employ the use of Transformer-based models for forecasting financial time series with an enhancement of interpretability through explainable artificial intelligence (XAI) approaches. The Transformer model initially employed in natural language processing (NLP) has been very effective in handling long-term dependencies and fine-grained patterns in sequential data. Its self-attention mechanism allows the model to give different weights to the importance of various time steps, which makes it suitable for financial prediction, where the </w:t>
      </w:r>
      <w:proofErr w:type="spellStart"/>
      <w:r w:rsidRPr="0099434A">
        <w:t>behavior</w:t>
      </w:r>
      <w:proofErr w:type="spellEnd"/>
      <w:r w:rsidRPr="0099434A">
        <w:t xml:space="preserve"> of a market is subject to both short-term variability and long-term trends.  This topic discusses the architectural framework of the Transformer model, the use of self-attention processes, the deployment of explainability methods, and data preprocessing techniques utilized to optimize model performance.</w:t>
      </w:r>
    </w:p>
    <w:p w14:paraId="5F7BBA58" w14:textId="77777777" w:rsidR="00470709" w:rsidRPr="00FD0B1E" w:rsidRDefault="00470709" w:rsidP="005E2981">
      <w:pPr>
        <w:pStyle w:val="Heading2"/>
        <w:rPr>
          <w:i w:val="0"/>
          <w:iCs w:val="0"/>
        </w:rPr>
      </w:pPr>
      <w:r w:rsidRPr="005E2981">
        <w:t>Transformer</w:t>
      </w:r>
      <w:r w:rsidRPr="00FD0B1E">
        <w:t xml:space="preserve"> Architecture for Time Series Forecasting</w:t>
      </w:r>
    </w:p>
    <w:p w14:paraId="28A8A76C" w14:textId="77777777" w:rsidR="00470709" w:rsidRPr="00B40EA5" w:rsidRDefault="00470709" w:rsidP="005E2981">
      <w:pPr>
        <w:pStyle w:val="BodyText"/>
      </w:pPr>
      <w:r w:rsidRPr="00504E57">
        <w:t>Since the Transformer model employs self-attention mechanisms instead of recurrent or convolutional ones, it is best suited to learn time series data long-term dependencies. The model is an encoder-decoder model where the encoder generates contextually rich representations from input sequences and the decoder uses these to produce the forecast. In trying to predict financial time series, the encoder is tasked with processing input sequences that mimic past market data, such as price fluctuations, volumes of trade, and macroeconomic indicators.  Every layer of the encoder calculates the attention scores over varied time steps based on a feedforward neural network combined with a multi-head self-attention process.</w:t>
      </w:r>
      <w:r>
        <w:t xml:space="preserve"> </w:t>
      </w:r>
      <w:r w:rsidRPr="00E117E1">
        <w:t xml:space="preserve">The time series forecasting version of the decoder predicts based on the temporal dimension of the information relative to the encoded sequence. The model is responsive to changing market conditions due to the multi-head attention, which allows it to learn intricate relations between various time steps and features.  One of the special characteristics of time series </w:t>
      </w:r>
      <w:proofErr w:type="spellStart"/>
      <w:r w:rsidRPr="00E117E1">
        <w:t>modeling</w:t>
      </w:r>
      <w:proofErr w:type="spellEnd"/>
      <w:r w:rsidRPr="00E117E1">
        <w:t xml:space="preserve"> is the introduction of positional encodings to the input data to maintain the sequence order. Subsequently, the model is learned employing a mean squared error (MSE) loss function, which optimizes the accuracy of predictability of the model by computing the difference between the actual and predicted output.</w:t>
      </w:r>
    </w:p>
    <w:p w14:paraId="692BB1D3" w14:textId="77777777" w:rsidR="00470709" w:rsidRPr="00FD0B1E" w:rsidRDefault="00470709" w:rsidP="005E2981">
      <w:pPr>
        <w:pStyle w:val="Heading2"/>
        <w:rPr>
          <w:i w:val="0"/>
          <w:iCs w:val="0"/>
        </w:rPr>
      </w:pPr>
      <w:r w:rsidRPr="00FD0B1E">
        <w:lastRenderedPageBreak/>
        <w:t>Self-</w:t>
      </w:r>
      <w:r w:rsidRPr="005E2981">
        <w:t>Attention</w:t>
      </w:r>
      <w:r w:rsidRPr="00FD0B1E">
        <w:t xml:space="preserve"> Mechanism and Temporal Dependencies</w:t>
      </w:r>
    </w:p>
    <w:p w14:paraId="573DB692" w14:textId="77777777" w:rsidR="00501B84" w:rsidRDefault="00470709" w:rsidP="00501B84">
      <w:pPr>
        <w:pStyle w:val="BodyText"/>
      </w:pPr>
      <w:r w:rsidRPr="0099434A">
        <w:t>The self-attention mechanism is the core of the Transformer architecture and is responsible for capturing temporal interdependence in financial time series data.  Contrary to traditional models that applied fixed-sized sliding windows or recurrent connections, the self-attention mechanism enables the model to capture the entire input sequence simultaneously.</w:t>
      </w:r>
      <w:r w:rsidRPr="0057101E">
        <w:t xml:space="preserve"> This is possible through the computation of attention scores among all the pairs of the time steps such that important patterns and dependencies over the sequence can be found.</w:t>
      </w:r>
      <w:r>
        <w:t xml:space="preserve"> </w:t>
      </w:r>
      <w:r w:rsidRPr="00B40EA5">
        <w:t>The self-attention operation can be mathematically represented as:</w:t>
      </w:r>
    </w:p>
    <w:p w14:paraId="7A038E12" w14:textId="5DF7C87F" w:rsidR="00470709" w:rsidRPr="00C15FED" w:rsidRDefault="00C15FED" w:rsidP="00501B84">
      <w:pPr>
        <w:pStyle w:val="BodyText"/>
        <w:ind w:firstLine="0"/>
      </w:pPr>
      <w:r>
        <w:t xml:space="preserve">            </w:t>
      </w:r>
      <m:oMath>
        <m:r>
          <w:rPr>
            <w:rFonts w:ascii="Cambria Math" w:hAnsi="Cambria Math"/>
          </w:rPr>
          <m:t>Attention</m:t>
        </m:r>
        <m:d>
          <m:dPr>
            <m:ctrlPr>
              <w:rPr>
                <w:rFonts w:ascii="Cambria Math" w:hAnsi="Cambria Math"/>
                <w:i/>
              </w:rPr>
            </m:ctrlPr>
          </m:dPr>
          <m:e>
            <m:r>
              <w:rPr>
                <w:rFonts w:ascii="Cambria Math" w:hAnsi="Cambria Math"/>
              </w:rPr>
              <m:t>Q,K,V</m:t>
            </m:r>
          </m:e>
        </m:d>
        <m:r>
          <w:rPr>
            <w:rFonts w:ascii="Cambria Math" w:hAnsi="Cambria Math"/>
          </w:rPr>
          <m:t>=softmax</m:t>
        </m:r>
        <m:d>
          <m:dPr>
            <m:ctrlPr>
              <w:rPr>
                <w:rFonts w:ascii="Cambria Math" w:hAnsi="Cambria Math"/>
                <w:i/>
              </w:rPr>
            </m:ctrlPr>
          </m:dPr>
          <m:e>
            <m:f>
              <m:fPr>
                <m:ctrlPr>
                  <w:rPr>
                    <w:rFonts w:ascii="Cambria Math" w:hAnsi="Cambria Math"/>
                    <w:i/>
                  </w:rPr>
                </m:ctrlPr>
              </m:fPr>
              <m:num>
                <m:r>
                  <w:rPr>
                    <w:rFonts w:ascii="Cambria Math" w:hAnsi="Cambria Math"/>
                  </w:rPr>
                  <m:t>Q</m:t>
                </m:r>
                <m:sSup>
                  <m:sSupPr>
                    <m:ctrlPr>
                      <w:rPr>
                        <w:rFonts w:ascii="Cambria Math" w:hAnsi="Cambria Math"/>
                        <w:i/>
                      </w:rPr>
                    </m:ctrlPr>
                  </m:sSupPr>
                  <m:e>
                    <m:r>
                      <w:rPr>
                        <w:rFonts w:ascii="Cambria Math" w:hAnsi="Cambria Math"/>
                      </w:rPr>
                      <m:t>K</m:t>
                    </m:r>
                  </m:e>
                  <m:sup>
                    <m:r>
                      <w:rPr>
                        <w:rFonts w:ascii="Cambria Math" w:hAnsi="Cambria Math"/>
                      </w:rPr>
                      <m:t>T</m:t>
                    </m:r>
                  </m:sup>
                </m:s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d</m:t>
                        </m:r>
                      </m:e>
                      <m:sub>
                        <m:r>
                          <w:rPr>
                            <w:rFonts w:ascii="Cambria Math" w:hAnsi="Cambria Math"/>
                          </w:rPr>
                          <m:t>k</m:t>
                        </m:r>
                      </m:sub>
                    </m:sSub>
                  </m:e>
                </m:rad>
              </m:den>
            </m:f>
          </m:e>
        </m:d>
        <m:r>
          <w:rPr>
            <w:rFonts w:ascii="Cambria Math" w:hAnsi="Cambria Math"/>
          </w:rPr>
          <m:t>V</m:t>
        </m:r>
      </m:oMath>
      <w:r>
        <w:t xml:space="preserve">             (1)</w:t>
      </w:r>
    </w:p>
    <w:p w14:paraId="756E31E3" w14:textId="793C01FE" w:rsidR="00470709" w:rsidRPr="00B40EA5" w:rsidRDefault="00470709" w:rsidP="00470709">
      <w:pPr>
        <w:spacing w:after="120" w:line="228" w:lineRule="auto"/>
        <w:jc w:val="both"/>
      </w:pPr>
      <w:proofErr w:type="gramStart"/>
      <w:r w:rsidRPr="00470709">
        <w:rPr>
          <w:rFonts w:eastAsia="Times New Roman"/>
        </w:rPr>
        <w:t>Where ,</w:t>
      </w:r>
      <w:proofErr w:type="gramEnd"/>
      <w:r w:rsidRPr="00470709">
        <w:rPr>
          <w:rFonts w:eastAsia="Times New Roman"/>
        </w:rPr>
        <w:t xml:space="preserve"> </w:t>
      </w:r>
      <m:oMath>
        <m:r>
          <w:rPr>
            <w:rFonts w:ascii="Cambria Math" w:hAnsi="Cambria Math"/>
          </w:rPr>
          <m:t>Q</m:t>
        </m:r>
      </m:oMath>
      <w:r w:rsidRPr="00470709">
        <w:rPr>
          <w:rFonts w:eastAsia="Times New Roman"/>
        </w:rPr>
        <w:t xml:space="preserve">- Query Matrix,  </w:t>
      </w:r>
      <m:oMath>
        <m:r>
          <w:rPr>
            <w:rFonts w:ascii="Cambria Math" w:hAnsi="Cambria Math"/>
          </w:rPr>
          <m:t>K</m:t>
        </m:r>
      </m:oMath>
      <w:r w:rsidRPr="00470709">
        <w:rPr>
          <w:rFonts w:eastAsia="Times New Roman"/>
        </w:rPr>
        <w:t xml:space="preserve">- Key Matrix, </w:t>
      </w:r>
      <m:oMath>
        <m:r>
          <w:rPr>
            <w:rFonts w:ascii="Cambria Math" w:hAnsi="Cambria Math"/>
          </w:rPr>
          <m:t>V</m:t>
        </m:r>
      </m:oMath>
      <w:r w:rsidRPr="00470709">
        <w:rPr>
          <w:rFonts w:eastAsia="Times New Roman"/>
        </w:rPr>
        <w:t xml:space="preserve">- Value Matrix,  </w:t>
      </w:r>
      <m:oMath>
        <m:sSub>
          <m:sSubPr>
            <m:ctrlPr>
              <w:rPr>
                <w:rFonts w:ascii="Cambria Math" w:hAnsi="Cambria Math"/>
                <w:i/>
              </w:rPr>
            </m:ctrlPr>
          </m:sSubPr>
          <m:e>
            <m:r>
              <w:rPr>
                <w:rFonts w:ascii="Cambria Math" w:hAnsi="Cambria Math"/>
              </w:rPr>
              <m:t>d</m:t>
            </m:r>
          </m:e>
          <m:sub>
            <m:r>
              <w:rPr>
                <w:rFonts w:ascii="Cambria Math" w:hAnsi="Cambria Math"/>
              </w:rPr>
              <m:t>k</m:t>
            </m:r>
          </m:sub>
        </m:sSub>
      </m:oMath>
      <w:r w:rsidRPr="00470709">
        <w:rPr>
          <w:rFonts w:eastAsia="Times New Roman"/>
        </w:rPr>
        <w:t>- Dimensionality of the key vectors</w:t>
      </w:r>
    </w:p>
    <w:p w14:paraId="1F7CBA4B" w14:textId="290A4F65" w:rsidR="00470709" w:rsidRPr="00B40EA5" w:rsidRDefault="00470709" w:rsidP="005E2981">
      <w:pPr>
        <w:pStyle w:val="BodyText"/>
      </w:pPr>
      <w:r w:rsidRPr="0057101E">
        <w:t xml:space="preserve">The model calculates query, key, and value matrices from the input sequence and computes the scaled dot-product attention among them. The </w:t>
      </w:r>
      <w:proofErr w:type="spellStart"/>
      <w:r w:rsidRPr="0057101E">
        <w:t>softmax</w:t>
      </w:r>
      <w:proofErr w:type="spellEnd"/>
      <w:r w:rsidRPr="0057101E">
        <w:t xml:space="preserve"> ensures that the attention weights add up to one and thus give a probability distribution over the input sequence. The multi-head attention method is an extension of this where it calculates the attention scores from multiple projection spaces to improve the ability of the model to extract different temporal dependencies. The attention scores are summed and fed through a feedforward layer to produce the final output. </w:t>
      </w:r>
      <w:r w:rsidRPr="0099434A">
        <w:t xml:space="preserve">The self-attention mechanism enables financial time series forecasting models to identify long-term trends, volatility in the short term, and seasonality patterns.  </w:t>
      </w:r>
      <w:r w:rsidR="00362302" w:rsidRPr="00362302">
        <w:t>It has the ability to adapt and learn from changes in the marketplace by changing the attention weights inherently, such that features and important time steps are given more attention.</w:t>
      </w:r>
    </w:p>
    <w:p w14:paraId="0F038739" w14:textId="77777777" w:rsidR="00470709" w:rsidRPr="00FD0B1E" w:rsidRDefault="00470709" w:rsidP="005E2981">
      <w:pPr>
        <w:pStyle w:val="Heading2"/>
        <w:rPr>
          <w:i w:val="0"/>
          <w:iCs w:val="0"/>
        </w:rPr>
      </w:pPr>
      <w:r w:rsidRPr="005E2981">
        <w:t>Integration</w:t>
      </w:r>
      <w:r w:rsidRPr="00FD0B1E">
        <w:t xml:space="preserve"> of Explainability Techniques (SHAP, Attention Maps)</w:t>
      </w:r>
    </w:p>
    <w:p w14:paraId="15673D1F" w14:textId="085E99F7" w:rsidR="00470709" w:rsidRPr="0099434A" w:rsidRDefault="00362302" w:rsidP="005E2981">
      <w:pPr>
        <w:pStyle w:val="BodyText"/>
      </w:pPr>
      <w:r w:rsidRPr="00362302">
        <w:t xml:space="preserve">One of the biggest issues when using Transformer models for financial forecasting is their black-box nature, which limits transparency and trust: meaning a financial analyst cannot understand how the model is producing outputs. The model uses methods of explainability like attention heatmaps and </w:t>
      </w:r>
      <w:proofErr w:type="spellStart"/>
      <w:r w:rsidRPr="00362302">
        <w:t>SHapley</w:t>
      </w:r>
      <w:proofErr w:type="spellEnd"/>
      <w:r w:rsidRPr="00362302">
        <w:t xml:space="preserve"> Additive </w:t>
      </w:r>
      <w:proofErr w:type="spellStart"/>
      <w:r w:rsidRPr="00362302">
        <w:t>exPlanations</w:t>
      </w:r>
      <w:proofErr w:type="spellEnd"/>
      <w:r w:rsidRPr="00362302">
        <w:t xml:space="preserve"> (SHAP) to counter this problem. Using a game-theory based approach, SHAP identifies a contribution score for every input feature, depending on the impact of the input feature on the output of the model. SHAP values that provide insight into time series data will show which market indicators and past time steps influence the models output</w:t>
      </w:r>
      <w:r w:rsidR="00470709" w:rsidRPr="00E117E1">
        <w:t>.</w:t>
      </w:r>
      <w:r w:rsidR="00470709" w:rsidRPr="0099434A">
        <w:t xml:space="preserve">  </w:t>
      </w:r>
    </w:p>
    <w:p w14:paraId="34A09692" w14:textId="77777777" w:rsidR="00470709" w:rsidRPr="00B40EA5" w:rsidRDefault="00470709" w:rsidP="00470709">
      <w:pPr>
        <w:spacing w:after="120" w:line="228" w:lineRule="auto"/>
        <w:jc w:val="both"/>
      </w:pPr>
      <w:r w:rsidRPr="0099434A">
        <w:t>The SHAP framework calculates contribution scores through the following formula:</w:t>
      </w:r>
    </w:p>
    <w:p w14:paraId="651CF0DF" w14:textId="5081613B" w:rsidR="00470709" w:rsidRPr="00470709" w:rsidRDefault="00C15FED" w:rsidP="00470709">
      <w:pPr>
        <w:spacing w:after="120" w:line="228" w:lineRule="auto"/>
        <w:jc w:val="both"/>
        <w:rPr>
          <w:rFonts w:eastAsia="Times New Roman"/>
        </w:rPr>
      </w:pPr>
      <w:r>
        <w:t xml:space="preserve">        </w:t>
      </w:r>
      <m:oMath>
        <m:sSub>
          <m:sSubPr>
            <m:ctrlPr>
              <w:rPr>
                <w:rFonts w:ascii="Cambria Math" w:hAnsi="Cambria Math"/>
                <w:i/>
              </w:rPr>
            </m:ctrlPr>
          </m:sSubPr>
          <m:e>
            <m:r>
              <w:rPr>
                <w:rFonts w:ascii="Cambria Math" w:hAnsi="Cambria Math"/>
              </w:rPr>
              <m:t>∅</m:t>
            </m:r>
          </m:e>
          <m:sub>
            <m:r>
              <w:rPr>
                <w:rFonts w:ascii="Cambria Math" w:hAnsi="Cambria Math"/>
              </w:rPr>
              <m:t>i</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S⊆N∖</m:t>
            </m:r>
            <m:d>
              <m:dPr>
                <m:begChr m:val="{"/>
                <m:endChr m:val="}"/>
                <m:ctrlPr>
                  <w:rPr>
                    <w:rFonts w:ascii="Cambria Math" w:hAnsi="Cambria Math"/>
                    <w:i/>
                  </w:rPr>
                </m:ctrlPr>
              </m:dPr>
              <m:e>
                <m:r>
                  <w:rPr>
                    <w:rFonts w:ascii="Cambria Math" w:hAnsi="Cambria Math"/>
                  </w:rPr>
                  <m:t>i</m:t>
                </m:r>
              </m:e>
            </m:d>
          </m:sub>
          <m:sup/>
          <m:e>
            <m:f>
              <m:fPr>
                <m:ctrlPr>
                  <w:rPr>
                    <w:rFonts w:ascii="Cambria Math" w:hAnsi="Cambria Math"/>
                    <w:i/>
                  </w:rPr>
                </m:ctrlPr>
              </m:fPr>
              <m:num>
                <m:d>
                  <m:dPr>
                    <m:begChr m:val="|"/>
                    <m:endChr m:val="|"/>
                    <m:ctrlPr>
                      <w:rPr>
                        <w:rFonts w:ascii="Cambria Math" w:hAnsi="Cambria Math"/>
                        <w:i/>
                      </w:rPr>
                    </m:ctrlPr>
                  </m:dPr>
                  <m:e>
                    <m:r>
                      <w:rPr>
                        <w:rFonts w:ascii="Cambria Math" w:hAnsi="Cambria Math"/>
                      </w:rPr>
                      <m:t>S</m:t>
                    </m:r>
                  </m:e>
                </m:d>
                <m:r>
                  <w:rPr>
                    <w:rFonts w:ascii="Cambria Math" w:hAnsi="Cambria Math"/>
                  </w:rPr>
                  <m:t>!</m:t>
                </m:r>
                <m:d>
                  <m:dPr>
                    <m:ctrlPr>
                      <w:rPr>
                        <w:rFonts w:ascii="Cambria Math" w:hAnsi="Cambria Math"/>
                        <w:i/>
                      </w:rPr>
                    </m:ctrlPr>
                  </m:dPr>
                  <m:e>
                    <m:d>
                      <m:dPr>
                        <m:begChr m:val="|"/>
                        <m:endChr m:val="|"/>
                        <m:ctrlPr>
                          <w:rPr>
                            <w:rFonts w:ascii="Cambria Math" w:hAnsi="Cambria Math"/>
                            <w:i/>
                          </w:rPr>
                        </m:ctrlPr>
                      </m:dPr>
                      <m:e>
                        <m:r>
                          <w:rPr>
                            <w:rFonts w:ascii="Cambria Math" w:hAnsi="Cambria Math"/>
                          </w:rPr>
                          <m:t>N</m:t>
                        </m:r>
                      </m:e>
                    </m:d>
                    <m:r>
                      <w:rPr>
                        <w:rFonts w:ascii="Cambria Math" w:hAnsi="Cambria Math"/>
                      </w:rPr>
                      <m:t>-</m:t>
                    </m:r>
                    <m:d>
                      <m:dPr>
                        <m:begChr m:val="|"/>
                        <m:endChr m:val="|"/>
                        <m:ctrlPr>
                          <w:rPr>
                            <w:rFonts w:ascii="Cambria Math" w:hAnsi="Cambria Math"/>
                            <w:i/>
                          </w:rPr>
                        </m:ctrlPr>
                      </m:dPr>
                      <m:e>
                        <m:r>
                          <w:rPr>
                            <w:rFonts w:ascii="Cambria Math" w:hAnsi="Cambria Math"/>
                          </w:rPr>
                          <m:t>S</m:t>
                        </m:r>
                      </m:e>
                    </m:d>
                    <m:r>
                      <w:rPr>
                        <w:rFonts w:ascii="Cambria Math" w:hAnsi="Cambria Math"/>
                      </w:rPr>
                      <m:t>-1</m:t>
                    </m:r>
                  </m:e>
                </m:d>
                <m:r>
                  <w:rPr>
                    <w:rFonts w:ascii="Cambria Math" w:hAnsi="Cambria Math"/>
                  </w:rPr>
                  <m:t>!</m:t>
                </m:r>
              </m:num>
              <m:den>
                <m:d>
                  <m:dPr>
                    <m:begChr m:val="|"/>
                    <m:endChr m:val="|"/>
                    <m:ctrlPr>
                      <w:rPr>
                        <w:rFonts w:ascii="Cambria Math" w:hAnsi="Cambria Math"/>
                        <w:i/>
                      </w:rPr>
                    </m:ctrlPr>
                  </m:dPr>
                  <m:e>
                    <m:r>
                      <w:rPr>
                        <w:rFonts w:ascii="Cambria Math" w:hAnsi="Cambria Math"/>
                      </w:rPr>
                      <m:t>N</m:t>
                    </m:r>
                  </m:e>
                </m:d>
                <m:r>
                  <w:rPr>
                    <w:rFonts w:ascii="Cambria Math" w:hAnsi="Cambria Math"/>
                  </w:rPr>
                  <m:t>!</m:t>
                </m:r>
              </m:den>
            </m:f>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S⋃</m:t>
                    </m:r>
                    <m:d>
                      <m:dPr>
                        <m:begChr m:val="{"/>
                        <m:endChr m:val="}"/>
                        <m:ctrlPr>
                          <w:rPr>
                            <w:rFonts w:ascii="Cambria Math" w:hAnsi="Cambria Math"/>
                            <w:i/>
                          </w:rPr>
                        </m:ctrlPr>
                      </m:dPr>
                      <m:e>
                        <m:r>
                          <w:rPr>
                            <w:rFonts w:ascii="Cambria Math" w:hAnsi="Cambria Math"/>
                          </w:rPr>
                          <m:t>i</m:t>
                        </m:r>
                      </m:e>
                    </m:d>
                    <m:r>
                      <w:rPr>
                        <w:rFonts w:ascii="Cambria Math" w:hAnsi="Cambria Math"/>
                      </w:rPr>
                      <m:t>-f</m:t>
                    </m:r>
                    <m:d>
                      <m:dPr>
                        <m:ctrlPr>
                          <w:rPr>
                            <w:rFonts w:ascii="Cambria Math" w:hAnsi="Cambria Math"/>
                            <w:i/>
                          </w:rPr>
                        </m:ctrlPr>
                      </m:dPr>
                      <m:e>
                        <m:r>
                          <w:rPr>
                            <w:rFonts w:ascii="Cambria Math" w:hAnsi="Cambria Math"/>
                          </w:rPr>
                          <m:t>S</m:t>
                        </m:r>
                      </m:e>
                    </m:d>
                  </m:e>
                </m:d>
              </m:e>
            </m:d>
          </m:e>
        </m:nary>
      </m:oMath>
      <w:r w:rsidR="00C65EB5">
        <w:t xml:space="preserve"> </w:t>
      </w:r>
      <w:r w:rsidR="00751ABD">
        <w:t xml:space="preserve">     </w:t>
      </w:r>
      <w:r w:rsidR="00C65EB5">
        <w:t xml:space="preserve"> (2)</w:t>
      </w:r>
    </w:p>
    <w:p w14:paraId="3ADE5DFF" w14:textId="77777777" w:rsidR="00362302" w:rsidRDefault="00470709" w:rsidP="005E2981">
      <w:pPr>
        <w:pStyle w:val="BodyText"/>
        <w:rPr>
          <w:rFonts w:eastAsia="Times New Roman"/>
        </w:rPr>
      </w:pPr>
      <w:r w:rsidRPr="00470709">
        <w:rPr>
          <w:rFonts w:eastAsia="Times New Roman"/>
        </w:rPr>
        <w:t xml:space="preserve">Where, </w:t>
      </w:r>
      <m:oMath>
        <m:sSub>
          <m:sSubPr>
            <m:ctrlPr>
              <w:rPr>
                <w:rFonts w:ascii="Cambria Math" w:hAnsi="Cambria Math"/>
                <w:i/>
              </w:rPr>
            </m:ctrlPr>
          </m:sSubPr>
          <m:e>
            <m:r>
              <w:rPr>
                <w:rFonts w:ascii="Cambria Math" w:hAnsi="Cambria Math"/>
              </w:rPr>
              <m:t>∅</m:t>
            </m:r>
          </m:e>
          <m:sub>
            <m:r>
              <w:rPr>
                <w:rFonts w:ascii="Cambria Math" w:hAnsi="Cambria Math"/>
              </w:rPr>
              <m:t>i</m:t>
            </m:r>
          </m:sub>
        </m:sSub>
      </m:oMath>
      <w:r w:rsidR="00362302">
        <w:rPr>
          <w:rFonts w:eastAsia="Times New Roman"/>
        </w:rPr>
        <w:t>=</w:t>
      </w:r>
      <w:r w:rsidRPr="00470709">
        <w:rPr>
          <w:rFonts w:eastAsia="Times New Roman"/>
        </w:rPr>
        <w:t xml:space="preserve">SHAP value for feature </w:t>
      </w:r>
      <w:proofErr w:type="spellStart"/>
      <w:r w:rsidRPr="00470709">
        <w:rPr>
          <w:rFonts w:eastAsia="Times New Roman"/>
        </w:rPr>
        <w:t>i</w:t>
      </w:r>
      <w:proofErr w:type="spellEnd"/>
    </w:p>
    <w:p w14:paraId="18E7F446" w14:textId="77777777" w:rsidR="00362302" w:rsidRDefault="00470709" w:rsidP="005E2981">
      <w:pPr>
        <w:pStyle w:val="BodyText"/>
        <w:rPr>
          <w:rFonts w:eastAsia="Times New Roman"/>
        </w:rPr>
      </w:pPr>
      <w:r w:rsidRPr="00470709">
        <w:rPr>
          <w:rFonts w:eastAsia="Times New Roman"/>
        </w:rPr>
        <w:t xml:space="preserve"> </w:t>
      </w:r>
      <m:oMath>
        <m:r>
          <w:rPr>
            <w:rFonts w:ascii="Cambria Math" w:hAnsi="Cambria Math"/>
          </w:rPr>
          <m:t>S</m:t>
        </m:r>
      </m:oMath>
      <w:r w:rsidR="00362302">
        <w:rPr>
          <w:rFonts w:eastAsia="Times New Roman"/>
        </w:rPr>
        <w:t>=</w:t>
      </w:r>
      <w:r w:rsidRPr="00470709">
        <w:rPr>
          <w:rFonts w:eastAsia="Times New Roman"/>
        </w:rPr>
        <w:t xml:space="preserve"> Subsets of features excluding </w:t>
      </w:r>
      <w:proofErr w:type="spellStart"/>
      <w:r w:rsidRPr="00470709">
        <w:rPr>
          <w:rFonts w:eastAsia="Times New Roman"/>
        </w:rPr>
        <w:t>i</w:t>
      </w:r>
      <w:proofErr w:type="spellEnd"/>
    </w:p>
    <w:p w14:paraId="482911EC" w14:textId="77777777" w:rsidR="00362302" w:rsidRDefault="00470709" w:rsidP="005E2981">
      <w:pPr>
        <w:pStyle w:val="BodyText"/>
        <w:rPr>
          <w:rFonts w:eastAsia="Times New Roman"/>
        </w:rPr>
      </w:pPr>
      <w:r w:rsidRPr="00470709">
        <w:rPr>
          <w:rFonts w:eastAsia="Times New Roman"/>
        </w:rPr>
        <w:t xml:space="preserve"> </w:t>
      </w:r>
      <m:oMath>
        <m:r>
          <w:rPr>
            <w:rFonts w:ascii="Cambria Math" w:hAnsi="Cambria Math"/>
          </w:rPr>
          <m:t>N</m:t>
        </m:r>
      </m:oMath>
      <w:r w:rsidR="00362302">
        <w:rPr>
          <w:rFonts w:eastAsia="Times New Roman"/>
        </w:rPr>
        <w:t>=</w:t>
      </w:r>
      <w:r w:rsidRPr="00470709">
        <w:rPr>
          <w:rFonts w:eastAsia="Times New Roman"/>
        </w:rPr>
        <w:t>Total number of features</w:t>
      </w:r>
    </w:p>
    <w:p w14:paraId="3DDEC9A9" w14:textId="77777777" w:rsidR="00362302" w:rsidRDefault="00470709" w:rsidP="005E2981">
      <w:pPr>
        <w:pStyle w:val="BodyText"/>
        <w:rPr>
          <w:rFonts w:eastAsia="Times New Roman"/>
        </w:rPr>
      </w:pPr>
      <m:oMath>
        <m:r>
          <w:rPr>
            <w:rFonts w:ascii="Cambria Math" w:hAnsi="Cambria Math"/>
          </w:rPr>
          <m:t>f</m:t>
        </m:r>
        <m:d>
          <m:dPr>
            <m:ctrlPr>
              <w:rPr>
                <w:rFonts w:ascii="Cambria Math" w:hAnsi="Cambria Math"/>
                <w:i/>
              </w:rPr>
            </m:ctrlPr>
          </m:dPr>
          <m:e>
            <m:r>
              <w:rPr>
                <w:rFonts w:ascii="Cambria Math" w:hAnsi="Cambria Math"/>
              </w:rPr>
              <m:t>S</m:t>
            </m:r>
          </m:e>
        </m:d>
      </m:oMath>
      <w:r w:rsidRPr="00470709">
        <w:rPr>
          <w:rFonts w:eastAsia="Times New Roman"/>
        </w:rPr>
        <w:t xml:space="preserve">- Model output for subset </w:t>
      </w:r>
      <m:oMath>
        <m:r>
          <w:rPr>
            <w:rFonts w:ascii="Cambria Math" w:hAnsi="Cambria Math"/>
          </w:rPr>
          <m:t>S</m:t>
        </m:r>
      </m:oMath>
      <w:r w:rsidRPr="00470709">
        <w:rPr>
          <w:rFonts w:eastAsia="Times New Roman"/>
        </w:rPr>
        <w:t>.</w:t>
      </w:r>
    </w:p>
    <w:p w14:paraId="2C5B2595" w14:textId="4F49BB89" w:rsidR="00470709" w:rsidRPr="00B40EA5" w:rsidRDefault="005635E0" w:rsidP="005E2981">
      <w:pPr>
        <w:pStyle w:val="BodyText"/>
      </w:pPr>
      <w:r w:rsidRPr="005635E0">
        <w:t>In other words, when the visual</w:t>
      </w:r>
      <w:r>
        <w:t>s</w:t>
      </w:r>
      <w:r w:rsidRPr="005635E0">
        <w:t xml:space="preserve"> of the focus weights are thrown across various time steps of the mix, the attention heat maps actually render everything so much easier to retrieve. Thereupon, in watching what historical points on which the </w:t>
      </w:r>
      <w:r w:rsidRPr="005635E0">
        <w:t>most used have been fastened by the model in predicting things, you have a clear answer to why that model has decided to make that particular call. The combination of SHAP and the heatmaps increases the transparency of the financial estimates and makes everyone feel right, as a portable description of how the model operates provides.</w:t>
      </w:r>
    </w:p>
    <w:p w14:paraId="3FBD84F8" w14:textId="77777777" w:rsidR="00470709" w:rsidRPr="00FD0B1E" w:rsidRDefault="00470709" w:rsidP="005E2981">
      <w:pPr>
        <w:pStyle w:val="Heading2"/>
        <w:rPr>
          <w:i w:val="0"/>
          <w:iCs w:val="0"/>
        </w:rPr>
      </w:pPr>
      <w:r w:rsidRPr="00FD0B1E">
        <w:t xml:space="preserve">Data </w:t>
      </w:r>
      <w:r w:rsidRPr="005E2981">
        <w:t>Preprocessing</w:t>
      </w:r>
      <w:r w:rsidRPr="00FD0B1E">
        <w:t xml:space="preserve"> and Feature Engineering</w:t>
      </w:r>
    </w:p>
    <w:p w14:paraId="64A2EEA4" w14:textId="4255B54D" w:rsidR="00470709" w:rsidRPr="0099434A" w:rsidRDefault="00107654" w:rsidP="005E2981">
      <w:pPr>
        <w:pStyle w:val="BodyText"/>
      </w:pPr>
      <w:r w:rsidRPr="00107654">
        <w:rPr>
          <w:lang w:val="en-US"/>
        </w:rPr>
        <w:t>To increase the predictive accuracy and reliability of financial predictive models, careful data preprocessing and advanced data feature engineering is urgently required. The data is based on past price data, trade volume, market indices, interest rates and macroeconomic indicators. The preparation of data is as follows</w:t>
      </w:r>
      <w:r w:rsidR="00470709" w:rsidRPr="0099434A">
        <w:t>:</w:t>
      </w:r>
    </w:p>
    <w:p w14:paraId="59A9ED88" w14:textId="061228B8" w:rsidR="00470709" w:rsidRPr="003777D0" w:rsidRDefault="00107654" w:rsidP="00751ABD">
      <w:pPr>
        <w:pStyle w:val="ListParagraph"/>
        <w:numPr>
          <w:ilvl w:val="0"/>
          <w:numId w:val="11"/>
        </w:numPr>
        <w:spacing w:after="120" w:line="228" w:lineRule="auto"/>
        <w:ind w:left="357" w:hanging="357"/>
        <w:jc w:val="both"/>
        <w:rPr>
          <w:rFonts w:ascii="Times New Roman" w:hAnsi="Times New Roman" w:cs="Times New Roman"/>
          <w:sz w:val="20"/>
          <w:szCs w:val="20"/>
        </w:rPr>
      </w:pPr>
      <w:r w:rsidRPr="00107654">
        <w:rPr>
          <w:rFonts w:ascii="Times New Roman" w:hAnsi="Times New Roman" w:cs="Times New Roman"/>
          <w:sz w:val="20"/>
          <w:szCs w:val="20"/>
          <w:lang w:val="en-US"/>
        </w:rPr>
        <w:t>Processing Missing Values: Miss values are filled in either through nearest-neighbor imputation or the use of linear interpolation in a way that preserves the temporal continuity and reduces loss of information</w:t>
      </w:r>
      <w:r w:rsidR="00470709" w:rsidRPr="003777D0">
        <w:rPr>
          <w:rFonts w:ascii="Times New Roman" w:hAnsi="Times New Roman" w:cs="Times New Roman"/>
          <w:sz w:val="20"/>
          <w:szCs w:val="20"/>
        </w:rPr>
        <w:t>.</w:t>
      </w:r>
    </w:p>
    <w:p w14:paraId="670A6015" w14:textId="1414D2E3" w:rsidR="00470709" w:rsidRPr="003777D0" w:rsidRDefault="00107654" w:rsidP="00751ABD">
      <w:pPr>
        <w:pStyle w:val="ListParagraph"/>
        <w:numPr>
          <w:ilvl w:val="0"/>
          <w:numId w:val="11"/>
        </w:numPr>
        <w:spacing w:after="120" w:line="228" w:lineRule="auto"/>
        <w:ind w:left="357" w:hanging="357"/>
        <w:jc w:val="both"/>
        <w:rPr>
          <w:rFonts w:ascii="Times New Roman" w:hAnsi="Times New Roman" w:cs="Times New Roman"/>
          <w:sz w:val="20"/>
          <w:szCs w:val="20"/>
        </w:rPr>
      </w:pPr>
      <w:r w:rsidRPr="00107654">
        <w:rPr>
          <w:rFonts w:ascii="Times New Roman" w:hAnsi="Times New Roman" w:cs="Times New Roman"/>
          <w:sz w:val="20"/>
          <w:szCs w:val="20"/>
          <w:lang w:val="en-US"/>
        </w:rPr>
        <w:t xml:space="preserve">Normalization and Scaling: To avoid the scaling of the model by features with large magnitudes, </w:t>
      </w:r>
      <w:proofErr w:type="gramStart"/>
      <w:r w:rsidRPr="00107654">
        <w:rPr>
          <w:rFonts w:ascii="Times New Roman" w:hAnsi="Times New Roman" w:cs="Times New Roman"/>
          <w:sz w:val="20"/>
          <w:szCs w:val="20"/>
          <w:lang w:val="en-US"/>
        </w:rPr>
        <w:t>all of</w:t>
      </w:r>
      <w:proofErr w:type="gramEnd"/>
      <w:r w:rsidRPr="00107654">
        <w:rPr>
          <w:rFonts w:ascii="Times New Roman" w:hAnsi="Times New Roman" w:cs="Times New Roman"/>
          <w:sz w:val="20"/>
          <w:szCs w:val="20"/>
          <w:lang w:val="en-US"/>
        </w:rPr>
        <w:t xml:space="preserve"> the inputs are normalized, and homoscedasticity is achieved across the dimensions</w:t>
      </w:r>
      <w:r w:rsidR="00470709" w:rsidRPr="003777D0">
        <w:rPr>
          <w:rFonts w:ascii="Times New Roman" w:hAnsi="Times New Roman" w:cs="Times New Roman"/>
          <w:sz w:val="20"/>
          <w:szCs w:val="20"/>
        </w:rPr>
        <w:t>.</w:t>
      </w:r>
    </w:p>
    <w:p w14:paraId="1414F221" w14:textId="0FE20A26" w:rsidR="00470709" w:rsidRPr="003777D0" w:rsidRDefault="00470709" w:rsidP="00751ABD">
      <w:pPr>
        <w:pStyle w:val="ListParagraph"/>
        <w:numPr>
          <w:ilvl w:val="0"/>
          <w:numId w:val="11"/>
        </w:numPr>
        <w:spacing w:after="120" w:line="228" w:lineRule="auto"/>
        <w:ind w:left="357" w:hanging="357"/>
        <w:jc w:val="both"/>
        <w:rPr>
          <w:rFonts w:ascii="Times New Roman" w:hAnsi="Times New Roman" w:cs="Times New Roman"/>
          <w:sz w:val="20"/>
          <w:szCs w:val="20"/>
        </w:rPr>
      </w:pPr>
      <w:r w:rsidRPr="003777D0">
        <w:rPr>
          <w:rFonts w:ascii="Times New Roman" w:hAnsi="Times New Roman" w:cs="Times New Roman"/>
          <w:sz w:val="20"/>
          <w:szCs w:val="20"/>
        </w:rPr>
        <w:t xml:space="preserve">Outlier Removal: </w:t>
      </w:r>
      <w:r w:rsidR="00107654" w:rsidRPr="00107654">
        <w:rPr>
          <w:rFonts w:ascii="Times New Roman" w:hAnsi="Times New Roman" w:cs="Times New Roman"/>
          <w:sz w:val="20"/>
          <w:szCs w:val="20"/>
          <w:lang w:val="en-US"/>
        </w:rPr>
        <w:t>Outliers are statistical measures that can lead to distortion in the learning process and are detected and removed through the application of statistical methods like the Z -score and the interquartile range (IQR)</w:t>
      </w:r>
      <w:r w:rsidRPr="003777D0">
        <w:rPr>
          <w:rFonts w:ascii="Times New Roman" w:hAnsi="Times New Roman" w:cs="Times New Roman"/>
          <w:sz w:val="20"/>
          <w:szCs w:val="20"/>
        </w:rPr>
        <w:t>.</w:t>
      </w:r>
    </w:p>
    <w:p w14:paraId="02999011" w14:textId="0DFCB41B" w:rsidR="00470709" w:rsidRPr="003777D0" w:rsidRDefault="00470709" w:rsidP="00751ABD">
      <w:pPr>
        <w:pStyle w:val="ListParagraph"/>
        <w:numPr>
          <w:ilvl w:val="0"/>
          <w:numId w:val="11"/>
        </w:numPr>
        <w:spacing w:after="120" w:line="228" w:lineRule="auto"/>
        <w:ind w:left="357" w:hanging="357"/>
        <w:jc w:val="both"/>
        <w:rPr>
          <w:rFonts w:ascii="Times New Roman" w:hAnsi="Times New Roman" w:cs="Times New Roman"/>
          <w:sz w:val="20"/>
          <w:szCs w:val="20"/>
        </w:rPr>
      </w:pPr>
      <w:r w:rsidRPr="003777D0">
        <w:rPr>
          <w:rFonts w:ascii="Times New Roman" w:hAnsi="Times New Roman" w:cs="Times New Roman"/>
          <w:sz w:val="20"/>
          <w:szCs w:val="20"/>
        </w:rPr>
        <w:t xml:space="preserve">Feature Engineering: </w:t>
      </w:r>
      <w:r w:rsidR="00107654" w:rsidRPr="00107654">
        <w:rPr>
          <w:rFonts w:ascii="Times New Roman" w:hAnsi="Times New Roman" w:cs="Times New Roman"/>
          <w:sz w:val="20"/>
          <w:szCs w:val="20"/>
          <w:lang w:val="en-US"/>
        </w:rPr>
        <w:t>New features are added such as volatility metrics, moving averages, and momentum, and financial insight about a domain is applied to add to the explanatory power of the model.</w:t>
      </w:r>
    </w:p>
    <w:p w14:paraId="583898DE" w14:textId="34FED856" w:rsidR="00470709" w:rsidRPr="003777D0" w:rsidRDefault="00470709" w:rsidP="00751ABD">
      <w:pPr>
        <w:pStyle w:val="ListParagraph"/>
        <w:numPr>
          <w:ilvl w:val="0"/>
          <w:numId w:val="11"/>
        </w:numPr>
        <w:spacing w:after="120" w:line="228" w:lineRule="auto"/>
        <w:ind w:left="357" w:hanging="357"/>
        <w:jc w:val="both"/>
        <w:rPr>
          <w:rFonts w:ascii="Times New Roman" w:hAnsi="Times New Roman" w:cs="Times New Roman"/>
          <w:sz w:val="20"/>
          <w:szCs w:val="20"/>
        </w:rPr>
      </w:pPr>
      <w:r w:rsidRPr="003777D0">
        <w:rPr>
          <w:rFonts w:ascii="Times New Roman" w:hAnsi="Times New Roman" w:cs="Times New Roman"/>
          <w:sz w:val="20"/>
          <w:szCs w:val="20"/>
        </w:rPr>
        <w:t xml:space="preserve">Lag Variables and Temporal Attributes: </w:t>
      </w:r>
      <w:r w:rsidR="00107654" w:rsidRPr="00107654">
        <w:rPr>
          <w:rFonts w:ascii="Times New Roman" w:hAnsi="Times New Roman" w:cs="Times New Roman"/>
          <w:sz w:val="20"/>
          <w:szCs w:val="20"/>
          <w:lang w:val="en-US"/>
        </w:rPr>
        <w:t>Lagged observations and time-based variables (e.g., day of the week, month, quarter) are added to make it easier to identify seasonality and time variation effects</w:t>
      </w:r>
      <w:r w:rsidRPr="003777D0">
        <w:rPr>
          <w:rFonts w:ascii="Times New Roman" w:hAnsi="Times New Roman" w:cs="Times New Roman"/>
          <w:sz w:val="20"/>
          <w:szCs w:val="20"/>
        </w:rPr>
        <w:t>.</w:t>
      </w:r>
    </w:p>
    <w:p w14:paraId="0E4D5B70" w14:textId="15CD77C9" w:rsidR="00470709" w:rsidRPr="003777D0" w:rsidRDefault="00107654" w:rsidP="005E2981">
      <w:pPr>
        <w:pStyle w:val="BodyText"/>
      </w:pPr>
      <w:r w:rsidRPr="00107654">
        <w:rPr>
          <w:lang w:val="en-US"/>
        </w:rPr>
        <w:t>The data that has been preprocessed is then divided into training, validation, and the test sets to perform conclusive review in response to real-market settings. Cross-validation is used to prevent overfitting and systematic hyperparameter tuning uses cross-validation to improve the performance of models</w:t>
      </w:r>
      <w:r w:rsidR="00470709" w:rsidRPr="003777D0">
        <w:t>.</w:t>
      </w:r>
    </w:p>
    <w:p w14:paraId="48B9998D" w14:textId="77777777" w:rsidR="00470709" w:rsidRPr="00D90357" w:rsidRDefault="00470709" w:rsidP="005E2981">
      <w:pPr>
        <w:pStyle w:val="Heading1"/>
        <w:rPr>
          <w:smallCaps w:val="0"/>
        </w:rPr>
      </w:pPr>
      <w:r w:rsidRPr="005E2981">
        <w:t>Results</w:t>
      </w:r>
      <w:r w:rsidRPr="00D90357">
        <w:t xml:space="preserve"> and Discussion</w:t>
      </w:r>
    </w:p>
    <w:p w14:paraId="1344831A" w14:textId="728130B5" w:rsidR="00470709" w:rsidRPr="00B40EA5" w:rsidRDefault="001B2A27" w:rsidP="005E2981">
      <w:pPr>
        <w:pStyle w:val="BodyText"/>
      </w:pPr>
      <w:r>
        <w:t>There was taken care of c</w:t>
      </w:r>
      <w:r w:rsidR="00470709" w:rsidRPr="00031ECB">
        <w:t>orrectness, stability, and interpretability of the provided Transformer-based financial time series forecasting model. The results suggest that the model can learn complex financial patterns and provide justifications for the decision-making process. The predictive capability of the model, significant feature analysis, and comparison to baseline models are all addressed in this section</w:t>
      </w:r>
      <w:r w:rsidR="00470709" w:rsidRPr="002D5BF2">
        <w:t>.</w:t>
      </w:r>
    </w:p>
    <w:p w14:paraId="46663DDC" w14:textId="77777777" w:rsidR="00470709" w:rsidRPr="00FD0B1E" w:rsidRDefault="00470709" w:rsidP="005E2981">
      <w:pPr>
        <w:pStyle w:val="Heading2"/>
        <w:rPr>
          <w:i w:val="0"/>
          <w:iCs w:val="0"/>
        </w:rPr>
      </w:pPr>
      <w:r w:rsidRPr="005E2981">
        <w:t>Prediction</w:t>
      </w:r>
      <w:r w:rsidRPr="00FD0B1E">
        <w:t xml:space="preserve"> Accuracy and Robustness</w:t>
      </w:r>
    </w:p>
    <w:p w14:paraId="5B5FEA5A" w14:textId="4427A77C" w:rsidR="00470709" w:rsidRPr="00740042" w:rsidRDefault="001B2A27" w:rsidP="005E2981">
      <w:pPr>
        <w:pStyle w:val="BodyText"/>
      </w:pPr>
      <w:r>
        <w:t>To assess the model, the metrics-</w:t>
      </w:r>
      <w:r w:rsidR="00470709" w:rsidRPr="00031ECB">
        <w:t xml:space="preserve"> Mean Squared Error (MSE), Mean Absolute Percentage Error (MAPE), and R-squared (R²) values were used to quantify</w:t>
      </w:r>
      <w:r>
        <w:t xml:space="preserve">. </w:t>
      </w:r>
    </w:p>
    <w:p w14:paraId="2DDC3F17" w14:textId="0350A57F" w:rsidR="00470709" w:rsidRPr="00B40EA5" w:rsidRDefault="00133455" w:rsidP="005E2981">
      <w:pPr>
        <w:pStyle w:val="BodyText"/>
      </w:pPr>
      <w:r w:rsidRPr="00740042">
        <w:t xml:space="preserve">Transformer model performed much lower in terms of MSE and MAPE values than in conventional models, but still with an R² score higher than 0.85 on various financial instruments. This proves that the model is resilient in identifying market trends and is not easily affected by volatility. Also, stress-testing the model under times of high </w:t>
      </w:r>
      <w:r w:rsidRPr="00740042">
        <w:lastRenderedPageBreak/>
        <w:t>volatility (for example, financial crises or sharp market changes) illustrated that the mechanism of self-attention accurately adjusts to changing financial market dynamics and thus can apply in real-world settings</w:t>
      </w:r>
      <w:r w:rsidR="00470709" w:rsidRPr="00B40EA5">
        <w:t>.</w:t>
      </w:r>
    </w:p>
    <w:p w14:paraId="756D1E85" w14:textId="712B287A" w:rsidR="00470709" w:rsidRPr="00B40EA5" w:rsidRDefault="00751ABD" w:rsidP="00470709">
      <w:pPr>
        <w:spacing w:after="120" w:line="228" w:lineRule="auto"/>
        <w:jc w:val="both"/>
      </w:pPr>
      <w:r w:rsidRPr="00B8425F">
        <w:rPr>
          <w:noProof/>
        </w:rPr>
        <w:drawing>
          <wp:inline distT="0" distB="0" distL="0" distR="0" wp14:anchorId="37E94838" wp14:editId="2881A30C">
            <wp:extent cx="2838450" cy="1895475"/>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450" cy="1895475"/>
                    </a:xfrm>
                    <a:prstGeom prst="rect">
                      <a:avLst/>
                    </a:prstGeom>
                    <a:noFill/>
                    <a:ln>
                      <a:noFill/>
                    </a:ln>
                  </pic:spPr>
                </pic:pic>
              </a:graphicData>
            </a:graphic>
          </wp:inline>
        </w:drawing>
      </w:r>
    </w:p>
    <w:p w14:paraId="7638CF9C" w14:textId="5CDBAC95" w:rsidR="00470709" w:rsidRPr="005241BA" w:rsidRDefault="00470709" w:rsidP="005E2981">
      <w:pPr>
        <w:pStyle w:val="figurecaption"/>
        <w:numPr>
          <w:ilvl w:val="0"/>
          <w:numId w:val="0"/>
        </w:numPr>
      </w:pPr>
      <w:r w:rsidRPr="005241BA">
        <w:t>Fig</w:t>
      </w:r>
      <w:r w:rsidR="005E2981">
        <w:t>.</w:t>
      </w:r>
      <w:r w:rsidRPr="005241BA">
        <w:t xml:space="preserve"> 1 : Actual vs Predicted Stock Prices</w:t>
      </w:r>
    </w:p>
    <w:p w14:paraId="7C817C7E" w14:textId="487DD120" w:rsidR="00470709" w:rsidRPr="00B40EA5" w:rsidRDefault="00133455" w:rsidP="005E2981">
      <w:pPr>
        <w:pStyle w:val="BodyText"/>
      </w:pPr>
      <w:r w:rsidRPr="00133455">
        <w:t>The line graph in Fig</w:t>
      </w:r>
      <w:r>
        <w:t>.</w:t>
      </w:r>
      <w:r w:rsidRPr="00133455">
        <w:t xml:space="preserve"> 1 that illustrates actual and predicted stock prices over a 30-day time frame shows the power of the Transformer-based forecasting model in determining market trends. The predicted prices follow very closely the actual stock price movements indicating that the model is able to learn and abstract market trends. There are slight differences, particularly in highly volatile markets, where the market price is affected by other factors like news and geopolitical uncertainty, in addition to that behaviour. Overall agreement between the actual and predicted values confirms the model consistency in handling both short-run and long-run movements making it the potential for being a useful tool for financial forecasting.</w:t>
      </w:r>
    </w:p>
    <w:p w14:paraId="0E91F27A" w14:textId="77777777" w:rsidR="00470709" w:rsidRPr="005241BA" w:rsidRDefault="00470709" w:rsidP="00470709">
      <w:pPr>
        <w:pStyle w:val="tablehead"/>
        <w:tabs>
          <w:tab w:val="num" w:pos="1080"/>
        </w:tabs>
      </w:pPr>
      <w:r w:rsidRPr="005241BA">
        <w:t>Table 1: Comparison of MSE, MAPE, and R² values for different forecasting models</w:t>
      </w:r>
    </w:p>
    <w:tbl>
      <w:tblPr>
        <w:tblStyle w:val="TableGrid"/>
        <w:tblW w:w="0" w:type="auto"/>
        <w:jc w:val="center"/>
        <w:tblLook w:val="04A0" w:firstRow="1" w:lastRow="0" w:firstColumn="1" w:lastColumn="0" w:noHBand="0" w:noVBand="1"/>
      </w:tblPr>
      <w:tblGrid>
        <w:gridCol w:w="1372"/>
        <w:gridCol w:w="1115"/>
        <w:gridCol w:w="1138"/>
        <w:gridCol w:w="1074"/>
      </w:tblGrid>
      <w:tr w:rsidR="00470709" w:rsidRPr="00B40EA5" w14:paraId="3DBD6335" w14:textId="77777777" w:rsidTr="00C65EB5">
        <w:trPr>
          <w:jc w:val="center"/>
        </w:trPr>
        <w:tc>
          <w:tcPr>
            <w:tcW w:w="1372" w:type="dxa"/>
          </w:tcPr>
          <w:p w14:paraId="100FD9D0" w14:textId="77777777" w:rsidR="00470709" w:rsidRPr="005E2981" w:rsidRDefault="00470709" w:rsidP="00CC11AF">
            <w:pPr>
              <w:pStyle w:val="tablecolhead"/>
              <w:rPr>
                <w:rFonts w:ascii="Times New Roman" w:hAnsi="Times New Roman" w:cs="Times New Roman"/>
              </w:rPr>
            </w:pPr>
            <w:r w:rsidRPr="005E2981">
              <w:rPr>
                <w:rFonts w:ascii="Times New Roman" w:hAnsi="Times New Roman" w:cs="Times New Roman"/>
              </w:rPr>
              <w:t>Model</w:t>
            </w:r>
          </w:p>
        </w:tc>
        <w:tc>
          <w:tcPr>
            <w:tcW w:w="1115" w:type="dxa"/>
          </w:tcPr>
          <w:p w14:paraId="4B23A979" w14:textId="77777777" w:rsidR="00470709" w:rsidRPr="005E2981" w:rsidRDefault="00470709" w:rsidP="00CC11AF">
            <w:pPr>
              <w:pStyle w:val="tablecolhead"/>
              <w:rPr>
                <w:rFonts w:ascii="Times New Roman" w:hAnsi="Times New Roman" w:cs="Times New Roman"/>
              </w:rPr>
            </w:pPr>
            <w:r w:rsidRPr="005E2981">
              <w:rPr>
                <w:rFonts w:ascii="Times New Roman" w:hAnsi="Times New Roman" w:cs="Times New Roman"/>
              </w:rPr>
              <w:t>MSE</w:t>
            </w:r>
          </w:p>
        </w:tc>
        <w:tc>
          <w:tcPr>
            <w:tcW w:w="1138" w:type="dxa"/>
          </w:tcPr>
          <w:p w14:paraId="3229678A" w14:textId="77777777" w:rsidR="00470709" w:rsidRPr="005E2981" w:rsidRDefault="00470709" w:rsidP="00CC11AF">
            <w:pPr>
              <w:pStyle w:val="tablecolhead"/>
              <w:rPr>
                <w:rFonts w:ascii="Times New Roman" w:hAnsi="Times New Roman" w:cs="Times New Roman"/>
              </w:rPr>
            </w:pPr>
            <w:r w:rsidRPr="005E2981">
              <w:rPr>
                <w:rFonts w:ascii="Times New Roman" w:hAnsi="Times New Roman" w:cs="Times New Roman"/>
              </w:rPr>
              <w:t>MAPE (%)</w:t>
            </w:r>
          </w:p>
        </w:tc>
        <w:tc>
          <w:tcPr>
            <w:tcW w:w="1074" w:type="dxa"/>
          </w:tcPr>
          <w:p w14:paraId="7975F824" w14:textId="77777777" w:rsidR="00470709" w:rsidRPr="005E2981" w:rsidRDefault="00470709" w:rsidP="00CC11AF">
            <w:pPr>
              <w:pStyle w:val="tablecolhead"/>
              <w:rPr>
                <w:rFonts w:ascii="Times New Roman" w:hAnsi="Times New Roman" w:cs="Times New Roman"/>
              </w:rPr>
            </w:pPr>
            <w:r w:rsidRPr="005E2981">
              <w:rPr>
                <w:rFonts w:ascii="Times New Roman" w:hAnsi="Times New Roman" w:cs="Times New Roman"/>
              </w:rPr>
              <w:t>R² Score</w:t>
            </w:r>
          </w:p>
        </w:tc>
      </w:tr>
      <w:tr w:rsidR="00470709" w:rsidRPr="00B40EA5" w14:paraId="3857B497" w14:textId="77777777" w:rsidTr="00C65EB5">
        <w:trPr>
          <w:jc w:val="center"/>
        </w:trPr>
        <w:tc>
          <w:tcPr>
            <w:tcW w:w="1372" w:type="dxa"/>
          </w:tcPr>
          <w:p w14:paraId="2593B1E9"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Transformer</w:t>
            </w:r>
          </w:p>
        </w:tc>
        <w:tc>
          <w:tcPr>
            <w:tcW w:w="1115" w:type="dxa"/>
          </w:tcPr>
          <w:p w14:paraId="2E1D0054"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0.0012</w:t>
            </w:r>
          </w:p>
        </w:tc>
        <w:tc>
          <w:tcPr>
            <w:tcW w:w="1138" w:type="dxa"/>
          </w:tcPr>
          <w:p w14:paraId="29A25156"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2.1</w:t>
            </w:r>
          </w:p>
        </w:tc>
        <w:tc>
          <w:tcPr>
            <w:tcW w:w="1074" w:type="dxa"/>
          </w:tcPr>
          <w:p w14:paraId="53171A45"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0.92</w:t>
            </w:r>
          </w:p>
        </w:tc>
      </w:tr>
      <w:tr w:rsidR="00470709" w:rsidRPr="00B40EA5" w14:paraId="4215EAB6" w14:textId="77777777" w:rsidTr="00C65EB5">
        <w:trPr>
          <w:jc w:val="center"/>
        </w:trPr>
        <w:tc>
          <w:tcPr>
            <w:tcW w:w="1372" w:type="dxa"/>
          </w:tcPr>
          <w:p w14:paraId="17B7D16F"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ARIMA</w:t>
            </w:r>
          </w:p>
        </w:tc>
        <w:tc>
          <w:tcPr>
            <w:tcW w:w="1115" w:type="dxa"/>
          </w:tcPr>
          <w:p w14:paraId="01EA5B3B"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0.0056</w:t>
            </w:r>
          </w:p>
        </w:tc>
        <w:tc>
          <w:tcPr>
            <w:tcW w:w="1138" w:type="dxa"/>
          </w:tcPr>
          <w:p w14:paraId="16BA99FD"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5.3</w:t>
            </w:r>
          </w:p>
        </w:tc>
        <w:tc>
          <w:tcPr>
            <w:tcW w:w="1074" w:type="dxa"/>
          </w:tcPr>
          <w:p w14:paraId="0FB23131"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0.78</w:t>
            </w:r>
          </w:p>
        </w:tc>
      </w:tr>
      <w:tr w:rsidR="00470709" w:rsidRPr="00B40EA5" w14:paraId="2FEF9DCC" w14:textId="77777777" w:rsidTr="00C65EB5">
        <w:trPr>
          <w:jc w:val="center"/>
        </w:trPr>
        <w:tc>
          <w:tcPr>
            <w:tcW w:w="1372" w:type="dxa"/>
          </w:tcPr>
          <w:p w14:paraId="5DDA0DA6"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LSTM</w:t>
            </w:r>
          </w:p>
        </w:tc>
        <w:tc>
          <w:tcPr>
            <w:tcW w:w="1115" w:type="dxa"/>
          </w:tcPr>
          <w:p w14:paraId="114A88BA"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0.0025</w:t>
            </w:r>
          </w:p>
        </w:tc>
        <w:tc>
          <w:tcPr>
            <w:tcW w:w="1138" w:type="dxa"/>
          </w:tcPr>
          <w:p w14:paraId="736BFEDD"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3.7</w:t>
            </w:r>
          </w:p>
        </w:tc>
        <w:tc>
          <w:tcPr>
            <w:tcW w:w="1074" w:type="dxa"/>
          </w:tcPr>
          <w:p w14:paraId="111D6670"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0.86</w:t>
            </w:r>
          </w:p>
        </w:tc>
      </w:tr>
      <w:tr w:rsidR="00470709" w:rsidRPr="00B40EA5" w14:paraId="52CA2F60" w14:textId="77777777" w:rsidTr="00C65EB5">
        <w:trPr>
          <w:jc w:val="center"/>
        </w:trPr>
        <w:tc>
          <w:tcPr>
            <w:tcW w:w="1372" w:type="dxa"/>
          </w:tcPr>
          <w:p w14:paraId="16855D0D"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Random Forest</w:t>
            </w:r>
          </w:p>
        </w:tc>
        <w:tc>
          <w:tcPr>
            <w:tcW w:w="1115" w:type="dxa"/>
          </w:tcPr>
          <w:p w14:paraId="154F6935"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0.0038</w:t>
            </w:r>
          </w:p>
        </w:tc>
        <w:tc>
          <w:tcPr>
            <w:tcW w:w="1138" w:type="dxa"/>
          </w:tcPr>
          <w:p w14:paraId="2283D38C"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4.2</w:t>
            </w:r>
          </w:p>
        </w:tc>
        <w:tc>
          <w:tcPr>
            <w:tcW w:w="1074" w:type="dxa"/>
          </w:tcPr>
          <w:p w14:paraId="36576BAA" w14:textId="77777777" w:rsidR="00470709" w:rsidRPr="005E2981" w:rsidRDefault="00470709" w:rsidP="00CC11AF">
            <w:pPr>
              <w:pStyle w:val="tablecopy"/>
              <w:jc w:val="center"/>
              <w:rPr>
                <w:rFonts w:ascii="Times New Roman" w:hAnsi="Times New Roman" w:cs="Times New Roman"/>
              </w:rPr>
            </w:pPr>
            <w:r w:rsidRPr="005E2981">
              <w:rPr>
                <w:rFonts w:ascii="Times New Roman" w:hAnsi="Times New Roman" w:cs="Times New Roman"/>
              </w:rPr>
              <w:t>0.82</w:t>
            </w:r>
          </w:p>
        </w:tc>
      </w:tr>
    </w:tbl>
    <w:p w14:paraId="31884ED1" w14:textId="0E70F5E0" w:rsidR="00470709" w:rsidRPr="00B40EA5" w:rsidRDefault="00133455" w:rsidP="005E2981">
      <w:pPr>
        <w:pStyle w:val="BodyText"/>
      </w:pPr>
      <w:r w:rsidRPr="00133455">
        <w:t xml:space="preserve">Table 1 above demonstrates that the Transformer model produced the best forecasting performance measures compared to ARIMA, LSTM, or Random Forest models. Notably, the Transformer model has the least Mean Squared Error (MSE) of 0.0012 and a Mean Absolute Percentage Error (MAPE) of 2.1%, meaning that it has the most accurate predictions of the models compared. Furthermore, the Transformer model has the highest R² value of 0.92, which confirms its ability to explain variance in financial data better than the other models. ARIMA has the highest MSE (0.0056) and MAPE (5.3%) measures, which supports its effectiveness when </w:t>
      </w:r>
      <w:proofErr w:type="spellStart"/>
      <w:r w:rsidRPr="00133455">
        <w:t>modeling</w:t>
      </w:r>
      <w:proofErr w:type="spellEnd"/>
      <w:r w:rsidRPr="00133455">
        <w:t xml:space="preserve"> complex financial time series. In comparison to ARIMA, MAPE (3.7%) and R² value (0.86) of the LSTM model were superior but not as superior as the Transformer model. The Random Forest model performs reasonably well, but its MSE value (0.0038) and R² score (0.82) clearly show that it, too, does not perform well in </w:t>
      </w:r>
      <w:proofErr w:type="spellStart"/>
      <w:r w:rsidRPr="00133455">
        <w:t>modeling</w:t>
      </w:r>
      <w:proofErr w:type="spellEnd"/>
      <w:r w:rsidRPr="00133455">
        <w:t xml:space="preserve"> long-term dependencies as deep-learning based models do. Overall, these results support the self-attention mechanism and consider that Transformers can better capture both short-term volatility and long-term market trends that makes them more effective for financial forecasting.</w:t>
      </w:r>
    </w:p>
    <w:p w14:paraId="554472B4" w14:textId="77777777" w:rsidR="00470709" w:rsidRPr="00FD0B1E" w:rsidRDefault="00470709" w:rsidP="005E2981">
      <w:pPr>
        <w:pStyle w:val="Heading2"/>
        <w:rPr>
          <w:i w:val="0"/>
          <w:iCs w:val="0"/>
        </w:rPr>
      </w:pPr>
      <w:r w:rsidRPr="00FD0B1E">
        <w:t xml:space="preserve">Model </w:t>
      </w:r>
      <w:r w:rsidRPr="005E2981">
        <w:t>Interpretability</w:t>
      </w:r>
      <w:r w:rsidRPr="00FD0B1E">
        <w:t xml:space="preserve"> and Key Feature Analysis</w:t>
      </w:r>
    </w:p>
    <w:p w14:paraId="3DF147DF" w14:textId="5DC87BB8" w:rsidR="00470709" w:rsidRPr="00B40EA5" w:rsidRDefault="00133455" w:rsidP="0020318A">
      <w:pPr>
        <w:pStyle w:val="BodyText"/>
      </w:pPr>
      <w:r w:rsidRPr="00133455">
        <w:t>SHAP values for all the respective features were calculated to determine the most influential factors that altered the model's predictions as a function of time. The resulting summary plots indicated that recent price and volume of trading were the strongest predictors in short-term forecasts. Macroeconomic variables (i.e. inflation rates, interest rates, GDP growth) played the bulk of the role to long-term trends in the market. Volatility indices exhibited some implication on the market's dynamics in periods of heightened volatility. In compromise of overall analysis, the summary plot by SHAP demonstrated the model was balancing the various features appropriately as a function of the horizon on prediction and the fact that the Transformer was learning from a thumbprint of financial indicators.</w:t>
      </w:r>
    </w:p>
    <w:p w14:paraId="6C5EFFBD" w14:textId="08C5564D" w:rsidR="00470709" w:rsidRPr="00B40EA5" w:rsidRDefault="00751ABD" w:rsidP="00470709">
      <w:pPr>
        <w:spacing w:after="120" w:line="228" w:lineRule="auto"/>
        <w:jc w:val="both"/>
      </w:pPr>
      <w:r w:rsidRPr="00B8425F">
        <w:rPr>
          <w:noProof/>
        </w:rPr>
        <w:drawing>
          <wp:inline distT="0" distB="0" distL="0" distR="0" wp14:anchorId="248322C7" wp14:editId="5381E55E">
            <wp:extent cx="2933700" cy="163830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1638300"/>
                    </a:xfrm>
                    <a:prstGeom prst="rect">
                      <a:avLst/>
                    </a:prstGeom>
                    <a:noFill/>
                    <a:ln>
                      <a:noFill/>
                    </a:ln>
                  </pic:spPr>
                </pic:pic>
              </a:graphicData>
            </a:graphic>
          </wp:inline>
        </w:drawing>
      </w:r>
    </w:p>
    <w:p w14:paraId="1385EBAD" w14:textId="3210D62F" w:rsidR="00470709" w:rsidRPr="005241BA" w:rsidRDefault="00470709" w:rsidP="005E2981">
      <w:pPr>
        <w:pStyle w:val="figurecaption"/>
        <w:numPr>
          <w:ilvl w:val="0"/>
          <w:numId w:val="0"/>
        </w:numPr>
      </w:pPr>
      <w:r w:rsidRPr="005241BA">
        <w:t>Fig</w:t>
      </w:r>
      <w:r w:rsidR="005E2981">
        <w:t>.</w:t>
      </w:r>
      <w:r w:rsidRPr="005241BA">
        <w:t xml:space="preserve"> 2 : SHAP Summary plot</w:t>
      </w:r>
    </w:p>
    <w:p w14:paraId="13AF02A0" w14:textId="79E30FE9" w:rsidR="00470709" w:rsidRPr="00B40EA5" w:rsidRDefault="0021246A" w:rsidP="00F854B0">
      <w:pPr>
        <w:pStyle w:val="BodyText"/>
      </w:pPr>
      <w:r w:rsidRPr="0021246A">
        <w:t>The SHAP summary plot shown in Fig</w:t>
      </w:r>
      <w:r>
        <w:t>.</w:t>
      </w:r>
      <w:r w:rsidRPr="0021246A">
        <w:t xml:space="preserve"> 2 provides more sample interpretability by demonstrating which of the most influential features for the model prediction.</w:t>
      </w:r>
      <w:r>
        <w:t xml:space="preserve"> T</w:t>
      </w:r>
      <w:r w:rsidRPr="0021246A">
        <w:t>he prediction model indicated that recent changes in price contribute the most to predictions, followed by volume, thus market activity is an important factor for future price movement. In addition to price changes and volume, macroeconomic factors such as interest rates and sentiment are also important factors, supporting the importance of fundamentals in financial prediction. The volatility index (VIX) is also recognized as a major factor, showing increased uncertainty will affect stock price volatility. Overall analysis of SHAP, in relation to its influence on stock price, substantiates that the model is not just predicting based on random data but rather is learning from significant financial metrics, therefore purporting to financial analysts that the model is reliable and explainable.</w:t>
      </w:r>
    </w:p>
    <w:p w14:paraId="3C045F22" w14:textId="77777777" w:rsidR="00470709" w:rsidRPr="00FD0B1E" w:rsidRDefault="00470709" w:rsidP="0068462F">
      <w:pPr>
        <w:pStyle w:val="Heading2"/>
        <w:rPr>
          <w:i w:val="0"/>
          <w:iCs w:val="0"/>
        </w:rPr>
      </w:pPr>
      <w:r w:rsidRPr="00FD0B1E">
        <w:t xml:space="preserve">Comparison with </w:t>
      </w:r>
      <w:r w:rsidRPr="0068462F">
        <w:t>Benchmark</w:t>
      </w:r>
      <w:r w:rsidRPr="00FD0B1E">
        <w:t xml:space="preserve"> Models</w:t>
      </w:r>
    </w:p>
    <w:p w14:paraId="0EC27F3C" w14:textId="641D9098" w:rsidR="00470709" w:rsidRPr="007616C6" w:rsidRDefault="00470709" w:rsidP="00470709">
      <w:pPr>
        <w:spacing w:after="120" w:line="228" w:lineRule="auto"/>
        <w:jc w:val="both"/>
      </w:pPr>
      <w:r w:rsidRPr="007616C6">
        <w:t>To c</w:t>
      </w:r>
      <w:r w:rsidR="0012048E">
        <w:t>heck</w:t>
      </w:r>
      <w:r w:rsidRPr="007616C6">
        <w:t xml:space="preserve"> the performance of the Transformer model with conventional and deep learning models, its performance was compared with the following:</w:t>
      </w:r>
    </w:p>
    <w:p w14:paraId="5697D924" w14:textId="77777777" w:rsidR="00470709" w:rsidRPr="007616C6" w:rsidRDefault="00470709" w:rsidP="00751ABD">
      <w:pPr>
        <w:pStyle w:val="ListParagraph"/>
        <w:numPr>
          <w:ilvl w:val="0"/>
          <w:numId w:val="8"/>
        </w:numPr>
        <w:spacing w:after="120" w:line="228" w:lineRule="auto"/>
        <w:jc w:val="both"/>
        <w:rPr>
          <w:rFonts w:ascii="Times New Roman" w:hAnsi="Times New Roman" w:cs="Times New Roman"/>
          <w:sz w:val="20"/>
          <w:szCs w:val="20"/>
        </w:rPr>
      </w:pPr>
      <w:r w:rsidRPr="007616C6">
        <w:rPr>
          <w:rFonts w:ascii="Times New Roman" w:hAnsi="Times New Roman" w:cs="Times New Roman"/>
          <w:sz w:val="20"/>
          <w:szCs w:val="20"/>
        </w:rPr>
        <w:t>ARIMA (Autoregressive Integrated Moving Average)</w:t>
      </w:r>
    </w:p>
    <w:p w14:paraId="1A722AB3" w14:textId="77777777" w:rsidR="00470709" w:rsidRPr="007616C6" w:rsidRDefault="00470709" w:rsidP="00751ABD">
      <w:pPr>
        <w:pStyle w:val="ListParagraph"/>
        <w:numPr>
          <w:ilvl w:val="0"/>
          <w:numId w:val="8"/>
        </w:numPr>
        <w:spacing w:after="120" w:line="228" w:lineRule="auto"/>
        <w:jc w:val="both"/>
        <w:rPr>
          <w:rFonts w:ascii="Times New Roman" w:hAnsi="Times New Roman" w:cs="Times New Roman"/>
          <w:sz w:val="20"/>
          <w:szCs w:val="20"/>
        </w:rPr>
      </w:pPr>
      <w:r w:rsidRPr="007616C6">
        <w:rPr>
          <w:rFonts w:ascii="Times New Roman" w:hAnsi="Times New Roman" w:cs="Times New Roman"/>
          <w:sz w:val="20"/>
          <w:szCs w:val="20"/>
        </w:rPr>
        <w:t>LSTM (Long Short-Term Memory Network)</w:t>
      </w:r>
    </w:p>
    <w:p w14:paraId="28DCC8BB" w14:textId="77777777" w:rsidR="00470709" w:rsidRPr="007616C6" w:rsidRDefault="00470709" w:rsidP="00751ABD">
      <w:pPr>
        <w:pStyle w:val="ListParagraph"/>
        <w:numPr>
          <w:ilvl w:val="0"/>
          <w:numId w:val="8"/>
        </w:numPr>
        <w:spacing w:after="120" w:line="228" w:lineRule="auto"/>
        <w:jc w:val="both"/>
        <w:rPr>
          <w:rFonts w:ascii="Times New Roman" w:hAnsi="Times New Roman" w:cs="Times New Roman"/>
          <w:sz w:val="20"/>
          <w:szCs w:val="20"/>
        </w:rPr>
      </w:pPr>
      <w:r w:rsidRPr="007616C6">
        <w:rPr>
          <w:rFonts w:ascii="Times New Roman" w:hAnsi="Times New Roman" w:cs="Times New Roman"/>
          <w:sz w:val="20"/>
          <w:szCs w:val="20"/>
        </w:rPr>
        <w:t>Random Forest Regression</w:t>
      </w:r>
    </w:p>
    <w:p w14:paraId="390D6E26" w14:textId="77777777" w:rsidR="00470709" w:rsidRPr="007616C6" w:rsidRDefault="00470709" w:rsidP="00470709">
      <w:pPr>
        <w:spacing w:after="120" w:line="228" w:lineRule="auto"/>
        <w:jc w:val="both"/>
      </w:pPr>
      <w:r w:rsidRPr="007616C6">
        <w:t xml:space="preserve">Key Observations from the </w:t>
      </w:r>
      <w:r w:rsidRPr="00A42E9D">
        <w:rPr>
          <w:highlight w:val="yellow"/>
        </w:rPr>
        <w:t>Comparison:</w:t>
      </w:r>
    </w:p>
    <w:p w14:paraId="0F42D24E" w14:textId="77777777" w:rsidR="00156617" w:rsidRPr="00156617" w:rsidRDefault="00156617" w:rsidP="00156617">
      <w:pPr>
        <w:pStyle w:val="BodyText"/>
        <w:numPr>
          <w:ilvl w:val="0"/>
          <w:numId w:val="12"/>
        </w:numPr>
        <w:rPr>
          <w:rFonts w:eastAsia="Calibri"/>
          <w:spacing w:val="0"/>
          <w:kern w:val="2"/>
          <w:lang w:val="en-IN" w:eastAsia="en-US"/>
        </w:rPr>
      </w:pPr>
      <w:r w:rsidRPr="00156617">
        <w:rPr>
          <w:rFonts w:eastAsia="Calibri"/>
          <w:spacing w:val="0"/>
          <w:kern w:val="2"/>
          <w:lang w:val="en-IN" w:eastAsia="en-US"/>
        </w:rPr>
        <w:t xml:space="preserve">Prediction Accuracy: The Transformer model is better than the ARIMA and LSTM at long-term dependencies with 15-20% lower MAPE on several datasets against other </w:t>
      </w:r>
      <w:proofErr w:type="spellStart"/>
      <w:r w:rsidRPr="00156617">
        <w:rPr>
          <w:rFonts w:eastAsia="Calibri"/>
          <w:spacing w:val="0"/>
          <w:kern w:val="2"/>
          <w:lang w:val="en-IN" w:eastAsia="en-US"/>
        </w:rPr>
        <w:t>modelsComputational</w:t>
      </w:r>
      <w:proofErr w:type="spellEnd"/>
      <w:r w:rsidRPr="00156617">
        <w:rPr>
          <w:rFonts w:eastAsia="Calibri"/>
          <w:spacing w:val="0"/>
          <w:kern w:val="2"/>
          <w:lang w:val="en-IN" w:eastAsia="en-US"/>
        </w:rPr>
        <w:t xml:space="preserve"> Efficiency: The Transformer model is scalable to </w:t>
      </w:r>
      <w:r w:rsidRPr="00156617">
        <w:rPr>
          <w:rFonts w:eastAsia="Calibri"/>
          <w:spacing w:val="0"/>
          <w:kern w:val="2"/>
          <w:lang w:val="en-IN" w:eastAsia="en-US"/>
        </w:rPr>
        <w:lastRenderedPageBreak/>
        <w:t>large datasets compared to LSTM despite requiring more computational power than the ARIMA model.</w:t>
      </w:r>
    </w:p>
    <w:p w14:paraId="118AB981" w14:textId="77777777" w:rsidR="00156617" w:rsidRPr="00156617" w:rsidRDefault="00156617" w:rsidP="00156617">
      <w:pPr>
        <w:pStyle w:val="BodyText"/>
        <w:numPr>
          <w:ilvl w:val="0"/>
          <w:numId w:val="12"/>
        </w:numPr>
        <w:rPr>
          <w:rFonts w:eastAsia="Calibri"/>
          <w:spacing w:val="0"/>
          <w:kern w:val="2"/>
          <w:lang w:val="en-IN" w:eastAsia="en-US"/>
        </w:rPr>
      </w:pPr>
      <w:r w:rsidRPr="00156617">
        <w:rPr>
          <w:rFonts w:eastAsia="Calibri"/>
          <w:spacing w:val="0"/>
          <w:kern w:val="2"/>
          <w:lang w:val="en-IN" w:eastAsia="en-US"/>
        </w:rPr>
        <w:t xml:space="preserve">Market Shock Robustness: The transformers are better equipped than the standard models to overcome an abrupt market shock because they apply </w:t>
      </w:r>
      <w:proofErr w:type="spellStart"/>
      <w:r w:rsidRPr="00156617">
        <w:rPr>
          <w:rFonts w:eastAsia="Calibri"/>
          <w:spacing w:val="0"/>
          <w:kern w:val="2"/>
          <w:lang w:val="en-IN" w:eastAsia="en-US"/>
        </w:rPr>
        <w:t>self attention</w:t>
      </w:r>
      <w:proofErr w:type="spellEnd"/>
      <w:r w:rsidRPr="00156617">
        <w:rPr>
          <w:rFonts w:eastAsia="Calibri"/>
          <w:spacing w:val="0"/>
          <w:kern w:val="2"/>
          <w:lang w:val="en-IN" w:eastAsia="en-US"/>
        </w:rPr>
        <w:t>.</w:t>
      </w:r>
    </w:p>
    <w:p w14:paraId="11FB4210" w14:textId="77777777" w:rsidR="00156617" w:rsidRPr="00156617" w:rsidRDefault="00156617" w:rsidP="00156617">
      <w:pPr>
        <w:pStyle w:val="BodyText"/>
        <w:numPr>
          <w:ilvl w:val="0"/>
          <w:numId w:val="12"/>
        </w:numPr>
        <w:rPr>
          <w:rFonts w:eastAsia="Calibri"/>
          <w:spacing w:val="0"/>
          <w:kern w:val="2"/>
          <w:lang w:val="en-IN" w:eastAsia="en-US"/>
        </w:rPr>
      </w:pPr>
      <w:r w:rsidRPr="00156617">
        <w:rPr>
          <w:rFonts w:eastAsia="Calibri"/>
          <w:spacing w:val="0"/>
          <w:kern w:val="2"/>
          <w:lang w:val="en-IN" w:eastAsia="en-US"/>
        </w:rPr>
        <w:t xml:space="preserve">Interpretability: SHAP and attention heatmaps are used to give better explanations of feature importance </w:t>
      </w:r>
      <w:r w:rsidRPr="00156617">
        <w:rPr>
          <w:rFonts w:eastAsia="Calibri"/>
          <w:spacing w:val="0"/>
          <w:kern w:val="2"/>
          <w:lang w:val="en-IN" w:eastAsia="en-US"/>
        </w:rPr>
        <w:t xml:space="preserve">and model decision-making to Transformer as compared to ARIMA and </w:t>
      </w:r>
      <w:proofErr w:type="gramStart"/>
      <w:r w:rsidRPr="00156617">
        <w:rPr>
          <w:rFonts w:eastAsia="Calibri"/>
          <w:spacing w:val="0"/>
          <w:kern w:val="2"/>
          <w:lang w:val="en-IN" w:eastAsia="en-US"/>
        </w:rPr>
        <w:t>LSTM, but</w:t>
      </w:r>
      <w:proofErr w:type="gramEnd"/>
      <w:r w:rsidRPr="00156617">
        <w:rPr>
          <w:rFonts w:eastAsia="Calibri"/>
          <w:spacing w:val="0"/>
          <w:kern w:val="2"/>
          <w:lang w:val="en-IN" w:eastAsia="en-US"/>
        </w:rPr>
        <w:t xml:space="preserve"> are less transparent.</w:t>
      </w:r>
    </w:p>
    <w:p w14:paraId="0645BB90" w14:textId="6BCD0A8C" w:rsidR="00C9048A" w:rsidRDefault="00156617" w:rsidP="00156617">
      <w:pPr>
        <w:pStyle w:val="BodyText"/>
        <w:sectPr w:rsidR="00C9048A" w:rsidSect="003B4E04">
          <w:type w:val="continuous"/>
          <w:pgSz w:w="11906" w:h="16838" w:code="9"/>
          <w:pgMar w:top="1080" w:right="907" w:bottom="1440" w:left="907" w:header="720" w:footer="720" w:gutter="0"/>
          <w:cols w:num="2" w:space="360"/>
          <w:docGrid w:linePitch="360"/>
        </w:sectPr>
      </w:pPr>
      <w:r w:rsidRPr="00156617">
        <w:rPr>
          <w:rFonts w:eastAsia="Calibri"/>
          <w:spacing w:val="0"/>
          <w:kern w:val="2"/>
          <w:lang w:val="en-IN" w:eastAsia="en-US"/>
        </w:rPr>
        <w:t>These results authenticate the fact that Transformer model with good accuracy and interpretability is a better choice compared to the conventional models of financial predictions.</w:t>
      </w:r>
    </w:p>
    <w:p w14:paraId="7D284989" w14:textId="0D5A3FD5" w:rsidR="00470709" w:rsidRDefault="00470709" w:rsidP="00C9048A">
      <w:pPr>
        <w:pStyle w:val="tablehead"/>
        <w:tabs>
          <w:tab w:val="num" w:pos="1080"/>
        </w:tabs>
        <w:spacing w:after="0"/>
      </w:pPr>
      <w:r w:rsidRPr="005241BA">
        <w:t xml:space="preserve">Table </w:t>
      </w:r>
      <w:r w:rsidR="005E4985">
        <w:t>I</w:t>
      </w:r>
      <w:r w:rsidR="0068462F">
        <w:t>I.</w:t>
      </w:r>
      <w:r w:rsidRPr="005241BA">
        <w:t xml:space="preserve"> Performance comparison of Transformer, ARIMA, LSTM, and Random Forest</w:t>
      </w:r>
      <w:r>
        <w:t xml:space="preserve"> MODELS</w:t>
      </w:r>
    </w:p>
    <w:p w14:paraId="3C393D28" w14:textId="77777777" w:rsidR="00C9048A" w:rsidRDefault="00C9048A" w:rsidP="00F854B0">
      <w:pPr>
        <w:pStyle w:val="tablehead"/>
        <w:tabs>
          <w:tab w:val="num" w:pos="1080"/>
        </w:tabs>
        <w:spacing w:before="0" w:after="0"/>
        <w:jc w:val="both"/>
        <w:sectPr w:rsidR="00C9048A" w:rsidSect="00C9048A">
          <w:type w:val="continuous"/>
          <w:pgSz w:w="11906" w:h="16838" w:code="9"/>
          <w:pgMar w:top="1080" w:right="907" w:bottom="1440" w:left="907" w:header="720" w:footer="720" w:gutter="0"/>
          <w:cols w:space="360"/>
          <w:docGrid w:linePitch="360"/>
        </w:sectPr>
      </w:pPr>
    </w:p>
    <w:p w14:paraId="7BB287E8" w14:textId="77777777" w:rsidR="00C9048A" w:rsidRDefault="00C9048A" w:rsidP="00F854B0">
      <w:pPr>
        <w:pStyle w:val="tablehead"/>
        <w:tabs>
          <w:tab w:val="num" w:pos="1080"/>
        </w:tabs>
        <w:spacing w:before="0" w:after="0"/>
        <w:jc w:val="both"/>
      </w:pPr>
    </w:p>
    <w:p w14:paraId="40070D87" w14:textId="77777777" w:rsidR="00C9048A" w:rsidRDefault="00C9048A" w:rsidP="00C9048A">
      <w:pPr>
        <w:rPr>
          <w:rFonts w:eastAsia="Calibri"/>
          <w:b/>
          <w:bCs/>
          <w:color w:val="000000"/>
          <w:kern w:val="2"/>
          <w:sz w:val="16"/>
          <w:szCs w:val="16"/>
          <w:lang w:eastAsia="en-IN" w:bidi="hi-IN"/>
        </w:rPr>
        <w:sectPr w:rsidR="00C9048A" w:rsidSect="003B4E04">
          <w:type w:val="continuous"/>
          <w:pgSz w:w="11906" w:h="16838" w:code="9"/>
          <w:pgMar w:top="1080" w:right="907" w:bottom="1440" w:left="907" w:header="720" w:footer="720" w:gutter="0"/>
          <w:cols w:num="2" w:space="360"/>
          <w:docGrid w:linePitch="360"/>
        </w:sectPr>
      </w:pPr>
    </w:p>
    <w:tbl>
      <w:tblPr>
        <w:tblW w:w="0" w:type="auto"/>
        <w:tblInd w:w="113" w:type="dxa"/>
        <w:tblLook w:val="04A0" w:firstRow="1" w:lastRow="0" w:firstColumn="1" w:lastColumn="0" w:noHBand="0" w:noVBand="1"/>
      </w:tblPr>
      <w:tblGrid>
        <w:gridCol w:w="1212"/>
        <w:gridCol w:w="2313"/>
        <w:gridCol w:w="2037"/>
        <w:gridCol w:w="2057"/>
        <w:gridCol w:w="2350"/>
      </w:tblGrid>
      <w:tr w:rsidR="00C9048A" w:rsidRPr="00C9048A" w14:paraId="156BEE7D" w14:textId="77777777" w:rsidTr="00C9048A">
        <w:trPr>
          <w:trHeight w:val="98"/>
        </w:trPr>
        <w:tc>
          <w:tcPr>
            <w:tcW w:w="0" w:type="auto"/>
            <w:tcBorders>
              <w:top w:val="single" w:sz="4" w:space="0" w:color="auto"/>
              <w:left w:val="single" w:sz="4" w:space="0" w:color="auto"/>
              <w:bottom w:val="single" w:sz="4" w:space="0" w:color="auto"/>
              <w:right w:val="single" w:sz="4" w:space="0" w:color="auto"/>
            </w:tcBorders>
            <w:vAlign w:val="center"/>
            <w:hideMark/>
          </w:tcPr>
          <w:p w14:paraId="7C1209B3" w14:textId="77777777" w:rsidR="00C9048A" w:rsidRPr="00C9048A" w:rsidRDefault="00C9048A" w:rsidP="00C9048A">
            <w:pPr>
              <w:rPr>
                <w:rFonts w:eastAsia="Times New Roman"/>
                <w:b/>
                <w:bCs/>
                <w:color w:val="000000"/>
                <w:sz w:val="16"/>
                <w:szCs w:val="16"/>
                <w:lang w:val="en-IN" w:eastAsia="en-IN" w:bidi="hi-IN"/>
              </w:rPr>
            </w:pPr>
            <w:r w:rsidRPr="00C9048A">
              <w:rPr>
                <w:rFonts w:eastAsia="Calibri"/>
                <w:b/>
                <w:bCs/>
                <w:color w:val="000000"/>
                <w:kern w:val="2"/>
                <w:sz w:val="16"/>
                <w:szCs w:val="16"/>
                <w:lang w:eastAsia="en-IN" w:bidi="hi-IN"/>
              </w:rPr>
              <w:t>Model</w:t>
            </w:r>
          </w:p>
        </w:tc>
        <w:tc>
          <w:tcPr>
            <w:tcW w:w="0" w:type="auto"/>
            <w:tcBorders>
              <w:top w:val="single" w:sz="4" w:space="0" w:color="auto"/>
              <w:left w:val="nil"/>
              <w:bottom w:val="single" w:sz="4" w:space="0" w:color="auto"/>
              <w:right w:val="single" w:sz="4" w:space="0" w:color="auto"/>
            </w:tcBorders>
            <w:vAlign w:val="center"/>
            <w:hideMark/>
          </w:tcPr>
          <w:p w14:paraId="5B0B09B1" w14:textId="77777777" w:rsidR="00C9048A" w:rsidRPr="00C9048A" w:rsidRDefault="00C9048A" w:rsidP="00C9048A">
            <w:pPr>
              <w:rPr>
                <w:rFonts w:eastAsia="Times New Roman"/>
                <w:b/>
                <w:bCs/>
                <w:color w:val="000000"/>
                <w:sz w:val="16"/>
                <w:szCs w:val="16"/>
                <w:lang w:val="en-IN" w:eastAsia="en-IN" w:bidi="hi-IN"/>
              </w:rPr>
            </w:pPr>
            <w:r w:rsidRPr="00C9048A">
              <w:rPr>
                <w:rFonts w:eastAsia="Calibri"/>
                <w:b/>
                <w:bCs/>
                <w:color w:val="000000"/>
                <w:kern w:val="2"/>
                <w:sz w:val="16"/>
                <w:szCs w:val="16"/>
                <w:lang w:eastAsia="en-IN" w:bidi="hi-IN"/>
              </w:rPr>
              <w:t>Prediction Accuracy</w:t>
            </w:r>
          </w:p>
        </w:tc>
        <w:tc>
          <w:tcPr>
            <w:tcW w:w="0" w:type="auto"/>
            <w:tcBorders>
              <w:top w:val="single" w:sz="4" w:space="0" w:color="auto"/>
              <w:left w:val="nil"/>
              <w:bottom w:val="single" w:sz="4" w:space="0" w:color="auto"/>
              <w:right w:val="single" w:sz="4" w:space="0" w:color="auto"/>
            </w:tcBorders>
            <w:vAlign w:val="center"/>
            <w:hideMark/>
          </w:tcPr>
          <w:p w14:paraId="517FBA45" w14:textId="77777777" w:rsidR="00C9048A" w:rsidRPr="00C9048A" w:rsidRDefault="00C9048A" w:rsidP="00C9048A">
            <w:pPr>
              <w:rPr>
                <w:rFonts w:eastAsia="Times New Roman"/>
                <w:b/>
                <w:bCs/>
                <w:color w:val="000000"/>
                <w:sz w:val="16"/>
                <w:szCs w:val="16"/>
                <w:lang w:val="en-IN" w:eastAsia="en-IN" w:bidi="hi-IN"/>
              </w:rPr>
            </w:pPr>
            <w:r w:rsidRPr="00C9048A">
              <w:rPr>
                <w:rFonts w:eastAsia="Calibri"/>
                <w:b/>
                <w:bCs/>
                <w:color w:val="000000"/>
                <w:kern w:val="2"/>
                <w:sz w:val="16"/>
                <w:szCs w:val="16"/>
                <w:lang w:eastAsia="en-IN" w:bidi="hi-IN"/>
              </w:rPr>
              <w:t>Computational Efficiency</w:t>
            </w:r>
          </w:p>
        </w:tc>
        <w:tc>
          <w:tcPr>
            <w:tcW w:w="0" w:type="auto"/>
            <w:tcBorders>
              <w:top w:val="single" w:sz="4" w:space="0" w:color="auto"/>
              <w:left w:val="nil"/>
              <w:bottom w:val="single" w:sz="4" w:space="0" w:color="auto"/>
              <w:right w:val="single" w:sz="4" w:space="0" w:color="auto"/>
            </w:tcBorders>
            <w:vAlign w:val="center"/>
            <w:hideMark/>
          </w:tcPr>
          <w:p w14:paraId="2C19C348" w14:textId="77777777" w:rsidR="00C9048A" w:rsidRPr="00C9048A" w:rsidRDefault="00C9048A" w:rsidP="00C9048A">
            <w:pPr>
              <w:rPr>
                <w:rFonts w:eastAsia="Times New Roman"/>
                <w:b/>
                <w:bCs/>
                <w:color w:val="000000"/>
                <w:sz w:val="16"/>
                <w:szCs w:val="16"/>
                <w:lang w:val="en-IN" w:eastAsia="en-IN" w:bidi="hi-IN"/>
              </w:rPr>
            </w:pPr>
            <w:r w:rsidRPr="00C9048A">
              <w:rPr>
                <w:rFonts w:eastAsia="Calibri"/>
                <w:b/>
                <w:bCs/>
                <w:color w:val="000000"/>
                <w:kern w:val="2"/>
                <w:sz w:val="16"/>
                <w:szCs w:val="16"/>
                <w:lang w:eastAsia="en-IN" w:bidi="hi-IN"/>
              </w:rPr>
              <w:t>Robustness To Market Shocks</w:t>
            </w:r>
          </w:p>
        </w:tc>
        <w:tc>
          <w:tcPr>
            <w:tcW w:w="0" w:type="auto"/>
            <w:tcBorders>
              <w:top w:val="single" w:sz="4" w:space="0" w:color="auto"/>
              <w:left w:val="nil"/>
              <w:bottom w:val="single" w:sz="4" w:space="0" w:color="auto"/>
              <w:right w:val="single" w:sz="4" w:space="0" w:color="auto"/>
            </w:tcBorders>
            <w:vAlign w:val="center"/>
            <w:hideMark/>
          </w:tcPr>
          <w:p w14:paraId="73656F4E" w14:textId="77777777" w:rsidR="00C9048A" w:rsidRPr="00C9048A" w:rsidRDefault="00C9048A" w:rsidP="00C9048A">
            <w:pPr>
              <w:rPr>
                <w:rFonts w:eastAsia="Times New Roman"/>
                <w:b/>
                <w:bCs/>
                <w:color w:val="000000"/>
                <w:sz w:val="16"/>
                <w:szCs w:val="16"/>
                <w:lang w:val="en-IN" w:eastAsia="en-IN" w:bidi="hi-IN"/>
              </w:rPr>
            </w:pPr>
            <w:r w:rsidRPr="00C9048A">
              <w:rPr>
                <w:rFonts w:eastAsia="Calibri"/>
                <w:b/>
                <w:bCs/>
                <w:color w:val="000000"/>
                <w:kern w:val="2"/>
                <w:sz w:val="16"/>
                <w:szCs w:val="16"/>
                <w:lang w:eastAsia="en-IN" w:bidi="hi-IN"/>
              </w:rPr>
              <w:t>Interpretability</w:t>
            </w:r>
          </w:p>
        </w:tc>
      </w:tr>
      <w:tr w:rsidR="00C9048A" w:rsidRPr="00C9048A" w14:paraId="4BF71B35" w14:textId="77777777" w:rsidTr="00C9048A">
        <w:trPr>
          <w:trHeight w:val="132"/>
        </w:trPr>
        <w:tc>
          <w:tcPr>
            <w:tcW w:w="0" w:type="auto"/>
            <w:tcBorders>
              <w:top w:val="nil"/>
              <w:left w:val="single" w:sz="4" w:space="0" w:color="auto"/>
              <w:bottom w:val="single" w:sz="4" w:space="0" w:color="auto"/>
              <w:right w:val="single" w:sz="4" w:space="0" w:color="auto"/>
            </w:tcBorders>
            <w:vAlign w:val="center"/>
            <w:hideMark/>
          </w:tcPr>
          <w:p w14:paraId="68A8DB4B" w14:textId="77777777" w:rsidR="00C9048A" w:rsidRPr="00C9048A" w:rsidRDefault="00C9048A" w:rsidP="00C9048A">
            <w:pPr>
              <w:rPr>
                <w:rFonts w:eastAsia="Times New Roman"/>
                <w:b/>
                <w:bCs/>
                <w:color w:val="000000"/>
                <w:sz w:val="16"/>
                <w:szCs w:val="16"/>
                <w:lang w:val="en-IN" w:eastAsia="en-IN" w:bidi="hi-IN"/>
              </w:rPr>
            </w:pPr>
            <w:r w:rsidRPr="00C9048A">
              <w:rPr>
                <w:rFonts w:eastAsia="Calibri"/>
                <w:b/>
                <w:bCs/>
                <w:color w:val="000000"/>
                <w:kern w:val="2"/>
                <w:sz w:val="16"/>
                <w:szCs w:val="16"/>
                <w:lang w:eastAsia="en-IN" w:bidi="hi-IN"/>
              </w:rPr>
              <w:t>Transformer</w:t>
            </w:r>
          </w:p>
        </w:tc>
        <w:tc>
          <w:tcPr>
            <w:tcW w:w="0" w:type="auto"/>
            <w:tcBorders>
              <w:top w:val="nil"/>
              <w:left w:val="nil"/>
              <w:bottom w:val="single" w:sz="4" w:space="0" w:color="auto"/>
              <w:right w:val="single" w:sz="4" w:space="0" w:color="auto"/>
            </w:tcBorders>
            <w:vAlign w:val="center"/>
            <w:hideMark/>
          </w:tcPr>
          <w:p w14:paraId="30F1BAB1"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High (Lowest MSE &amp; MAPE)</w:t>
            </w:r>
          </w:p>
        </w:tc>
        <w:tc>
          <w:tcPr>
            <w:tcW w:w="0" w:type="auto"/>
            <w:tcBorders>
              <w:top w:val="nil"/>
              <w:left w:val="nil"/>
              <w:bottom w:val="single" w:sz="4" w:space="0" w:color="auto"/>
              <w:right w:val="single" w:sz="4" w:space="0" w:color="auto"/>
            </w:tcBorders>
            <w:vAlign w:val="center"/>
            <w:hideMark/>
          </w:tcPr>
          <w:p w14:paraId="4493E819"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Moderate (Requires GPUs)</w:t>
            </w:r>
          </w:p>
        </w:tc>
        <w:tc>
          <w:tcPr>
            <w:tcW w:w="0" w:type="auto"/>
            <w:tcBorders>
              <w:top w:val="nil"/>
              <w:left w:val="nil"/>
              <w:bottom w:val="single" w:sz="4" w:space="0" w:color="auto"/>
              <w:right w:val="single" w:sz="4" w:space="0" w:color="auto"/>
            </w:tcBorders>
            <w:vAlign w:val="center"/>
            <w:hideMark/>
          </w:tcPr>
          <w:p w14:paraId="793BF214"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High (Handles volatility well)</w:t>
            </w:r>
          </w:p>
        </w:tc>
        <w:tc>
          <w:tcPr>
            <w:tcW w:w="0" w:type="auto"/>
            <w:tcBorders>
              <w:top w:val="nil"/>
              <w:left w:val="nil"/>
              <w:bottom w:val="single" w:sz="4" w:space="0" w:color="auto"/>
              <w:right w:val="single" w:sz="4" w:space="0" w:color="auto"/>
            </w:tcBorders>
            <w:vAlign w:val="center"/>
            <w:hideMark/>
          </w:tcPr>
          <w:p w14:paraId="0BC2D1CB"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Moderate (With SHAP &amp; Attention Maps)</w:t>
            </w:r>
          </w:p>
        </w:tc>
      </w:tr>
      <w:tr w:rsidR="00C9048A" w:rsidRPr="00C9048A" w14:paraId="3EB4A8B4" w14:textId="77777777" w:rsidTr="00C9048A">
        <w:trPr>
          <w:trHeight w:val="106"/>
        </w:trPr>
        <w:tc>
          <w:tcPr>
            <w:tcW w:w="0" w:type="auto"/>
            <w:tcBorders>
              <w:top w:val="nil"/>
              <w:left w:val="single" w:sz="4" w:space="0" w:color="auto"/>
              <w:bottom w:val="single" w:sz="4" w:space="0" w:color="auto"/>
              <w:right w:val="single" w:sz="4" w:space="0" w:color="auto"/>
            </w:tcBorders>
            <w:vAlign w:val="center"/>
            <w:hideMark/>
          </w:tcPr>
          <w:p w14:paraId="61DB9E83" w14:textId="77777777" w:rsidR="00C9048A" w:rsidRPr="00C9048A" w:rsidRDefault="00C9048A" w:rsidP="00C9048A">
            <w:pPr>
              <w:rPr>
                <w:rFonts w:eastAsia="Times New Roman"/>
                <w:b/>
                <w:bCs/>
                <w:color w:val="000000"/>
                <w:sz w:val="16"/>
                <w:szCs w:val="16"/>
                <w:lang w:val="en-IN" w:eastAsia="en-IN" w:bidi="hi-IN"/>
              </w:rPr>
            </w:pPr>
            <w:r w:rsidRPr="00C9048A">
              <w:rPr>
                <w:rFonts w:eastAsia="Calibri"/>
                <w:b/>
                <w:bCs/>
                <w:color w:val="000000"/>
                <w:kern w:val="2"/>
                <w:sz w:val="16"/>
                <w:szCs w:val="16"/>
                <w:lang w:eastAsia="en-IN" w:bidi="hi-IN"/>
              </w:rPr>
              <w:t>ARIMA</w:t>
            </w:r>
          </w:p>
        </w:tc>
        <w:tc>
          <w:tcPr>
            <w:tcW w:w="0" w:type="auto"/>
            <w:tcBorders>
              <w:top w:val="nil"/>
              <w:left w:val="nil"/>
              <w:bottom w:val="single" w:sz="4" w:space="0" w:color="auto"/>
              <w:right w:val="single" w:sz="4" w:space="0" w:color="auto"/>
            </w:tcBorders>
            <w:vAlign w:val="center"/>
            <w:hideMark/>
          </w:tcPr>
          <w:p w14:paraId="415CF4C3"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Low (Higher errors)</w:t>
            </w:r>
          </w:p>
        </w:tc>
        <w:tc>
          <w:tcPr>
            <w:tcW w:w="0" w:type="auto"/>
            <w:tcBorders>
              <w:top w:val="nil"/>
              <w:left w:val="nil"/>
              <w:bottom w:val="single" w:sz="4" w:space="0" w:color="auto"/>
              <w:right w:val="single" w:sz="4" w:space="0" w:color="auto"/>
            </w:tcBorders>
            <w:vAlign w:val="center"/>
            <w:hideMark/>
          </w:tcPr>
          <w:p w14:paraId="2626A945"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High (Lightweight model)</w:t>
            </w:r>
          </w:p>
        </w:tc>
        <w:tc>
          <w:tcPr>
            <w:tcW w:w="0" w:type="auto"/>
            <w:tcBorders>
              <w:top w:val="nil"/>
              <w:left w:val="nil"/>
              <w:bottom w:val="single" w:sz="4" w:space="0" w:color="auto"/>
              <w:right w:val="single" w:sz="4" w:space="0" w:color="auto"/>
            </w:tcBorders>
            <w:vAlign w:val="center"/>
            <w:hideMark/>
          </w:tcPr>
          <w:p w14:paraId="34387A08"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Low (Struggles with non-linearity)</w:t>
            </w:r>
          </w:p>
        </w:tc>
        <w:tc>
          <w:tcPr>
            <w:tcW w:w="0" w:type="auto"/>
            <w:tcBorders>
              <w:top w:val="nil"/>
              <w:left w:val="nil"/>
              <w:bottom w:val="single" w:sz="4" w:space="0" w:color="auto"/>
              <w:right w:val="single" w:sz="4" w:space="0" w:color="auto"/>
            </w:tcBorders>
            <w:vAlign w:val="center"/>
            <w:hideMark/>
          </w:tcPr>
          <w:p w14:paraId="75AE670F"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High (Fully interpretable)</w:t>
            </w:r>
          </w:p>
        </w:tc>
      </w:tr>
      <w:tr w:rsidR="00C9048A" w:rsidRPr="00C9048A" w14:paraId="1B2D2173" w14:textId="77777777" w:rsidTr="00C9048A">
        <w:trPr>
          <w:trHeight w:val="106"/>
        </w:trPr>
        <w:tc>
          <w:tcPr>
            <w:tcW w:w="0" w:type="auto"/>
            <w:tcBorders>
              <w:top w:val="nil"/>
              <w:left w:val="single" w:sz="4" w:space="0" w:color="auto"/>
              <w:bottom w:val="single" w:sz="4" w:space="0" w:color="auto"/>
              <w:right w:val="single" w:sz="4" w:space="0" w:color="auto"/>
            </w:tcBorders>
            <w:vAlign w:val="center"/>
            <w:hideMark/>
          </w:tcPr>
          <w:p w14:paraId="33B8DDC7" w14:textId="77777777" w:rsidR="00C9048A" w:rsidRPr="00C9048A" w:rsidRDefault="00C9048A" w:rsidP="00C9048A">
            <w:pPr>
              <w:rPr>
                <w:rFonts w:eastAsia="Times New Roman"/>
                <w:b/>
                <w:bCs/>
                <w:color w:val="000000"/>
                <w:sz w:val="16"/>
                <w:szCs w:val="16"/>
                <w:lang w:val="en-IN" w:eastAsia="en-IN" w:bidi="hi-IN"/>
              </w:rPr>
            </w:pPr>
            <w:r w:rsidRPr="00C9048A">
              <w:rPr>
                <w:rFonts w:eastAsia="Calibri"/>
                <w:b/>
                <w:bCs/>
                <w:color w:val="000000"/>
                <w:kern w:val="2"/>
                <w:sz w:val="16"/>
                <w:szCs w:val="16"/>
                <w:lang w:eastAsia="en-IN" w:bidi="hi-IN"/>
              </w:rPr>
              <w:t>LSTM</w:t>
            </w:r>
          </w:p>
        </w:tc>
        <w:tc>
          <w:tcPr>
            <w:tcW w:w="0" w:type="auto"/>
            <w:tcBorders>
              <w:top w:val="nil"/>
              <w:left w:val="nil"/>
              <w:bottom w:val="single" w:sz="4" w:space="0" w:color="auto"/>
              <w:right w:val="single" w:sz="4" w:space="0" w:color="auto"/>
            </w:tcBorders>
            <w:vAlign w:val="center"/>
            <w:hideMark/>
          </w:tcPr>
          <w:p w14:paraId="5620F3B5"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Moderate (Better than ARIMA)</w:t>
            </w:r>
          </w:p>
        </w:tc>
        <w:tc>
          <w:tcPr>
            <w:tcW w:w="0" w:type="auto"/>
            <w:tcBorders>
              <w:top w:val="nil"/>
              <w:left w:val="nil"/>
              <w:bottom w:val="single" w:sz="4" w:space="0" w:color="auto"/>
              <w:right w:val="single" w:sz="4" w:space="0" w:color="auto"/>
            </w:tcBorders>
            <w:vAlign w:val="center"/>
            <w:hideMark/>
          </w:tcPr>
          <w:p w14:paraId="49324D7B"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Low (Computationally expensive)</w:t>
            </w:r>
          </w:p>
        </w:tc>
        <w:tc>
          <w:tcPr>
            <w:tcW w:w="0" w:type="auto"/>
            <w:tcBorders>
              <w:top w:val="nil"/>
              <w:left w:val="nil"/>
              <w:bottom w:val="single" w:sz="4" w:space="0" w:color="auto"/>
              <w:right w:val="single" w:sz="4" w:space="0" w:color="auto"/>
            </w:tcBorders>
            <w:vAlign w:val="center"/>
            <w:hideMark/>
          </w:tcPr>
          <w:p w14:paraId="29D342A6"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Moderate (Handles trends)</w:t>
            </w:r>
          </w:p>
        </w:tc>
        <w:tc>
          <w:tcPr>
            <w:tcW w:w="0" w:type="auto"/>
            <w:tcBorders>
              <w:top w:val="nil"/>
              <w:left w:val="nil"/>
              <w:bottom w:val="single" w:sz="4" w:space="0" w:color="auto"/>
              <w:right w:val="single" w:sz="4" w:space="0" w:color="auto"/>
            </w:tcBorders>
            <w:vAlign w:val="center"/>
            <w:hideMark/>
          </w:tcPr>
          <w:p w14:paraId="28B0A16A"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Low (Difficult to interpret)</w:t>
            </w:r>
          </w:p>
        </w:tc>
      </w:tr>
      <w:tr w:rsidR="00C9048A" w:rsidRPr="00C9048A" w14:paraId="6A3780BD" w14:textId="77777777" w:rsidTr="00C9048A">
        <w:trPr>
          <w:trHeight w:val="132"/>
        </w:trPr>
        <w:tc>
          <w:tcPr>
            <w:tcW w:w="0" w:type="auto"/>
            <w:tcBorders>
              <w:top w:val="nil"/>
              <w:left w:val="single" w:sz="4" w:space="0" w:color="auto"/>
              <w:bottom w:val="single" w:sz="4" w:space="0" w:color="auto"/>
              <w:right w:val="single" w:sz="4" w:space="0" w:color="auto"/>
            </w:tcBorders>
            <w:vAlign w:val="center"/>
            <w:hideMark/>
          </w:tcPr>
          <w:p w14:paraId="2D68E643" w14:textId="77777777" w:rsidR="00C9048A" w:rsidRPr="00C9048A" w:rsidRDefault="00C9048A" w:rsidP="00C9048A">
            <w:pPr>
              <w:rPr>
                <w:rFonts w:eastAsia="Times New Roman"/>
                <w:b/>
                <w:bCs/>
                <w:color w:val="000000"/>
                <w:sz w:val="16"/>
                <w:szCs w:val="16"/>
                <w:lang w:val="en-IN" w:eastAsia="en-IN" w:bidi="hi-IN"/>
              </w:rPr>
            </w:pPr>
            <w:r w:rsidRPr="00C9048A">
              <w:rPr>
                <w:rFonts w:eastAsia="Calibri"/>
                <w:b/>
                <w:bCs/>
                <w:color w:val="000000"/>
                <w:kern w:val="2"/>
                <w:sz w:val="16"/>
                <w:szCs w:val="16"/>
                <w:lang w:eastAsia="en-IN" w:bidi="hi-IN"/>
              </w:rPr>
              <w:t>Random Forest</w:t>
            </w:r>
          </w:p>
        </w:tc>
        <w:tc>
          <w:tcPr>
            <w:tcW w:w="0" w:type="auto"/>
            <w:tcBorders>
              <w:top w:val="nil"/>
              <w:left w:val="nil"/>
              <w:bottom w:val="single" w:sz="4" w:space="0" w:color="auto"/>
              <w:right w:val="single" w:sz="4" w:space="0" w:color="auto"/>
            </w:tcBorders>
            <w:vAlign w:val="center"/>
            <w:hideMark/>
          </w:tcPr>
          <w:p w14:paraId="2C5655A2"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Moderate (Performs well on structured data)</w:t>
            </w:r>
          </w:p>
        </w:tc>
        <w:tc>
          <w:tcPr>
            <w:tcW w:w="0" w:type="auto"/>
            <w:tcBorders>
              <w:top w:val="nil"/>
              <w:left w:val="nil"/>
              <w:bottom w:val="single" w:sz="4" w:space="0" w:color="auto"/>
              <w:right w:val="single" w:sz="4" w:space="0" w:color="auto"/>
            </w:tcBorders>
            <w:vAlign w:val="center"/>
            <w:hideMark/>
          </w:tcPr>
          <w:p w14:paraId="071FF1A9"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High (Efficient for small datasets)</w:t>
            </w:r>
          </w:p>
        </w:tc>
        <w:tc>
          <w:tcPr>
            <w:tcW w:w="0" w:type="auto"/>
            <w:tcBorders>
              <w:top w:val="nil"/>
              <w:left w:val="nil"/>
              <w:bottom w:val="single" w:sz="4" w:space="0" w:color="auto"/>
              <w:right w:val="single" w:sz="4" w:space="0" w:color="auto"/>
            </w:tcBorders>
            <w:vAlign w:val="center"/>
            <w:hideMark/>
          </w:tcPr>
          <w:p w14:paraId="6F8690A5"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Moderate (Less responsive to shocks)</w:t>
            </w:r>
          </w:p>
        </w:tc>
        <w:tc>
          <w:tcPr>
            <w:tcW w:w="0" w:type="auto"/>
            <w:tcBorders>
              <w:top w:val="nil"/>
              <w:left w:val="nil"/>
              <w:bottom w:val="single" w:sz="4" w:space="0" w:color="auto"/>
              <w:right w:val="single" w:sz="4" w:space="0" w:color="auto"/>
            </w:tcBorders>
            <w:vAlign w:val="center"/>
            <w:hideMark/>
          </w:tcPr>
          <w:p w14:paraId="1868093F" w14:textId="77777777" w:rsidR="00C9048A" w:rsidRPr="00C9048A" w:rsidRDefault="00C9048A" w:rsidP="00C9048A">
            <w:pPr>
              <w:rPr>
                <w:rFonts w:eastAsia="Times New Roman"/>
                <w:color w:val="000000"/>
                <w:sz w:val="16"/>
                <w:szCs w:val="16"/>
                <w:lang w:val="en-IN" w:eastAsia="en-IN" w:bidi="hi-IN"/>
              </w:rPr>
            </w:pPr>
            <w:r w:rsidRPr="00C9048A">
              <w:rPr>
                <w:rFonts w:eastAsia="Calibri"/>
                <w:color w:val="000000"/>
                <w:kern w:val="2"/>
                <w:sz w:val="16"/>
                <w:szCs w:val="16"/>
                <w:lang w:eastAsia="en-IN" w:bidi="hi-IN"/>
              </w:rPr>
              <w:t xml:space="preserve">Moderate </w:t>
            </w:r>
          </w:p>
        </w:tc>
      </w:tr>
    </w:tbl>
    <w:p w14:paraId="699EC616" w14:textId="77777777" w:rsidR="00C9048A" w:rsidRDefault="00C9048A" w:rsidP="00F854B0">
      <w:pPr>
        <w:pStyle w:val="tablehead"/>
        <w:tabs>
          <w:tab w:val="num" w:pos="1080"/>
        </w:tabs>
        <w:spacing w:before="0" w:after="0"/>
        <w:jc w:val="both"/>
        <w:sectPr w:rsidR="00C9048A" w:rsidSect="00C9048A">
          <w:type w:val="continuous"/>
          <w:pgSz w:w="11906" w:h="16838" w:code="9"/>
          <w:pgMar w:top="1080" w:right="907" w:bottom="1440" w:left="907" w:header="720" w:footer="720" w:gutter="0"/>
          <w:cols w:space="360"/>
          <w:docGrid w:linePitch="360"/>
        </w:sectPr>
      </w:pPr>
    </w:p>
    <w:p w14:paraId="38EFB3CA" w14:textId="77777777" w:rsidR="00C9048A" w:rsidRPr="00157AA2" w:rsidRDefault="00C9048A" w:rsidP="00F854B0">
      <w:pPr>
        <w:pStyle w:val="tablehead"/>
        <w:tabs>
          <w:tab w:val="num" w:pos="1080"/>
        </w:tabs>
        <w:spacing w:before="0" w:after="0"/>
        <w:jc w:val="both"/>
      </w:pPr>
    </w:p>
    <w:p w14:paraId="6D244DB6" w14:textId="4BB03473" w:rsidR="00470709" w:rsidRPr="00D57841" w:rsidRDefault="00156617" w:rsidP="00F854B0">
      <w:pPr>
        <w:pStyle w:val="BodyText"/>
      </w:pPr>
      <w:r w:rsidRPr="00156617">
        <w:t>The models are ranked in Table 2 above according to their robustness to market shocks, their interpretability, their accuracy in making predictions and their efficiency in computation. In terms of accuracy of prediction, the Transformer model is the most accurate predictor that has the minimal error in prediction than all the models. Despite the advantages, the LSTM model is not as suitable in real time as it has high levels of computational complexity. ARIMA is less precise in the contemporary financial forecasting due to its inability to deal with the non-linearity in the financial sector in spite of its high processing speed. Random Forest is average robust as it is fast, but it is not able to deal with the unforeseen market fluctuations. Contingent on market shock resilience, the self-attention mechanism of Transformers allows them to respond to sudden shifts more efficiently, which makes them very resilient compared to ARIMA and LSTM, which fails miserably during turbulent times. In the interpretability aspect, it is again the most interpretable as it has a traditional statistical background, whereas the Transformer model maximizes LSTM efficiency by adding some explainability techniques such as SHAP and attention heatmaps. This trade-off of accuracy versus interpretability is what makes Transformers a great model in financial prediction particularly in fast-changing and high-data markets.</w:t>
      </w:r>
    </w:p>
    <w:p w14:paraId="24C62F36" w14:textId="77777777" w:rsidR="00470709" w:rsidRPr="00D57841" w:rsidRDefault="00470709" w:rsidP="00F854B0">
      <w:pPr>
        <w:pStyle w:val="Heading1"/>
        <w:rPr>
          <w:smallCaps w:val="0"/>
        </w:rPr>
      </w:pPr>
      <w:r w:rsidRPr="00F854B0">
        <w:t>CONCLUSION</w:t>
      </w:r>
    </w:p>
    <w:p w14:paraId="620DFA44" w14:textId="3E98A029" w:rsidR="00470709" w:rsidRPr="00B40EA5" w:rsidRDefault="00156617" w:rsidP="00156617">
      <w:pPr>
        <w:pStyle w:val="BodyText"/>
      </w:pPr>
      <w:r w:rsidRPr="00156617">
        <w:t>In this paper, a Transformer-based approach to the financial time series forecasting problem was presented with the focus on the improvement of predictive accuracy and understandability. By making use of the self-attention mechanism, the Transformer model could effectively acquire long-term dependencies and complex temporal relationships in financial data and outperform traditional models such as ARIMA, LSTM, and Random Forest. Integrating SHAP (Shapley Additive Explanations) with heatmaps of attention increased the model interpretability to the extent that financial analysts could see the most influential variables on prediction. The findings showed that Transformer produces smaller Mean Squared Error (MSE) and Mean Absolute Percentage Error (MAPE) than the comparative models and is also able to achieve a high R</w:t>
      </w:r>
      <w:r>
        <w:rPr>
          <w:vertAlign w:val="superscript"/>
        </w:rPr>
        <w:t>2</w:t>
      </w:r>
      <w:r w:rsidRPr="00156617">
        <w:t xml:space="preserve"> hence resistant to varying market trends. The explainable techniques provided information on feature </w:t>
      </w:r>
      <w:r w:rsidRPr="00156617">
        <w:t>importance where recent financial movements, trading, and macroeconomics are observed to be driving the financial trends. Also, the fact that it is a flexible model in terms of adjusting to sudden market changes renders the model efficient in financial forecasting areas. Transformer model though a powerful one requires more computational power than the conventional statistical models. Future research can also focus on obtaining the most computational-efficient models by training light-weight Transformers and exploring the possibility to use hybrid models that can combine Transformers with probabilistic forecasting techniques.</w:t>
      </w:r>
    </w:p>
    <w:p w14:paraId="4D46DFC3" w14:textId="77777777" w:rsidR="00470709" w:rsidRPr="00BC74CC" w:rsidRDefault="00470709" w:rsidP="00470709">
      <w:pPr>
        <w:pStyle w:val="Heading5"/>
        <w:rPr>
          <w:smallCaps w:val="0"/>
        </w:rPr>
      </w:pPr>
      <w:r w:rsidRPr="00BC74CC">
        <w:t>References</w:t>
      </w:r>
    </w:p>
    <w:p w14:paraId="33032C9C" w14:textId="77777777" w:rsidR="00470709" w:rsidRPr="00FE2D91" w:rsidRDefault="00470709" w:rsidP="00751ABD">
      <w:pPr>
        <w:pStyle w:val="references"/>
        <w:numPr>
          <w:ilvl w:val="0"/>
          <w:numId w:val="7"/>
        </w:numPr>
        <w:tabs>
          <w:tab w:val="num" w:pos="360"/>
        </w:tabs>
        <w:ind w:left="357" w:hanging="357"/>
      </w:pPr>
      <w:r w:rsidRPr="00FE2D91">
        <w:t>Box, G. E. P., &amp; Jenkins, G. M. (1976). Time Series Analysis: Forecasting and Control. San Francisco: Holden-Day.</w:t>
      </w:r>
    </w:p>
    <w:p w14:paraId="1BD31E50" w14:textId="77777777" w:rsidR="00470709" w:rsidRPr="00FE2D91" w:rsidRDefault="00470709" w:rsidP="00751ABD">
      <w:pPr>
        <w:pStyle w:val="references"/>
        <w:numPr>
          <w:ilvl w:val="0"/>
          <w:numId w:val="7"/>
        </w:numPr>
        <w:tabs>
          <w:tab w:val="num" w:pos="360"/>
        </w:tabs>
        <w:ind w:left="357" w:hanging="357"/>
      </w:pPr>
      <w:r w:rsidRPr="00FE2D91">
        <w:t>Bollerslev, T. (1986). Generalized autoregressive conditional heteroskedasticity. Journal of Econometrics, 31(3), 307-327.</w:t>
      </w:r>
    </w:p>
    <w:p w14:paraId="0D3E9B0A" w14:textId="77777777" w:rsidR="00470709" w:rsidRPr="00FE2D91" w:rsidRDefault="00470709" w:rsidP="00751ABD">
      <w:pPr>
        <w:pStyle w:val="references"/>
        <w:numPr>
          <w:ilvl w:val="0"/>
          <w:numId w:val="7"/>
        </w:numPr>
        <w:tabs>
          <w:tab w:val="num" w:pos="360"/>
        </w:tabs>
        <w:ind w:left="357" w:hanging="357"/>
      </w:pPr>
      <w:r w:rsidRPr="00FE2D91">
        <w:t>Engle, R. F. (1982). Autoregressive conditional heteroskedasticity with estimates of the variance of United Kingdom inflation. Econometrica, 50(4), 987-1007.</w:t>
      </w:r>
    </w:p>
    <w:p w14:paraId="35CE760C" w14:textId="77777777" w:rsidR="00470709" w:rsidRPr="00FE2D91" w:rsidRDefault="00470709" w:rsidP="00751ABD">
      <w:pPr>
        <w:pStyle w:val="references"/>
        <w:numPr>
          <w:ilvl w:val="0"/>
          <w:numId w:val="7"/>
        </w:numPr>
        <w:tabs>
          <w:tab w:val="num" w:pos="360"/>
        </w:tabs>
        <w:ind w:left="357" w:hanging="357"/>
      </w:pPr>
      <w:r w:rsidRPr="00FE2D91">
        <w:t>Bollerslev, T. (1986). Generalized autoregressive conditional heteroskedasticity. Journal of Econometrics, 31(3), 307-327.</w:t>
      </w:r>
    </w:p>
    <w:p w14:paraId="4C9372AA" w14:textId="274B151C" w:rsidR="00470709" w:rsidRPr="00273046" w:rsidRDefault="00496A20" w:rsidP="00751ABD">
      <w:pPr>
        <w:pStyle w:val="references"/>
        <w:numPr>
          <w:ilvl w:val="0"/>
          <w:numId w:val="7"/>
        </w:numPr>
        <w:tabs>
          <w:tab w:val="num" w:pos="360"/>
        </w:tabs>
        <w:ind w:left="357" w:hanging="357"/>
      </w:pPr>
      <w:r w:rsidRPr="00273046">
        <w:t>Muliawan, A., Fauziah, D.A. and Wiranto, F., 2023, July. Experiment Time Series Forcasting Using Machine Learning (Case studi: Stock Value Prediction). In </w:t>
      </w:r>
      <w:r w:rsidRPr="00273046">
        <w:rPr>
          <w:i/>
          <w:iCs/>
        </w:rPr>
        <w:t>Proceeding International Conference on Economics, Business and Information Technology</w:t>
      </w:r>
      <w:r w:rsidRPr="00273046">
        <w:t> (Vol. 4, pp. 834-839).</w:t>
      </w:r>
    </w:p>
    <w:p w14:paraId="4FA2C876" w14:textId="4EF9AC4A" w:rsidR="00470709" w:rsidRPr="00273046" w:rsidRDefault="00F97E61" w:rsidP="00751ABD">
      <w:pPr>
        <w:pStyle w:val="references"/>
        <w:numPr>
          <w:ilvl w:val="0"/>
          <w:numId w:val="7"/>
        </w:numPr>
        <w:tabs>
          <w:tab w:val="num" w:pos="360"/>
        </w:tabs>
        <w:ind w:left="357" w:hanging="357"/>
      </w:pPr>
      <w:r w:rsidRPr="00273046">
        <w:t>Chhajer, P., Shah, M. and Kshirsagar, A., 2022. The applications of artificial neural networks, support vector machines, and long–short term memory for stock market prediction. </w:t>
      </w:r>
      <w:r w:rsidRPr="00273046">
        <w:rPr>
          <w:i/>
          <w:iCs/>
        </w:rPr>
        <w:t>Decision Analytics Journal</w:t>
      </w:r>
      <w:r w:rsidRPr="00273046">
        <w:t>, </w:t>
      </w:r>
      <w:r w:rsidRPr="00273046">
        <w:rPr>
          <w:i/>
          <w:iCs/>
        </w:rPr>
        <w:t>2</w:t>
      </w:r>
      <w:r w:rsidRPr="00273046">
        <w:t>, p.100015.</w:t>
      </w:r>
    </w:p>
    <w:p w14:paraId="32F13581" w14:textId="77777777" w:rsidR="00470709" w:rsidRPr="00FE2D91" w:rsidRDefault="00470709" w:rsidP="00751ABD">
      <w:pPr>
        <w:pStyle w:val="references"/>
        <w:numPr>
          <w:ilvl w:val="0"/>
          <w:numId w:val="7"/>
        </w:numPr>
        <w:tabs>
          <w:tab w:val="num" w:pos="360"/>
        </w:tabs>
        <w:ind w:left="357" w:hanging="357"/>
      </w:pPr>
      <w:r w:rsidRPr="00F854B0">
        <w:t>Breiman, L. (2001). Random forests. Machine learning, 45, 5-32.</w:t>
      </w:r>
    </w:p>
    <w:p w14:paraId="6A9E5926" w14:textId="77777777" w:rsidR="00470709" w:rsidRPr="00FE2D91" w:rsidRDefault="00470709" w:rsidP="00751ABD">
      <w:pPr>
        <w:pStyle w:val="references"/>
        <w:numPr>
          <w:ilvl w:val="0"/>
          <w:numId w:val="7"/>
        </w:numPr>
        <w:tabs>
          <w:tab w:val="num" w:pos="360"/>
        </w:tabs>
        <w:ind w:left="357" w:hanging="357"/>
      </w:pPr>
      <w:r w:rsidRPr="00FE2D91">
        <w:t>Fischer, T., &amp; Krauss, C. (2018). Deep learning with LSTM networks for financial market predictions. European Journal of Operational Research, 270(2), 654-669.</w:t>
      </w:r>
    </w:p>
    <w:p w14:paraId="57CEE4FD" w14:textId="77777777" w:rsidR="00470709" w:rsidRPr="00FE2D91" w:rsidRDefault="00470709" w:rsidP="00751ABD">
      <w:pPr>
        <w:pStyle w:val="references"/>
        <w:numPr>
          <w:ilvl w:val="0"/>
          <w:numId w:val="7"/>
        </w:numPr>
        <w:tabs>
          <w:tab w:val="num" w:pos="360"/>
        </w:tabs>
        <w:ind w:left="357" w:hanging="357"/>
      </w:pPr>
      <w:r w:rsidRPr="00FE2D91">
        <w:t>Zhang, X., et al. (2020). CNN-based financial time series forecasting: A systematic review. Journal of Forecasting, 39(5), 806-826.</w:t>
      </w:r>
    </w:p>
    <w:p w14:paraId="3733A41D" w14:textId="77777777" w:rsidR="00470709" w:rsidRPr="00FE2D91" w:rsidRDefault="00470709" w:rsidP="00751ABD">
      <w:pPr>
        <w:pStyle w:val="references"/>
        <w:numPr>
          <w:ilvl w:val="0"/>
          <w:numId w:val="7"/>
        </w:numPr>
        <w:tabs>
          <w:tab w:val="num" w:pos="360"/>
        </w:tabs>
        <w:ind w:left="357" w:hanging="357"/>
      </w:pPr>
      <w:r w:rsidRPr="00FE2D91">
        <w:t>Vaswani, A., Shazeer, N., Parmar, N., Uszkoreit, J., Jones, L., Gomez, A. N., Kaiser, Ł., &amp; Polosukhin, I. (2017). Attention is all you need. In Advances in Neural Information Processing Systems (pp. 5998-6008).</w:t>
      </w:r>
    </w:p>
    <w:p w14:paraId="532BBD15" w14:textId="77777777" w:rsidR="00470709" w:rsidRPr="00FE2D91" w:rsidRDefault="00470709" w:rsidP="00751ABD">
      <w:pPr>
        <w:pStyle w:val="references"/>
        <w:numPr>
          <w:ilvl w:val="0"/>
          <w:numId w:val="7"/>
        </w:numPr>
        <w:tabs>
          <w:tab w:val="num" w:pos="360"/>
        </w:tabs>
        <w:ind w:left="357" w:hanging="357"/>
      </w:pPr>
      <w:r w:rsidRPr="00FE2D91">
        <w:t>Zhou, H., et al. (2021). Informer: Beyond efficient Transformer for long sequence time-series forecasting. AAAI Conference on Artificial Intelligence, 35(12), 11106-11115.</w:t>
      </w:r>
    </w:p>
    <w:p w14:paraId="5001B295" w14:textId="77777777" w:rsidR="00470709" w:rsidRPr="00FE2D91" w:rsidRDefault="00470709" w:rsidP="00751ABD">
      <w:pPr>
        <w:pStyle w:val="references"/>
        <w:numPr>
          <w:ilvl w:val="0"/>
          <w:numId w:val="7"/>
        </w:numPr>
        <w:tabs>
          <w:tab w:val="num" w:pos="360"/>
        </w:tabs>
        <w:ind w:left="357" w:hanging="357"/>
      </w:pPr>
      <w:r w:rsidRPr="00FE2D91">
        <w:t>Wu, H., et al. (2021). Autoformer: Decomposition Transformers with auto-correlation for long-term series forecasting. NeurIPS, 34, 22419-22430.</w:t>
      </w:r>
    </w:p>
    <w:p w14:paraId="6C2CE3CE" w14:textId="77777777" w:rsidR="00470709" w:rsidRPr="00FE2D91" w:rsidRDefault="00470709" w:rsidP="00751ABD">
      <w:pPr>
        <w:pStyle w:val="references"/>
        <w:numPr>
          <w:ilvl w:val="0"/>
          <w:numId w:val="7"/>
        </w:numPr>
        <w:tabs>
          <w:tab w:val="num" w:pos="360"/>
        </w:tabs>
        <w:ind w:left="357" w:hanging="357"/>
      </w:pPr>
      <w:r w:rsidRPr="00FE2D91">
        <w:lastRenderedPageBreak/>
        <w:t>Lim, B., et al. (2021). Temporal Fusion Transformers for interpretable multi-horizon time series forecasting. Machine Learning, 110(2), 272-290.</w:t>
      </w:r>
    </w:p>
    <w:p w14:paraId="112C4256" w14:textId="77777777" w:rsidR="00470709" w:rsidRPr="00FE2D91" w:rsidRDefault="00470709" w:rsidP="00751ABD">
      <w:pPr>
        <w:pStyle w:val="references"/>
        <w:numPr>
          <w:ilvl w:val="0"/>
          <w:numId w:val="7"/>
        </w:numPr>
        <w:tabs>
          <w:tab w:val="num" w:pos="360"/>
        </w:tabs>
        <w:ind w:left="357" w:hanging="357"/>
      </w:pPr>
      <w:r w:rsidRPr="00FE2D91">
        <w:t>Lundberg, S. M., &amp; Lee, S.-I. (2017). A unified approach to interpreting model predictions. NeurIPS, 30, 4765-4774</w:t>
      </w:r>
    </w:p>
    <w:p w14:paraId="69F99151" w14:textId="77777777" w:rsidR="00470709" w:rsidRPr="00FE2D91" w:rsidRDefault="00470709" w:rsidP="00751ABD">
      <w:pPr>
        <w:pStyle w:val="references"/>
        <w:numPr>
          <w:ilvl w:val="0"/>
          <w:numId w:val="7"/>
        </w:numPr>
        <w:tabs>
          <w:tab w:val="num" w:pos="360"/>
        </w:tabs>
        <w:ind w:left="357" w:hanging="357"/>
      </w:pPr>
      <w:r w:rsidRPr="00F854B0">
        <w:t>Ribeiro, M. T., Singh, S., &amp; Guestrin, C. (2016, August). " Why should i trust you?" Explaining the predictions of any classifier. In Proceedings of the 22nd ACM SIGKDD international conference on knowledge discovery and data mining (pp. 1135-1144).</w:t>
      </w:r>
    </w:p>
    <w:p w14:paraId="0663C8C2" w14:textId="2648B37C" w:rsidR="00470709" w:rsidRDefault="00470709" w:rsidP="00751ABD">
      <w:pPr>
        <w:pStyle w:val="references"/>
        <w:numPr>
          <w:ilvl w:val="0"/>
          <w:numId w:val="7"/>
        </w:numPr>
        <w:ind w:left="357" w:hanging="357"/>
      </w:pPr>
      <w:r w:rsidRPr="00F854B0">
        <w:t>Freeborough, W., &amp; van Zyl, T. (2022). Investigating explainability methods in recurrent neural network architectures for financial time series data. Applied Sciences, 12(3), 1427.</w:t>
      </w:r>
    </w:p>
    <w:p w14:paraId="79AEE1E0" w14:textId="1D4DB5FF" w:rsidR="00836367" w:rsidRPr="00D50EDA" w:rsidRDefault="00836367" w:rsidP="00F854B0">
      <w:pPr>
        <w:pStyle w:val="references"/>
        <w:numPr>
          <w:ilvl w:val="0"/>
          <w:numId w:val="0"/>
        </w:numPr>
        <w:ind w:left="357"/>
        <w:rPr>
          <w:lang w:val="en-IN"/>
        </w:rPr>
        <w:sectPr w:rsidR="00836367" w:rsidRPr="00D50EDA" w:rsidSect="003B4E04">
          <w:type w:val="continuous"/>
          <w:pgSz w:w="11906" w:h="16838" w:code="9"/>
          <w:pgMar w:top="1080" w:right="907" w:bottom="1440" w:left="907" w:header="720" w:footer="720" w:gutter="0"/>
          <w:cols w:num="2" w:space="360"/>
          <w:docGrid w:linePitch="360"/>
        </w:sectPr>
      </w:pPr>
    </w:p>
    <w:p w14:paraId="451C4416" w14:textId="77777777"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29E9" w14:textId="77777777" w:rsidR="00E57193" w:rsidRDefault="00E57193" w:rsidP="001A3B3D">
      <w:r>
        <w:separator/>
      </w:r>
    </w:p>
  </w:endnote>
  <w:endnote w:type="continuationSeparator" w:id="0">
    <w:p w14:paraId="1359197D" w14:textId="77777777" w:rsidR="00E57193" w:rsidRDefault="00E5719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AB46"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3718" w14:textId="77777777" w:rsidR="00E57193" w:rsidRDefault="00E57193" w:rsidP="001A3B3D">
      <w:r>
        <w:separator/>
      </w:r>
    </w:p>
  </w:footnote>
  <w:footnote w:type="continuationSeparator" w:id="0">
    <w:p w14:paraId="45A415F7" w14:textId="77777777" w:rsidR="00E57193" w:rsidRDefault="00E57193"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0227"/>
    <w:multiLevelType w:val="hybridMultilevel"/>
    <w:tmpl w:val="88522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ED52B8"/>
    <w:multiLevelType w:val="hybridMultilevel"/>
    <w:tmpl w:val="58868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90441D9"/>
    <w:multiLevelType w:val="hybridMultilevel"/>
    <w:tmpl w:val="B762C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61565B"/>
    <w:multiLevelType w:val="hybridMultilevel"/>
    <w:tmpl w:val="5F4A1338"/>
    <w:lvl w:ilvl="0" w:tplc="40090001">
      <w:start w:val="1"/>
      <w:numFmt w:val="bullet"/>
      <w:lvlText w:val=""/>
      <w:lvlJc w:val="left"/>
      <w:pPr>
        <w:ind w:left="648" w:hanging="360"/>
      </w:pPr>
      <w:rPr>
        <w:rFonts w:ascii="Symbol" w:hAnsi="Symbol" w:hint="default"/>
      </w:rPr>
    </w:lvl>
    <w:lvl w:ilvl="1" w:tplc="40090003" w:tentative="1">
      <w:start w:val="1"/>
      <w:numFmt w:val="bullet"/>
      <w:lvlText w:val="o"/>
      <w:lvlJc w:val="left"/>
      <w:pPr>
        <w:ind w:left="1368" w:hanging="360"/>
      </w:pPr>
      <w:rPr>
        <w:rFonts w:ascii="Courier New" w:hAnsi="Courier New" w:cs="Courier New" w:hint="default"/>
      </w:rPr>
    </w:lvl>
    <w:lvl w:ilvl="2" w:tplc="40090005" w:tentative="1">
      <w:start w:val="1"/>
      <w:numFmt w:val="bullet"/>
      <w:lvlText w:val=""/>
      <w:lvlJc w:val="left"/>
      <w:pPr>
        <w:ind w:left="2088" w:hanging="360"/>
      </w:pPr>
      <w:rPr>
        <w:rFonts w:ascii="Wingdings" w:hAnsi="Wingdings" w:hint="default"/>
      </w:rPr>
    </w:lvl>
    <w:lvl w:ilvl="3" w:tplc="40090001" w:tentative="1">
      <w:start w:val="1"/>
      <w:numFmt w:val="bullet"/>
      <w:lvlText w:val=""/>
      <w:lvlJc w:val="left"/>
      <w:pPr>
        <w:ind w:left="2808" w:hanging="360"/>
      </w:pPr>
      <w:rPr>
        <w:rFonts w:ascii="Symbol" w:hAnsi="Symbol" w:hint="default"/>
      </w:rPr>
    </w:lvl>
    <w:lvl w:ilvl="4" w:tplc="40090003" w:tentative="1">
      <w:start w:val="1"/>
      <w:numFmt w:val="bullet"/>
      <w:lvlText w:val="o"/>
      <w:lvlJc w:val="left"/>
      <w:pPr>
        <w:ind w:left="3528" w:hanging="360"/>
      </w:pPr>
      <w:rPr>
        <w:rFonts w:ascii="Courier New" w:hAnsi="Courier New" w:cs="Courier New" w:hint="default"/>
      </w:rPr>
    </w:lvl>
    <w:lvl w:ilvl="5" w:tplc="40090005" w:tentative="1">
      <w:start w:val="1"/>
      <w:numFmt w:val="bullet"/>
      <w:lvlText w:val=""/>
      <w:lvlJc w:val="left"/>
      <w:pPr>
        <w:ind w:left="4248" w:hanging="360"/>
      </w:pPr>
      <w:rPr>
        <w:rFonts w:ascii="Wingdings" w:hAnsi="Wingdings" w:hint="default"/>
      </w:rPr>
    </w:lvl>
    <w:lvl w:ilvl="6" w:tplc="40090001" w:tentative="1">
      <w:start w:val="1"/>
      <w:numFmt w:val="bullet"/>
      <w:lvlText w:val=""/>
      <w:lvlJc w:val="left"/>
      <w:pPr>
        <w:ind w:left="4968" w:hanging="360"/>
      </w:pPr>
      <w:rPr>
        <w:rFonts w:ascii="Symbol" w:hAnsi="Symbol" w:hint="default"/>
      </w:rPr>
    </w:lvl>
    <w:lvl w:ilvl="7" w:tplc="40090003" w:tentative="1">
      <w:start w:val="1"/>
      <w:numFmt w:val="bullet"/>
      <w:lvlText w:val="o"/>
      <w:lvlJc w:val="left"/>
      <w:pPr>
        <w:ind w:left="5688" w:hanging="360"/>
      </w:pPr>
      <w:rPr>
        <w:rFonts w:ascii="Courier New" w:hAnsi="Courier New" w:cs="Courier New" w:hint="default"/>
      </w:rPr>
    </w:lvl>
    <w:lvl w:ilvl="8" w:tplc="40090005" w:tentative="1">
      <w:start w:val="1"/>
      <w:numFmt w:val="bullet"/>
      <w:lvlText w:val=""/>
      <w:lvlJc w:val="left"/>
      <w:pPr>
        <w:ind w:left="6408" w:hanging="360"/>
      </w:pPr>
      <w:rPr>
        <w:rFonts w:ascii="Wingdings" w:hAnsi="Wingdings" w:hint="default"/>
      </w:rPr>
    </w:lvl>
  </w:abstractNum>
  <w:abstractNum w:abstractNumId="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B4782"/>
    <w:multiLevelType w:val="hybridMultilevel"/>
    <w:tmpl w:val="0122AF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61DA33CD"/>
    <w:multiLevelType w:val="hybridMultilevel"/>
    <w:tmpl w:val="82961AD4"/>
    <w:lvl w:ilvl="0" w:tplc="9F82B528">
      <w:start w:val="1"/>
      <w:numFmt w:val="decimal"/>
      <w:lvlText w:val="[%1]"/>
      <w:lvlJc w:val="left"/>
      <w:pPr>
        <w:ind w:left="720" w:hanging="360"/>
      </w:pPr>
      <w:rPr>
        <w:rFonts w:hint="default"/>
      </w:rPr>
    </w:lvl>
    <w:lvl w:ilvl="1" w:tplc="B67AFF92">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394209704">
    <w:abstractNumId w:val="4"/>
  </w:num>
  <w:num w:numId="2" w16cid:durableId="1095783635">
    <w:abstractNumId w:val="11"/>
  </w:num>
  <w:num w:numId="3" w16cid:durableId="1602373571">
    <w:abstractNumId w:val="2"/>
  </w:num>
  <w:num w:numId="4" w16cid:durableId="1247376020">
    <w:abstractNumId w:val="6"/>
  </w:num>
  <w:num w:numId="5" w16cid:durableId="647367223">
    <w:abstractNumId w:val="9"/>
  </w:num>
  <w:num w:numId="6" w16cid:durableId="1162768789">
    <w:abstractNumId w:val="7"/>
  </w:num>
  <w:num w:numId="7" w16cid:durableId="1863517849">
    <w:abstractNumId w:val="10"/>
  </w:num>
  <w:num w:numId="8" w16cid:durableId="1113018695">
    <w:abstractNumId w:val="8"/>
  </w:num>
  <w:num w:numId="9" w16cid:durableId="988707892">
    <w:abstractNumId w:val="1"/>
  </w:num>
  <w:num w:numId="10" w16cid:durableId="1718310371">
    <w:abstractNumId w:val="3"/>
  </w:num>
  <w:num w:numId="11" w16cid:durableId="1601796154">
    <w:abstractNumId w:val="0"/>
  </w:num>
  <w:num w:numId="12" w16cid:durableId="158133002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13CC0"/>
    <w:rsid w:val="0004781E"/>
    <w:rsid w:val="0008758A"/>
    <w:rsid w:val="00093DC9"/>
    <w:rsid w:val="000C1E68"/>
    <w:rsid w:val="00107654"/>
    <w:rsid w:val="0012048E"/>
    <w:rsid w:val="00133455"/>
    <w:rsid w:val="00156617"/>
    <w:rsid w:val="001A2EFD"/>
    <w:rsid w:val="001A3B3D"/>
    <w:rsid w:val="001B2A27"/>
    <w:rsid w:val="001B67DC"/>
    <w:rsid w:val="001E5AC8"/>
    <w:rsid w:val="0020318A"/>
    <w:rsid w:val="0021246A"/>
    <w:rsid w:val="00212A2D"/>
    <w:rsid w:val="00215EDD"/>
    <w:rsid w:val="002254A9"/>
    <w:rsid w:val="00233D97"/>
    <w:rsid w:val="002347A2"/>
    <w:rsid w:val="00273046"/>
    <w:rsid w:val="002850E3"/>
    <w:rsid w:val="00286B43"/>
    <w:rsid w:val="0029207A"/>
    <w:rsid w:val="002A065A"/>
    <w:rsid w:val="002A1FB3"/>
    <w:rsid w:val="002A722C"/>
    <w:rsid w:val="002B0EF8"/>
    <w:rsid w:val="00312222"/>
    <w:rsid w:val="003341E7"/>
    <w:rsid w:val="00354FCF"/>
    <w:rsid w:val="00357265"/>
    <w:rsid w:val="00362302"/>
    <w:rsid w:val="003A19E2"/>
    <w:rsid w:val="003B47AD"/>
    <w:rsid w:val="003B4E04"/>
    <w:rsid w:val="003E3133"/>
    <w:rsid w:val="003E650C"/>
    <w:rsid w:val="003F5A08"/>
    <w:rsid w:val="00407039"/>
    <w:rsid w:val="00420716"/>
    <w:rsid w:val="004325FB"/>
    <w:rsid w:val="004432BA"/>
    <w:rsid w:val="0044407E"/>
    <w:rsid w:val="00447BB9"/>
    <w:rsid w:val="0046031D"/>
    <w:rsid w:val="004622F1"/>
    <w:rsid w:val="00470709"/>
    <w:rsid w:val="00492071"/>
    <w:rsid w:val="00496A20"/>
    <w:rsid w:val="004B0130"/>
    <w:rsid w:val="004C2F2C"/>
    <w:rsid w:val="004D2B50"/>
    <w:rsid w:val="004D72B5"/>
    <w:rsid w:val="00501B84"/>
    <w:rsid w:val="005166DC"/>
    <w:rsid w:val="0052143A"/>
    <w:rsid w:val="00551B7F"/>
    <w:rsid w:val="005635E0"/>
    <w:rsid w:val="0056610F"/>
    <w:rsid w:val="00575BCA"/>
    <w:rsid w:val="005826D2"/>
    <w:rsid w:val="00596BAD"/>
    <w:rsid w:val="005A182B"/>
    <w:rsid w:val="005A7782"/>
    <w:rsid w:val="005B0344"/>
    <w:rsid w:val="005B520E"/>
    <w:rsid w:val="005C6CBF"/>
    <w:rsid w:val="005E2800"/>
    <w:rsid w:val="005E2981"/>
    <w:rsid w:val="005E4985"/>
    <w:rsid w:val="00604ACB"/>
    <w:rsid w:val="00605825"/>
    <w:rsid w:val="00625C63"/>
    <w:rsid w:val="00645D22"/>
    <w:rsid w:val="00651A08"/>
    <w:rsid w:val="00654204"/>
    <w:rsid w:val="00656EB5"/>
    <w:rsid w:val="00670434"/>
    <w:rsid w:val="0067139A"/>
    <w:rsid w:val="0068462F"/>
    <w:rsid w:val="006B6B66"/>
    <w:rsid w:val="006C471C"/>
    <w:rsid w:val="006D4255"/>
    <w:rsid w:val="006D6978"/>
    <w:rsid w:val="006F6D3D"/>
    <w:rsid w:val="00715BEA"/>
    <w:rsid w:val="00733253"/>
    <w:rsid w:val="00740EEA"/>
    <w:rsid w:val="00751ABD"/>
    <w:rsid w:val="007565EB"/>
    <w:rsid w:val="00761BC2"/>
    <w:rsid w:val="00783B92"/>
    <w:rsid w:val="00783B96"/>
    <w:rsid w:val="00794804"/>
    <w:rsid w:val="007B33F1"/>
    <w:rsid w:val="007B6DDA"/>
    <w:rsid w:val="007C0308"/>
    <w:rsid w:val="007C1F37"/>
    <w:rsid w:val="007C2FF2"/>
    <w:rsid w:val="007C4043"/>
    <w:rsid w:val="007D6232"/>
    <w:rsid w:val="007F1F99"/>
    <w:rsid w:val="007F7588"/>
    <w:rsid w:val="007F768F"/>
    <w:rsid w:val="0080791D"/>
    <w:rsid w:val="00835773"/>
    <w:rsid w:val="00836367"/>
    <w:rsid w:val="00844919"/>
    <w:rsid w:val="0085268D"/>
    <w:rsid w:val="00873603"/>
    <w:rsid w:val="008A2C7D"/>
    <w:rsid w:val="008C4B23"/>
    <w:rsid w:val="008C6D7D"/>
    <w:rsid w:val="008D7542"/>
    <w:rsid w:val="008F6E2C"/>
    <w:rsid w:val="009123DD"/>
    <w:rsid w:val="00914021"/>
    <w:rsid w:val="009303D9"/>
    <w:rsid w:val="00933C64"/>
    <w:rsid w:val="00942B59"/>
    <w:rsid w:val="00972203"/>
    <w:rsid w:val="009F1D79"/>
    <w:rsid w:val="00A059B3"/>
    <w:rsid w:val="00A26181"/>
    <w:rsid w:val="00A42E9D"/>
    <w:rsid w:val="00A6170A"/>
    <w:rsid w:val="00A64766"/>
    <w:rsid w:val="00AA061B"/>
    <w:rsid w:val="00AE3409"/>
    <w:rsid w:val="00B11A60"/>
    <w:rsid w:val="00B22613"/>
    <w:rsid w:val="00B7387D"/>
    <w:rsid w:val="00B768D1"/>
    <w:rsid w:val="00BA1025"/>
    <w:rsid w:val="00BC3420"/>
    <w:rsid w:val="00BC7B2A"/>
    <w:rsid w:val="00BD670B"/>
    <w:rsid w:val="00BE7D3C"/>
    <w:rsid w:val="00BF5FF6"/>
    <w:rsid w:val="00BF60FF"/>
    <w:rsid w:val="00C0207F"/>
    <w:rsid w:val="00C15FED"/>
    <w:rsid w:val="00C16117"/>
    <w:rsid w:val="00C3075A"/>
    <w:rsid w:val="00C65EB5"/>
    <w:rsid w:val="00C735A9"/>
    <w:rsid w:val="00C7649E"/>
    <w:rsid w:val="00C9048A"/>
    <w:rsid w:val="00C919A4"/>
    <w:rsid w:val="00CA38FC"/>
    <w:rsid w:val="00CA4392"/>
    <w:rsid w:val="00CC084C"/>
    <w:rsid w:val="00CC393F"/>
    <w:rsid w:val="00CF673B"/>
    <w:rsid w:val="00D0246A"/>
    <w:rsid w:val="00D17841"/>
    <w:rsid w:val="00D2176E"/>
    <w:rsid w:val="00D50EDA"/>
    <w:rsid w:val="00D632BE"/>
    <w:rsid w:val="00D72D06"/>
    <w:rsid w:val="00D7522C"/>
    <w:rsid w:val="00D7536F"/>
    <w:rsid w:val="00D76668"/>
    <w:rsid w:val="00E06295"/>
    <w:rsid w:val="00E07383"/>
    <w:rsid w:val="00E165BC"/>
    <w:rsid w:val="00E21559"/>
    <w:rsid w:val="00E27B80"/>
    <w:rsid w:val="00E42472"/>
    <w:rsid w:val="00E57193"/>
    <w:rsid w:val="00E61E12"/>
    <w:rsid w:val="00E7596C"/>
    <w:rsid w:val="00E878F2"/>
    <w:rsid w:val="00EB02EC"/>
    <w:rsid w:val="00EB6D42"/>
    <w:rsid w:val="00ED0149"/>
    <w:rsid w:val="00ED686D"/>
    <w:rsid w:val="00EE059D"/>
    <w:rsid w:val="00EE16DD"/>
    <w:rsid w:val="00EF7DE3"/>
    <w:rsid w:val="00F03103"/>
    <w:rsid w:val="00F271DE"/>
    <w:rsid w:val="00F53B70"/>
    <w:rsid w:val="00F627DA"/>
    <w:rsid w:val="00F7288F"/>
    <w:rsid w:val="00F847A6"/>
    <w:rsid w:val="00F854B0"/>
    <w:rsid w:val="00F9441B"/>
    <w:rsid w:val="00F97E61"/>
    <w:rsid w:val="00FA3D12"/>
    <w:rsid w:val="00FA4C32"/>
    <w:rsid w:val="00FC47B1"/>
    <w:rsid w:val="00FE71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F1916"/>
  <w15:chartTrackingRefBased/>
  <w15:docId w15:val="{2B6FBB52-51E7-48F4-BF56-580A566C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5"/>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6"/>
      </w:numPr>
      <w:spacing w:before="60" w:after="30"/>
      <w:ind w:left="58" w:hanging="29"/>
      <w:jc w:val="right"/>
    </w:pPr>
    <w:rPr>
      <w:sz w:val="12"/>
      <w:szCs w:val="12"/>
      <w:lang w:val="en-US" w:eastAsia="en-US" w:bidi="ar-SA"/>
    </w:rPr>
  </w:style>
  <w:style w:type="paragraph" w:customStyle="1" w:styleId="tablehead">
    <w:name w:val="table head"/>
    <w:p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Heading4Char">
    <w:name w:val="Heading 4 Char"/>
    <w:link w:val="Heading4"/>
    <w:rsid w:val="00D0246A"/>
    <w:rPr>
      <w:i/>
      <w:iCs/>
      <w:noProof/>
      <w:lang w:val="en-US" w:eastAsia="en-US" w:bidi="ar-SA"/>
    </w:rPr>
  </w:style>
  <w:style w:type="table" w:styleId="TableGrid">
    <w:name w:val="Table Grid"/>
    <w:basedOn w:val="TableNormal"/>
    <w:uiPriority w:val="39"/>
    <w:rsid w:val="00D0246A"/>
    <w:rPr>
      <w:rFonts w:ascii="Calibri" w:eastAsia="Calibri" w:hAnsi="Calibri" w:cs="Mangal"/>
      <w:kern w:val="2"/>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071"/>
    <w:pPr>
      <w:spacing w:after="160" w:line="259" w:lineRule="auto"/>
      <w:ind w:left="720"/>
      <w:contextualSpacing/>
      <w:jc w:val="left"/>
    </w:pPr>
    <w:rPr>
      <w:rFonts w:ascii="Calibri" w:eastAsia="Calibri" w:hAnsi="Calibri" w:cs="Mangal"/>
      <w:kern w:val="2"/>
      <w:sz w:val="22"/>
      <w:szCs w:val="22"/>
      <w:lang w:val="en-IN"/>
    </w:rPr>
  </w:style>
  <w:style w:type="paragraph" w:styleId="Caption">
    <w:name w:val="caption"/>
    <w:basedOn w:val="Normal"/>
    <w:next w:val="Normal"/>
    <w:unhideWhenUsed/>
    <w:qFormat/>
    <w:rsid w:val="00215EDD"/>
    <w:rPr>
      <w:b/>
      <w:bCs/>
    </w:rPr>
  </w:style>
  <w:style w:type="character" w:styleId="PlaceholderText">
    <w:name w:val="Placeholder Text"/>
    <w:basedOn w:val="DefaultParagraphFont"/>
    <w:uiPriority w:val="99"/>
    <w:semiHidden/>
    <w:rsid w:val="009140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00A9-8A2B-499B-A1CA-146366B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4562</Words>
  <Characters>26007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20</cp:revision>
  <dcterms:created xsi:type="dcterms:W3CDTF">2025-10-17T11:53:00Z</dcterms:created>
  <dcterms:modified xsi:type="dcterms:W3CDTF">2025-10-31T10:36:00Z</dcterms:modified>
</cp:coreProperties>
</file>