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4DDE7" w14:textId="30D37D37" w:rsidR="009303D9" w:rsidRPr="00B42A1F" w:rsidRDefault="009303D9" w:rsidP="00B42A1F">
      <w:pPr>
        <w:pStyle w:val="papertitle"/>
        <w:spacing w:before="100" w:beforeAutospacing="1" w:after="100" w:afterAutospacing="1"/>
        <w:jc w:val="both"/>
        <w:rPr>
          <w:kern w:val="48"/>
        </w:rPr>
      </w:pPr>
      <w:bookmarkStart w:id="0" w:name="_GoBack"/>
      <w:bookmarkEnd w:id="0"/>
    </w:p>
    <w:p w14:paraId="758620DC" w14:textId="39915D88" w:rsidR="000D0343" w:rsidRPr="002A440E" w:rsidRDefault="00A72932" w:rsidP="002A440E">
      <w:pPr>
        <w:pStyle w:val="papertitle"/>
        <w:spacing w:before="100" w:beforeAutospacing="1" w:after="100" w:afterAutospacing="1"/>
        <w:rPr>
          <w:kern w:val="48"/>
        </w:rPr>
      </w:pPr>
      <w:r w:rsidRPr="00A72932">
        <w:rPr>
          <w:kern w:val="48"/>
        </w:rPr>
        <w:t>Smart-Shoe Sensing and AI Imaging for Diabetic Foot Ulcers</w:t>
      </w:r>
    </w:p>
    <w:p w14:paraId="0E59379F"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1B6E30A3" w14:textId="449F0882" w:rsidR="00B42A1F" w:rsidRPr="00B42A1F" w:rsidRDefault="00B42A1F" w:rsidP="00B42A1F">
      <w:pPr>
        <w:pStyle w:val="Author"/>
        <w:spacing w:before="100" w:beforeAutospacing="1"/>
        <w:rPr>
          <w:sz w:val="18"/>
          <w:szCs w:val="18"/>
        </w:rPr>
      </w:pPr>
      <w:r w:rsidRPr="00B42A1F">
        <w:rPr>
          <w:sz w:val="18"/>
          <w:szCs w:val="18"/>
        </w:rPr>
        <w:lastRenderedPageBreak/>
        <w:t>Tala Omar Turki Kamel</w:t>
      </w:r>
    </w:p>
    <w:p w14:paraId="6D4CA9DD" w14:textId="77777777" w:rsidR="00B42A1F" w:rsidRPr="002D22EF" w:rsidRDefault="00B42A1F" w:rsidP="00200D03">
      <w:pPr>
        <w:pStyle w:val="Author"/>
        <w:spacing w:before="0"/>
        <w:rPr>
          <w:i/>
          <w:iCs/>
          <w:sz w:val="18"/>
          <w:szCs w:val="18"/>
        </w:rPr>
      </w:pPr>
      <w:r w:rsidRPr="002D22EF">
        <w:rPr>
          <w:i/>
          <w:iCs/>
          <w:sz w:val="18"/>
          <w:szCs w:val="18"/>
        </w:rPr>
        <w:t xml:space="preserve">Jubilee School  </w:t>
      </w:r>
    </w:p>
    <w:p w14:paraId="311D7C85" w14:textId="77777777" w:rsidR="00B42A1F" w:rsidRPr="00B42A1F" w:rsidRDefault="00B42A1F" w:rsidP="00200D03">
      <w:pPr>
        <w:pStyle w:val="Author"/>
        <w:spacing w:before="0"/>
        <w:rPr>
          <w:sz w:val="18"/>
          <w:szCs w:val="18"/>
        </w:rPr>
      </w:pPr>
      <w:r w:rsidRPr="00B42A1F">
        <w:rPr>
          <w:sz w:val="18"/>
          <w:szCs w:val="18"/>
        </w:rPr>
        <w:t xml:space="preserve">Amman, Jordan  </w:t>
      </w:r>
    </w:p>
    <w:p w14:paraId="3823554D" w14:textId="5D70EE8C" w:rsidR="006C2E3D" w:rsidRDefault="00E14894" w:rsidP="00200D03">
      <w:pPr>
        <w:pStyle w:val="Author"/>
        <w:spacing w:before="0"/>
        <w:rPr>
          <w:sz w:val="18"/>
          <w:szCs w:val="18"/>
        </w:rPr>
      </w:pPr>
      <w:hyperlink r:id="rId9" w:history="1">
        <w:r w:rsidR="006C2E3D" w:rsidRPr="000409F6">
          <w:rPr>
            <w:rStyle w:val="Hyperlink"/>
            <w:sz w:val="18"/>
            <w:szCs w:val="18"/>
          </w:rPr>
          <w:t>tala.kamel09@gmail.com</w:t>
        </w:r>
      </w:hyperlink>
      <w:r w:rsidR="006C2E3D">
        <w:rPr>
          <w:sz w:val="18"/>
          <w:szCs w:val="18"/>
        </w:rPr>
        <w:t xml:space="preserve"> </w:t>
      </w:r>
      <w:r w:rsidR="00B42A1F" w:rsidRPr="00B42A1F">
        <w:rPr>
          <w:sz w:val="18"/>
          <w:szCs w:val="18"/>
        </w:rPr>
        <w:t xml:space="preserve">  </w:t>
      </w:r>
    </w:p>
    <w:p w14:paraId="24B78291" w14:textId="77777777" w:rsidR="006C2E3D" w:rsidRDefault="006C2E3D" w:rsidP="00200D03">
      <w:pPr>
        <w:pStyle w:val="Author"/>
        <w:spacing w:before="0"/>
        <w:rPr>
          <w:sz w:val="18"/>
          <w:szCs w:val="18"/>
        </w:rPr>
      </w:pPr>
    </w:p>
    <w:p w14:paraId="622B187D" w14:textId="6F8AB07D" w:rsidR="006C2E3D" w:rsidRDefault="006C2E3D" w:rsidP="00200D03">
      <w:pPr>
        <w:pStyle w:val="Author"/>
        <w:spacing w:before="0"/>
        <w:rPr>
          <w:sz w:val="18"/>
          <w:szCs w:val="18"/>
        </w:rPr>
      </w:pPr>
      <w:r>
        <w:rPr>
          <w:sz w:val="18"/>
          <w:szCs w:val="18"/>
        </w:rPr>
        <w:t>Sawsan Jamil Abu Jammaah</w:t>
      </w:r>
    </w:p>
    <w:p w14:paraId="5D23D0F1" w14:textId="4C448CDF" w:rsidR="006C2E3D" w:rsidRPr="00E200C4" w:rsidRDefault="006C2E3D" w:rsidP="00200D03">
      <w:pPr>
        <w:pStyle w:val="Author"/>
        <w:spacing w:before="0"/>
        <w:rPr>
          <w:i/>
          <w:iCs/>
          <w:sz w:val="18"/>
          <w:szCs w:val="18"/>
        </w:rPr>
      </w:pPr>
      <w:r w:rsidRPr="00E200C4">
        <w:rPr>
          <w:i/>
          <w:iCs/>
          <w:sz w:val="18"/>
          <w:szCs w:val="18"/>
        </w:rPr>
        <w:t>Jubilee School</w:t>
      </w:r>
    </w:p>
    <w:p w14:paraId="4879116E" w14:textId="67231070" w:rsidR="006C2E3D" w:rsidRDefault="006C2E3D" w:rsidP="00200D03">
      <w:pPr>
        <w:pStyle w:val="Author"/>
        <w:spacing w:before="0"/>
        <w:rPr>
          <w:sz w:val="18"/>
          <w:szCs w:val="18"/>
        </w:rPr>
      </w:pPr>
      <w:r>
        <w:rPr>
          <w:sz w:val="18"/>
          <w:szCs w:val="18"/>
        </w:rPr>
        <w:t>Amman, Jordan</w:t>
      </w:r>
    </w:p>
    <w:p w14:paraId="14642071" w14:textId="383799CF" w:rsidR="006C2E3D" w:rsidRDefault="00E14894" w:rsidP="00200D03">
      <w:pPr>
        <w:pStyle w:val="Author"/>
        <w:spacing w:before="0"/>
        <w:rPr>
          <w:sz w:val="18"/>
          <w:szCs w:val="18"/>
        </w:rPr>
      </w:pPr>
      <w:hyperlink r:id="rId10" w:history="1">
        <w:r w:rsidR="006C2E3D" w:rsidRPr="000409F6">
          <w:rPr>
            <w:rStyle w:val="Hyperlink"/>
            <w:sz w:val="18"/>
            <w:szCs w:val="18"/>
          </w:rPr>
          <w:t>sabujammaah@jubilee.edu.jo</w:t>
        </w:r>
      </w:hyperlink>
      <w:r w:rsidR="006C2E3D">
        <w:rPr>
          <w:sz w:val="18"/>
          <w:szCs w:val="18"/>
        </w:rPr>
        <w:t xml:space="preserve"> </w:t>
      </w:r>
    </w:p>
    <w:p w14:paraId="4B3B1660" w14:textId="2F18B6D7" w:rsidR="00B42A1F" w:rsidRPr="00B42A1F" w:rsidRDefault="00BD670B" w:rsidP="00200D03">
      <w:pPr>
        <w:pStyle w:val="Author"/>
        <w:spacing w:before="0"/>
        <w:rPr>
          <w:sz w:val="18"/>
          <w:szCs w:val="18"/>
        </w:rPr>
      </w:pPr>
      <w:r>
        <w:rPr>
          <w:sz w:val="18"/>
          <w:szCs w:val="18"/>
        </w:rPr>
        <w:br w:type="column"/>
      </w:r>
      <w:r w:rsidR="00B42A1F" w:rsidRPr="00B42A1F">
        <w:rPr>
          <w:sz w:val="18"/>
          <w:szCs w:val="18"/>
        </w:rPr>
        <w:lastRenderedPageBreak/>
        <w:t xml:space="preserve">Salma Dirar Tawfiq Al Qasem  </w:t>
      </w:r>
    </w:p>
    <w:p w14:paraId="34D643B5" w14:textId="77777777" w:rsidR="00B42A1F" w:rsidRPr="002D22EF" w:rsidRDefault="00B42A1F" w:rsidP="00200D03">
      <w:pPr>
        <w:pStyle w:val="Author"/>
        <w:spacing w:before="0"/>
        <w:rPr>
          <w:i/>
          <w:iCs/>
          <w:sz w:val="18"/>
          <w:szCs w:val="18"/>
        </w:rPr>
      </w:pPr>
      <w:r w:rsidRPr="002D22EF">
        <w:rPr>
          <w:i/>
          <w:iCs/>
          <w:sz w:val="18"/>
          <w:szCs w:val="18"/>
        </w:rPr>
        <w:t xml:space="preserve">Jubilee School  </w:t>
      </w:r>
    </w:p>
    <w:p w14:paraId="1AF040A3" w14:textId="77777777" w:rsidR="00B42A1F" w:rsidRPr="00B42A1F" w:rsidRDefault="00B42A1F" w:rsidP="00200D03">
      <w:pPr>
        <w:pStyle w:val="Author"/>
        <w:spacing w:before="0"/>
        <w:rPr>
          <w:sz w:val="18"/>
          <w:szCs w:val="18"/>
        </w:rPr>
      </w:pPr>
      <w:r w:rsidRPr="00B42A1F">
        <w:rPr>
          <w:sz w:val="18"/>
          <w:szCs w:val="18"/>
        </w:rPr>
        <w:t xml:space="preserve">Amman, Jordan  </w:t>
      </w:r>
    </w:p>
    <w:p w14:paraId="37FD9270" w14:textId="5AA5C6C6" w:rsidR="00DD7B51" w:rsidRDefault="00E14894" w:rsidP="00DD7B51">
      <w:pPr>
        <w:pStyle w:val="Author"/>
        <w:spacing w:before="0"/>
        <w:rPr>
          <w:sz w:val="18"/>
          <w:szCs w:val="18"/>
        </w:rPr>
      </w:pPr>
      <w:hyperlink r:id="rId11" w:history="1">
        <w:r w:rsidR="006C2E3D" w:rsidRPr="000409F6">
          <w:rPr>
            <w:rStyle w:val="Hyperlink"/>
            <w:sz w:val="18"/>
            <w:szCs w:val="18"/>
          </w:rPr>
          <w:t>salmaalqasem6@gmail.com</w:t>
        </w:r>
      </w:hyperlink>
      <w:r w:rsidR="006C2E3D">
        <w:rPr>
          <w:sz w:val="18"/>
          <w:szCs w:val="18"/>
        </w:rPr>
        <w:t xml:space="preserve"> </w:t>
      </w:r>
    </w:p>
    <w:p w14:paraId="5FBBAA77" w14:textId="71C3FCCB" w:rsidR="00DD7B51" w:rsidRPr="00DD7B51" w:rsidRDefault="00DD7B51" w:rsidP="00DD7B51">
      <w:pPr>
        <w:pStyle w:val="Author"/>
        <w:spacing w:before="100" w:beforeAutospacing="1"/>
        <w:rPr>
          <w:sz w:val="18"/>
          <w:szCs w:val="18"/>
        </w:rPr>
      </w:pPr>
      <w:bookmarkStart w:id="1" w:name="OLE_LINK3"/>
      <w:bookmarkStart w:id="2" w:name="OLE_LINK1"/>
      <w:bookmarkStart w:id="3" w:name="OLE_LINK2"/>
      <w:r w:rsidRPr="00DD7B51">
        <w:rPr>
          <w:sz w:val="18"/>
          <w:szCs w:val="18"/>
        </w:rPr>
        <w:t xml:space="preserve">Mohamed Hafez                                                  </w:t>
      </w:r>
      <w:bookmarkStart w:id="4" w:name="OLE_LINK4"/>
      <w:bookmarkStart w:id="5" w:name="OLE_LINK5"/>
      <w:bookmarkEnd w:id="1"/>
      <w:r w:rsidRPr="00DD7B51">
        <w:rPr>
          <w:sz w:val="18"/>
          <w:szCs w:val="18"/>
        </w:rPr>
        <w:t xml:space="preserve">Faculty of Engineering FEQS, INTI-IU-University, </w:t>
      </w:r>
      <w:bookmarkStart w:id="6" w:name="OLE_LINK6"/>
      <w:bookmarkEnd w:id="4"/>
      <w:bookmarkEnd w:id="5"/>
      <w:r>
        <w:rPr>
          <w:sz w:val="18"/>
          <w:szCs w:val="18"/>
        </w:rPr>
        <w:t>Nilai, Malaysia.</w:t>
      </w:r>
      <w:r w:rsidRPr="00DD7B51">
        <w:rPr>
          <w:sz w:val="18"/>
          <w:szCs w:val="18"/>
        </w:rPr>
        <w:t xml:space="preserve"> </w:t>
      </w:r>
      <w:bookmarkEnd w:id="6"/>
      <w:r w:rsidRPr="00DD7B51">
        <w:fldChar w:fldCharType="begin"/>
      </w:r>
      <w:r w:rsidRPr="00DD7B51">
        <w:rPr>
          <w:sz w:val="18"/>
          <w:szCs w:val="18"/>
        </w:rPr>
        <w:instrText xml:space="preserve"> HYPERLINK "mailto:mohdahmed.hafez@newinti.edu.my" </w:instrText>
      </w:r>
      <w:r w:rsidRPr="00DD7B51">
        <w:fldChar w:fldCharType="separate"/>
      </w:r>
      <w:r w:rsidRPr="00DD7B51">
        <w:rPr>
          <w:rStyle w:val="Hyperlink"/>
          <w:sz w:val="18"/>
          <w:szCs w:val="18"/>
        </w:rPr>
        <w:t>mohdahmed.hafez@newinti.edu.my</w:t>
      </w:r>
      <w:r w:rsidRPr="00DD7B51">
        <w:rPr>
          <w:rStyle w:val="Hyperlink"/>
          <w:sz w:val="18"/>
          <w:szCs w:val="18"/>
        </w:rPr>
        <w:fldChar w:fldCharType="end"/>
      </w:r>
      <w:r w:rsidRPr="00DD7B51">
        <w:rPr>
          <w:sz w:val="18"/>
          <w:szCs w:val="18"/>
        </w:rPr>
        <w:t xml:space="preserve">                      Faculty of Management, Shinawatra University, Pathum Thani, Thailand.</w:t>
      </w:r>
    </w:p>
    <w:bookmarkEnd w:id="2"/>
    <w:bookmarkEnd w:id="3"/>
    <w:p w14:paraId="6FDBD65D" w14:textId="77777777" w:rsidR="00DD7B51" w:rsidRDefault="00DD7B51" w:rsidP="00200D03">
      <w:pPr>
        <w:pStyle w:val="Author"/>
        <w:spacing w:before="0"/>
        <w:rPr>
          <w:sz w:val="18"/>
          <w:szCs w:val="18"/>
        </w:rPr>
      </w:pPr>
    </w:p>
    <w:p w14:paraId="0098C313" w14:textId="0DB28509" w:rsidR="00447BB9" w:rsidRDefault="00BD670B" w:rsidP="00200D03">
      <w:pPr>
        <w:pStyle w:val="Author"/>
        <w:spacing w:before="0"/>
      </w:pPr>
      <w:r>
        <w:rPr>
          <w:sz w:val="18"/>
          <w:szCs w:val="18"/>
        </w:rPr>
        <w:br w:type="column"/>
      </w:r>
      <w:r w:rsidR="003C0BC7">
        <w:rPr>
          <w:sz w:val="18"/>
          <w:szCs w:val="18"/>
        </w:rPr>
        <w:lastRenderedPageBreak/>
        <w:t>Khaled AlDahdouh</w:t>
      </w:r>
      <w:r w:rsidR="00447BB9">
        <w:t xml:space="preserve"> </w:t>
      </w:r>
    </w:p>
    <w:p w14:paraId="50DF7D99" w14:textId="609F4814" w:rsidR="003C0BC7" w:rsidRPr="002D22EF" w:rsidRDefault="003C0BC7" w:rsidP="00200D03">
      <w:pPr>
        <w:pStyle w:val="Author"/>
        <w:spacing w:before="0"/>
        <w:rPr>
          <w:i/>
          <w:iCs/>
          <w:sz w:val="18"/>
          <w:szCs w:val="18"/>
        </w:rPr>
      </w:pPr>
      <w:r w:rsidRPr="002D22EF">
        <w:rPr>
          <w:i/>
          <w:iCs/>
          <w:sz w:val="18"/>
          <w:szCs w:val="18"/>
        </w:rPr>
        <w:t>Jubilee School</w:t>
      </w:r>
    </w:p>
    <w:p w14:paraId="1E16C3D1" w14:textId="406AE9FC" w:rsidR="003C0BC7" w:rsidRPr="003C0BC7" w:rsidRDefault="003C0BC7" w:rsidP="00200D03">
      <w:pPr>
        <w:pStyle w:val="Author"/>
        <w:spacing w:before="0"/>
        <w:rPr>
          <w:sz w:val="18"/>
          <w:szCs w:val="18"/>
        </w:rPr>
      </w:pPr>
      <w:r w:rsidRPr="003C0BC7">
        <w:rPr>
          <w:sz w:val="18"/>
          <w:szCs w:val="18"/>
        </w:rPr>
        <w:t>Amman, Jordan</w:t>
      </w:r>
    </w:p>
    <w:p w14:paraId="23135BF2" w14:textId="7A80C4F5" w:rsidR="009F1D79" w:rsidRPr="00A16C03" w:rsidRDefault="00E14894" w:rsidP="00200D03">
      <w:pPr>
        <w:rPr>
          <w:sz w:val="18"/>
          <w:szCs w:val="18"/>
        </w:rPr>
      </w:pPr>
      <w:hyperlink r:id="rId12" w:history="1">
        <w:r w:rsidR="006C2E3D" w:rsidRPr="000409F6">
          <w:rPr>
            <w:rStyle w:val="Hyperlink"/>
            <w:sz w:val="18"/>
            <w:szCs w:val="18"/>
          </w:rPr>
          <w:t>k.aldahdouh@jubilee.edu.jo</w:t>
        </w:r>
      </w:hyperlink>
      <w:r w:rsidR="006C2E3D">
        <w:rPr>
          <w:sz w:val="18"/>
          <w:szCs w:val="18"/>
        </w:rPr>
        <w:t xml:space="preserve"> </w:t>
      </w:r>
    </w:p>
    <w:p w14:paraId="1B186F0D" w14:textId="77777777" w:rsidR="00DC7885" w:rsidRDefault="00DC7885" w:rsidP="00200D03"/>
    <w:p w14:paraId="7F804E65" w14:textId="0B241E91" w:rsidR="001C33BE" w:rsidRDefault="001C33BE" w:rsidP="006C2E3D">
      <w:pPr>
        <w:jc w:val="both"/>
        <w:sectPr w:rsidR="001C33BE" w:rsidSect="003B4E04">
          <w:type w:val="continuous"/>
          <w:pgSz w:w="11906" w:h="16838" w:code="9"/>
          <w:pgMar w:top="450" w:right="893" w:bottom="1440" w:left="893" w:header="720" w:footer="720" w:gutter="0"/>
          <w:cols w:num="3" w:space="720"/>
          <w:docGrid w:linePitch="360"/>
        </w:sectPr>
      </w:pPr>
    </w:p>
    <w:p w14:paraId="784C761F" w14:textId="0C822D20" w:rsidR="009303D9" w:rsidRPr="005B520E" w:rsidRDefault="00BD670B" w:rsidP="006C2E3D">
      <w:pPr>
        <w:jc w:val="both"/>
        <w:sectPr w:rsidR="009303D9" w:rsidRPr="005B520E" w:rsidSect="003B4E04">
          <w:type w:val="continuous"/>
          <w:pgSz w:w="11906" w:h="16838" w:code="9"/>
          <w:pgMar w:top="450" w:right="893" w:bottom="1440" w:left="893" w:header="720" w:footer="720" w:gutter="0"/>
          <w:cols w:num="3" w:space="720"/>
          <w:docGrid w:linePitch="360"/>
        </w:sectPr>
      </w:pPr>
      <w:r>
        <w:lastRenderedPageBreak/>
        <w:br w:type="column"/>
      </w:r>
    </w:p>
    <w:p w14:paraId="285C6B30" w14:textId="0FA82113" w:rsidR="004D72B5" w:rsidRDefault="009303D9" w:rsidP="00472C3B">
      <w:pPr>
        <w:pStyle w:val="Abstract"/>
        <w:spacing w:after="0"/>
      </w:pPr>
      <w:r>
        <w:rPr>
          <w:i/>
          <w:iCs/>
        </w:rPr>
        <w:lastRenderedPageBreak/>
        <w:t>Abstract</w:t>
      </w:r>
      <w:r>
        <w:t>—</w:t>
      </w:r>
      <w:r w:rsidR="0014260B" w:rsidRPr="0014260B">
        <w:t xml:space="preserve"> </w:t>
      </w:r>
      <w:r w:rsidR="009E09D3" w:rsidRPr="009E09D3">
        <w:t xml:space="preserve">Diabetic foot ulcers (DFUs) drive substantial morbidity and amputation risk. Routine assessment is episodic and often relies on invasive or resource-intensive procedures, limiting timely risk stratification. We present an integrated system comprising a smart in-shoe sensor array (temperature, moisture, pressure) and an AI-enabled mobile application. Sensor exceedances prompt guided image capture; a vision pipeline trained on more than 16,000 images performs ulcer triage: Wagner grade classification, infection and </w:t>
      </w:r>
      <w:proofErr w:type="spellStart"/>
      <w:r w:rsidR="009E09D3" w:rsidRPr="009E09D3">
        <w:t>ischaemia</w:t>
      </w:r>
      <w:proofErr w:type="spellEnd"/>
      <w:r w:rsidR="009E09D3" w:rsidRPr="009E09D3">
        <w:t xml:space="preserve"> detection, wound segmentation, and 3-D mesh reconstruction for area, depth, and volume estimation. Synthetic thermal renderings are provided as visual aids only, alongside dashboards for longitudinal healing, dressing guidance, and recurrence risk. The shoe includes optional vibration actuation as an adjunctive preventive feature. Models are evaluated against clinician labels with patient-level splits; we report AUROC/AUPRC with 95% confidence intervals and prespecified operating points (sensitivity, specificity, PPV, NPV). In testing, the system showed promising discrimination and measurement agreement, supporting low-cost, non-invasive pre-classification and remote monitoring to inform patient self-care and clinical decision-making.</w:t>
      </w:r>
      <w:r w:rsidR="00156504">
        <w:t xml:space="preserve"> </w:t>
      </w:r>
      <w:r w:rsidR="0081139E" w:rsidRPr="0081139E">
        <w:t>This work advances SDG 3 (Good Health and Well-Being), SDG 9 (Industry, Innovation and Infrastructure), and SDG 10 (Reduced Inequalities) by enabling accessible, preventive DFU care with scalable digital health infrastructure.</w:t>
      </w:r>
    </w:p>
    <w:p w14:paraId="1B38ABE1" w14:textId="77777777" w:rsidR="00505464" w:rsidRDefault="00505464" w:rsidP="00472C3B">
      <w:pPr>
        <w:pStyle w:val="Abstract"/>
        <w:spacing w:after="0"/>
        <w:rPr>
          <w:i/>
          <w:iCs/>
        </w:rPr>
      </w:pPr>
    </w:p>
    <w:p w14:paraId="7C88E7E0" w14:textId="7B72E6F2" w:rsidR="009303D9" w:rsidRPr="004D72B5" w:rsidRDefault="004D72B5" w:rsidP="00472C3B">
      <w:pPr>
        <w:pStyle w:val="Keywords"/>
        <w:spacing w:after="0"/>
      </w:pPr>
      <w:r w:rsidRPr="004D72B5">
        <w:t>Keywords—</w:t>
      </w:r>
      <w:r w:rsidR="00B42A1F" w:rsidRPr="00B42A1F">
        <w:t xml:space="preserve"> diabetic foot ulcer, smart shoe, AI-powered mobile application, AI imaging, ulcer classification, sensor-based monitoring, ulcer monitoring.</w:t>
      </w:r>
    </w:p>
    <w:p w14:paraId="2B347B9B" w14:textId="075E7A4F" w:rsidR="009303D9" w:rsidRPr="00147190" w:rsidRDefault="009303D9" w:rsidP="00147190">
      <w:pPr>
        <w:pStyle w:val="Heading1"/>
      </w:pPr>
      <w:r w:rsidRPr="00147190">
        <w:t xml:space="preserve">Introduction </w:t>
      </w:r>
    </w:p>
    <w:p w14:paraId="42427FA7" w14:textId="77777777" w:rsidR="00C112A3" w:rsidRDefault="00C112A3" w:rsidP="00C112A3">
      <w:pPr>
        <w:pStyle w:val="BodyText"/>
        <w:ind w:firstLine="289"/>
      </w:pPr>
      <w:r>
        <w:t>Diabetic foot ulcers (DFUs) are open wounds that commonly affect patients with diabetes, primarily as a result of neuropathy and peripheral vascular disease. They represent a leading cause of lower-limb amputations, with over 160,000 diabetics in the United States undergoing amputations annually [1],[2]. In patients with peripheral neuropathy, prolonged exposure to high blood glucose levels causes nerve damage, particularly in the distal extremities like the feet, which leads to reduced or absent sensation—meaning patients may not feel pain, pressure, or injury [3]. As a result, minor traumas—such as cuts, blisters, or pressure from tight shoes—can go unnoticed and untreated.</w:t>
      </w:r>
    </w:p>
    <w:p w14:paraId="3C5CE80C" w14:textId="77777777" w:rsidR="0043275A" w:rsidRDefault="00C112A3" w:rsidP="00C112A3">
      <w:pPr>
        <w:pStyle w:val="BodyText"/>
        <w:spacing w:after="0" w:line="240" w:lineRule="auto"/>
        <w:ind w:firstLine="289"/>
      </w:pPr>
      <w:r>
        <w:lastRenderedPageBreak/>
        <w:t>Moreover, neuropathy compromises the autonomic nerves that regulate sweat and oil gland function, leading to dry, cracked skin that is more vulnerable to breakdown [4]. This loss of moisture and elasticity weakens skin integrity, making it easier for bacteria to enter and initiate infection. Compounding this issue is the impaired immune response associated with diabetes: elevated glucose levels interfere with the normal function of white blood cells, reducing their ability to fight pathogens effectively [5]. Simultaneously, hyperglycemia and microvascular damage slow the delivery of oxygen and nutrients to the wound site, resulting in poor tissue perfusion and delayed healing [6]. Over time, these combined factors—sensory loss, dry skin, immune dysfunction, and impaired circulation—create the perfect conditions for a minor skin injury to evolve into a chronic, non-healing ulcer. Beyond the physical consequences, DFUs frequently result in chronic pain, emotional distress, and social withdrawal, contributing to a reduced quality of life [7].</w:t>
      </w:r>
    </w:p>
    <w:p w14:paraId="37C69D19" w14:textId="16C2A14C" w:rsidR="0043275A" w:rsidRDefault="0043275A" w:rsidP="0043275A">
      <w:pPr>
        <w:pStyle w:val="BodyText"/>
        <w:ind w:firstLine="289"/>
      </w:pPr>
      <w:r>
        <w:t>Early detection and continuous monitoring are crucial for reducing the severity and incidence of DFUs. In a study by Lavery et al., a randomized, physician‑blinded, multicenter trial was conducted over 15 months involving 173 high‑risk diabetic patients with prior foot ulcers</w:t>
      </w:r>
      <w:r w:rsidR="005B2832">
        <w:t>[8]</w:t>
      </w:r>
      <w:r>
        <w:t>. Participants were split into three cohorts: standard care, foot self‑examination, and a group using handheld infrared thermometers. The latter measured skin temperature at six sites on each foot each day. A difference of 4 °F (</w:t>
      </w:r>
      <w:r>
        <w:rPr>
          <w:rFonts w:hint="eastAsia"/>
        </w:rPr>
        <w:t>≈</w:t>
      </w:r>
      <w:r>
        <w:t>2.2 °C) between corresponding sites on both feet triggered a recommendation to reduce activity and consult a nurse. Results showed that the temperature‑monitoring group developed ulcers at a significantly lower rate (8.5%) compared to the standard care group (29.3%) and the self‑examination group (30.4%). Patients who did not monitor foot temperature were approximately 4 to 4.7 times more likely to develop ulcers (p &lt; 0.005). Lavery et al. demonstrated that simple, at-home infrared foot temperature measurement is an effective early detection method that substantially reduces ulcer recurrence .</w:t>
      </w:r>
    </w:p>
    <w:p w14:paraId="70C04E54" w14:textId="20822565" w:rsidR="00EB1BB6" w:rsidRDefault="0043275A" w:rsidP="002232DB">
      <w:pPr>
        <w:pStyle w:val="BodyText"/>
        <w:ind w:firstLine="289"/>
      </w:pPr>
      <w:r>
        <w:t xml:space="preserve">In a separate study by McIntosh, Ivory, and Gethin, the authors highlight wound exudate as a critical early diagnostic indicator in the assessment of DFUs. Rather than being solely a byproduct of the healing process, the study suggests that </w:t>
      </w:r>
      <w:r>
        <w:lastRenderedPageBreak/>
        <w:t xml:space="preserve">exudate reflects underlying pathophysiological changes—such as inflammation, infection, or tissue degradation—that may occur even before visible ulceration develops. The authors describe exudate as a biologically active fluid composed of water, electrolytes, proteins, inflammatory mediators, immune cells, and growth factors—each offering diagnostic clues about the wound environment. McIntosh, Ivory, and Gethin emphasize that the early recognition and evaluation of wound exudate are essential for timely intervention, reducing the risk of ulcer progression and complications in diabetic patients [9]. </w:t>
      </w:r>
    </w:p>
    <w:p w14:paraId="0D3B3514" w14:textId="13BBC7A0" w:rsidR="002232DB" w:rsidRDefault="002232DB" w:rsidP="002232DB">
      <w:pPr>
        <w:pStyle w:val="BodyText"/>
        <w:ind w:firstLine="289"/>
      </w:pPr>
      <w:r>
        <w:t xml:space="preserve">In a related study by Boulton et al., the researchers investigated the relationship between plantar pressure and foot ulceration in patients with </w:t>
      </w:r>
      <w:r w:rsidR="00B301B3">
        <w:t>D</w:t>
      </w:r>
      <w:r>
        <w:t xml:space="preserve">iabetic </w:t>
      </w:r>
      <w:r w:rsidR="00B301B3">
        <w:t>P</w:t>
      </w:r>
      <w:r>
        <w:t xml:space="preserve">eripheral </w:t>
      </w:r>
      <w:r w:rsidR="00B301B3">
        <w:t>N</w:t>
      </w:r>
      <w:r>
        <w:t xml:space="preserve">europathy (DPN), aiming to identify a critical threshold above which tissue breakdown is likely to occur. Using in-shoe pressure sensors, the study found that all participants with existing neuropathic ulcers exhibited plantar pressures exceeding 110 kilopascals (kPa) at ulcer sites. This consistent finding across the patient group suggested that 110 kPa may represent a clinical threshold for ulcer development in neuropathic feet [10]. It is also worth noting that a significant proportion of </w:t>
      </w:r>
      <w:r w:rsidR="0028393C">
        <w:t>DFUs</w:t>
      </w:r>
      <w:r>
        <w:t xml:space="preserve"> occur on the plantar surface of the foot—rather than the dorsal side—which is precisely the area of focus in our current study. In fact, in neuropathic ulcers, 79.5% were found on the plantar surface, with 40.4% located on the toes and 39.1% under the metatarsal heads [11].</w:t>
      </w:r>
    </w:p>
    <w:p w14:paraId="2D57A2BF" w14:textId="02B87B09" w:rsidR="002232DB" w:rsidRDefault="002232DB" w:rsidP="002232DB">
      <w:pPr>
        <w:pStyle w:val="BodyText"/>
        <w:ind w:firstLine="289"/>
      </w:pPr>
      <w:r>
        <w:t xml:space="preserve">In addressing the need for advanced diagnostic tools, the European Wound Management Database provides a comprehensive collection of chronic wound images, including </w:t>
      </w:r>
      <w:r w:rsidR="0028393C">
        <w:t>DFUs</w:t>
      </w:r>
      <w:r>
        <w:t>, captured through thermal imaging, depth cameras, and stereovision sensors, enabling multimodal analysis of wound characteristics [12].</w:t>
      </w:r>
    </w:p>
    <w:p w14:paraId="73CD558C" w14:textId="26A87AB6" w:rsidR="00936DDD" w:rsidRDefault="002232DB" w:rsidP="002232DB">
      <w:pPr>
        <w:pStyle w:val="BodyText"/>
        <w:ind w:firstLine="289"/>
      </w:pPr>
      <w:r>
        <w:t xml:space="preserve">Despite advancements in diabetic foot monitoring, several critical gaps remain. First, current detection methods are not personalized, relying heavily on clinician interpretation without accounting for individual variability. Ulcer classification is still performed manually in clinical settings and can be inaccurate, especially in complex cases involving both infection and ischemia—a condition characterized by restricted blood supply and reduced tissue oxygenation[13], often leading to tissue damage where subtle visual differences may be misjudged. Additionally, most systems </w:t>
      </w:r>
      <w:r w:rsidR="00783AA1">
        <w:t>cannot</w:t>
      </w:r>
      <w:r>
        <w:t xml:space="preserve"> capture precise 3D measurements of ulcer geometry, limiting accurate tracking of wound progression</w:t>
      </w:r>
      <w:r w:rsidR="00936DDD">
        <w:t>.</w:t>
      </w:r>
    </w:p>
    <w:p w14:paraId="55ADD1CC" w14:textId="05565DFC" w:rsidR="002232DB" w:rsidRDefault="002232DB" w:rsidP="002232DB">
      <w:pPr>
        <w:pStyle w:val="BodyText"/>
        <w:ind w:firstLine="289"/>
      </w:pPr>
      <w:r>
        <w:t>Because manual and clinical assessments require physical exposure of the ulcer, patients must endure long examination times, with no real-time classification or feedback available at home. This lack of immediacy delays intervention, prevents self-assessment, and may ultimately worsen the condition due to missed early signs. Techniques such as Doppler ultrasound, a non-invasive imaging that measures blood flow [14]</w:t>
      </w:r>
      <w:r w:rsidR="00783AA1">
        <w:t>,</w:t>
      </w:r>
      <w:r>
        <w:t xml:space="preserve"> and debridement sessions[15] – the medical removal of dead, damaged, or infected tissue to improve healing– are not only invasive and resource-intensive, but also increase patient discomfort and raise the risk of wound contamination during prolonged exposure. Furthermore, while initiatives like the European Wound Management Database offer promising tools for image-based analysis, the dependence on thermal and depth camera technologies highlights ongoing technological and cost barriers that hinder the widespread adoption and integration of such solutions in accessible, home-based diabetic foot ulcer screening and monitoring systems.</w:t>
      </w:r>
    </w:p>
    <w:p w14:paraId="1B7EF334" w14:textId="7CB66AD6" w:rsidR="002232DB" w:rsidRDefault="002232DB" w:rsidP="002232DB">
      <w:pPr>
        <w:pStyle w:val="BodyText"/>
        <w:spacing w:after="0" w:line="240" w:lineRule="auto"/>
        <w:ind w:firstLine="289"/>
      </w:pPr>
      <w:r>
        <w:lastRenderedPageBreak/>
        <w:t>To address this issue, we developed an AI-powered mobile app paired with a smart diabetic shoe to enhance diabetic foot care through detailed classification of ulcers, personalized early ulcer detection</w:t>
      </w:r>
      <w:r w:rsidR="00783AA1">
        <w:t>,</w:t>
      </w:r>
      <w:r>
        <w:t xml:space="preserve"> and prevention. The mobile app integrates an advanced imaging system that analyzes patient-uploaded foot images using AI models that classify ulcers, assess infection status and severity, and extract wound dimensions for precise evaluation. The smart shoe focuses on pressure relief, incorporates temperature and moisture sensors for early ulcer detection, along with vibrational motors for massage therapy and pressure sensors for prevention. The app and shoe work together, continuously monitoring foot health and providing real-time alerts based on sensor data</w:t>
      </w:r>
      <w:r w:rsidR="007C21E0">
        <w:t>[16]</w:t>
      </w:r>
      <w:r>
        <w:t xml:space="preserve">. This research aims to offer a personalized, user-friendly, non-invasive, and cost-effective solution to reduce amputation risks, minimize ulcer formation, and enhance overall diabetic foot care. </w:t>
      </w:r>
    </w:p>
    <w:p w14:paraId="10424B03" w14:textId="2750E130" w:rsidR="009C7053" w:rsidRPr="00C8674C" w:rsidRDefault="009C7053" w:rsidP="00C8674C">
      <w:pPr>
        <w:pStyle w:val="Heading1"/>
      </w:pPr>
      <w:r w:rsidRPr="00C8674C">
        <w:t xml:space="preserve">Methodology </w:t>
      </w:r>
    </w:p>
    <w:p w14:paraId="3F364D64" w14:textId="76488914" w:rsidR="009C7053" w:rsidRPr="00CA466E" w:rsidRDefault="009C7053" w:rsidP="00CA466E">
      <w:pPr>
        <w:pStyle w:val="Heading2"/>
      </w:pPr>
      <w:r w:rsidRPr="00CA466E">
        <w:t>Smart Shoe Development</w:t>
      </w:r>
    </w:p>
    <w:p w14:paraId="2143D769" w14:textId="1AA98FAA" w:rsidR="007E766D" w:rsidRDefault="007E766D" w:rsidP="00C8674C">
      <w:pPr>
        <w:pStyle w:val="BodyText"/>
        <w:spacing w:after="0" w:line="240" w:lineRule="auto"/>
      </w:pPr>
      <w:r w:rsidRPr="007E766D">
        <w:t xml:space="preserve">The proposed smart diabetic shoe, a proof of concept, integrates temperature, moisture, and pressure sensors for early detection and prevention of foot ulcers. Four temperature sensors are positioned at clinically validated high-risk plantar regions, leveraging evidence that an inter-foot temperature difference of </w:t>
      </w:r>
      <w:r w:rsidRPr="007E766D">
        <w:rPr>
          <w:rFonts w:hint="eastAsia"/>
        </w:rPr>
        <w:t>≥</w:t>
      </w:r>
      <w:r w:rsidR="00783AA1">
        <w:t xml:space="preserve"> </w:t>
      </w:r>
      <w:r w:rsidRPr="007E766D">
        <w:t>2.2 °C reliably predicts early-stage ulceration [</w:t>
      </w:r>
      <w:r w:rsidR="00A33E6E">
        <w:t>8</w:t>
      </w:r>
      <w:r w:rsidRPr="007E766D">
        <w:t>]. To improve diagnostic sensitivity, the system adaptively adjusts this threshold based on patient-specific risk factors. These factors include:</w:t>
      </w:r>
    </w:p>
    <w:p w14:paraId="0B8F4112" w14:textId="0D2FCD8F" w:rsidR="007E766D" w:rsidRDefault="007E766D" w:rsidP="00C8674C">
      <w:pPr>
        <w:pStyle w:val="bulletlist"/>
        <w:spacing w:after="0" w:line="240" w:lineRule="auto"/>
      </w:pPr>
      <w:r>
        <w:t>Smoking-induced vasoconstriction</w:t>
      </w:r>
      <w:r w:rsidR="007C21E0">
        <w:t>.</w:t>
      </w:r>
    </w:p>
    <w:p w14:paraId="340F763E" w14:textId="564FCF50" w:rsidR="007E766D" w:rsidRDefault="007E766D" w:rsidP="00C8674C">
      <w:pPr>
        <w:pStyle w:val="bulletlist"/>
        <w:spacing w:after="0" w:line="240" w:lineRule="auto"/>
      </w:pPr>
      <w:r>
        <w:t>Elevated Hemoglobin A1c(HbA1c) levels (indicating increased inflammation and neurovascular damage) [</w:t>
      </w:r>
      <w:r w:rsidR="006B70E9">
        <w:t>17</w:t>
      </w:r>
      <w:r>
        <w:t>].</w:t>
      </w:r>
    </w:p>
    <w:p w14:paraId="1AF357EF" w14:textId="7861ACCC" w:rsidR="007E766D" w:rsidRDefault="007E766D" w:rsidP="00C8674C">
      <w:pPr>
        <w:pStyle w:val="bulletlist"/>
        <w:spacing w:after="0" w:line="240" w:lineRule="auto"/>
      </w:pPr>
      <w:r>
        <w:t>Aging [</w:t>
      </w:r>
      <w:r w:rsidR="006B70E9">
        <w:t>18</w:t>
      </w:r>
      <w:r>
        <w:t>].</w:t>
      </w:r>
    </w:p>
    <w:p w14:paraId="37AE9787" w14:textId="4922329D" w:rsidR="007E766D" w:rsidRDefault="007E766D" w:rsidP="00C8674C">
      <w:pPr>
        <w:pStyle w:val="bulletlist"/>
        <w:spacing w:after="0" w:line="240" w:lineRule="auto"/>
      </w:pPr>
      <w:r>
        <w:t>Use of antihypertensive medication (e.g., β-blockers, vasodilators) [</w:t>
      </w:r>
      <w:r w:rsidR="006B70E9">
        <w:t>19</w:t>
      </w:r>
      <w:r>
        <w:t>].</w:t>
      </w:r>
    </w:p>
    <w:p w14:paraId="7E72D025" w14:textId="30C94839" w:rsidR="007E766D" w:rsidRDefault="007E766D" w:rsidP="00C8674C">
      <w:pPr>
        <w:pStyle w:val="bulletlist"/>
        <w:spacing w:after="0" w:line="240" w:lineRule="auto"/>
      </w:pPr>
      <w:r>
        <w:t>Presence of peripheral artery disease (PAD)</w:t>
      </w:r>
    </w:p>
    <w:p w14:paraId="76BD7728" w14:textId="281F0708" w:rsidR="007E766D" w:rsidRDefault="007E766D" w:rsidP="00C8674C">
      <w:pPr>
        <w:pStyle w:val="BodyText"/>
        <w:spacing w:after="0" w:line="240" w:lineRule="auto"/>
      </w:pPr>
      <w:r>
        <w:t>Both antihypertensive use and PAD can modulate peripheral circulation unevenly. Depending on localized vascular reactivity, this may result in asymmetrical foot temperatures. PAD, in particular, is known to reduce arterial flow, often causing cooler skin temperatures in the affected limb and contributing to thermal asymmetry [</w:t>
      </w:r>
      <w:r w:rsidR="006B70E9">
        <w:t>20</w:t>
      </w:r>
      <w:r>
        <w:t>].</w:t>
      </w:r>
    </w:p>
    <w:p w14:paraId="5D913709" w14:textId="2D89F1FF" w:rsidR="007E766D" w:rsidRDefault="007E766D" w:rsidP="00C8674C">
      <w:pPr>
        <w:pStyle w:val="BodyText"/>
        <w:spacing w:after="0" w:line="240" w:lineRule="auto"/>
      </w:pPr>
      <w:r>
        <w:t>Two moisture sensors—positioned at the forefoot and rearfoot—monitor wound exudate accumulation, addressing the risk of unnoticed maceration in neuropathic patients[</w:t>
      </w:r>
      <w:r w:rsidR="00B44445">
        <w:t>9</w:t>
      </w:r>
      <w:r>
        <w:t>].</w:t>
      </w:r>
    </w:p>
    <w:p w14:paraId="26F937B4" w14:textId="77777777" w:rsidR="007E766D" w:rsidRDefault="007E766D" w:rsidP="00C8674C">
      <w:pPr>
        <w:pStyle w:val="BodyText"/>
        <w:spacing w:after="0" w:line="240" w:lineRule="auto"/>
      </w:pPr>
      <w:r>
        <w:t>Pressure sensors provide both diagnostic and preventive functionality. They detect abnormal load distributions and alert users when pressure exceeds clinical thresholds:</w:t>
      </w:r>
    </w:p>
    <w:p w14:paraId="3C4D1C1A" w14:textId="2AD66692" w:rsidR="007E766D" w:rsidRDefault="007E766D" w:rsidP="00C8674C">
      <w:pPr>
        <w:pStyle w:val="BodyText"/>
        <w:spacing w:after="0" w:line="240" w:lineRule="auto"/>
      </w:pPr>
      <w:r>
        <w:t>Pressure sensors were set to clinical thresholds—110kPa. Boulton et al. found plantar pressures exceeding 110 kPa in all subjects with neuropathic ulcers, suggesting a critical threshold for ulceration[</w:t>
      </w:r>
      <w:r w:rsidR="00B44445">
        <w:t>10</w:t>
      </w:r>
      <w:r>
        <w:t>].</w:t>
      </w:r>
    </w:p>
    <w:p w14:paraId="753BE6C9" w14:textId="6F5D3CA5" w:rsidR="007E766D" w:rsidRDefault="007E766D" w:rsidP="00C8674C">
      <w:pPr>
        <w:pStyle w:val="BodyText"/>
        <w:spacing w:after="0" w:line="240" w:lineRule="auto"/>
      </w:pPr>
      <w:r>
        <w:t>While the arch is not traditionally monitored in pressure-sensing applications, its inclusion is clinically justified in diabetic patients.</w:t>
      </w:r>
      <w:r w:rsidR="006C51C5">
        <w:t xml:space="preserve"> </w:t>
      </w:r>
      <w:r>
        <w:t xml:space="preserve">Charcot foot, a severe complication of diabetic neuropathy, leads to loss of sensation, causing patients </w:t>
      </w:r>
      <w:r w:rsidR="00783AA1">
        <w:t>to walk on injured feet unknowingly</w:t>
      </w:r>
      <w:r>
        <w:t>. Repetitive trauma can result in bone weakening, dislocation, and collapse—most commonly affecting the arch [</w:t>
      </w:r>
      <w:r w:rsidR="00B44445">
        <w:t>21</w:t>
      </w:r>
      <w:r>
        <w:t>].</w:t>
      </w:r>
    </w:p>
    <w:p w14:paraId="1611A8F4" w14:textId="1ADE0848" w:rsidR="007E766D" w:rsidRDefault="007E766D" w:rsidP="00C8674C">
      <w:pPr>
        <w:pStyle w:val="BodyText"/>
        <w:spacing w:after="0" w:line="240" w:lineRule="auto"/>
      </w:pPr>
      <w:r>
        <w:lastRenderedPageBreak/>
        <w:t>As a prevention strategy, the therapeutic intervention includes six vibration motors that deliver 20-minute massage sessions at approximately 20 Hz [</w:t>
      </w:r>
      <w:r w:rsidR="00B44445">
        <w:t>22</w:t>
      </w:r>
      <w:r>
        <w:t>]. This frequency has been shown to enhance peripheral circulation, reduce symptoms of DPN, and support skin integrity [</w:t>
      </w:r>
      <w:r w:rsidR="00B44445">
        <w:t>23</w:t>
      </w:r>
      <w:r>
        <w:t>]. Improved skin integrity lowers the risk of ulcer formation. Furthermore, vibration massage therapy at this frequency may accelerate ulcer healing if one occurs, thereby contributing to both ulcer prevention and treatment [</w:t>
      </w:r>
      <w:r w:rsidR="00B44445">
        <w:t>24</w:t>
      </w:r>
      <w:r>
        <w:t>].</w:t>
      </w:r>
    </w:p>
    <w:p w14:paraId="03720FDD" w14:textId="3DD821B8" w:rsidR="007E766D" w:rsidRDefault="007E766D" w:rsidP="00C8674C">
      <w:pPr>
        <w:pStyle w:val="BodyText"/>
        <w:spacing w:after="0" w:line="240" w:lineRule="auto"/>
        <w:ind w:firstLine="0"/>
      </w:pPr>
    </w:p>
    <w:p w14:paraId="6D074864" w14:textId="793C11E1" w:rsidR="009C7053" w:rsidRDefault="007E766D" w:rsidP="00C8674C">
      <w:pPr>
        <w:pStyle w:val="BodyText"/>
        <w:spacing w:after="0" w:line="240" w:lineRule="auto"/>
      </w:pPr>
      <w:r>
        <w:t xml:space="preserve">The shoe is constructed using breathable mesh fabric and a dual-layer insole made of </w:t>
      </w:r>
      <w:r w:rsidR="006C51C5">
        <w:t>“</w:t>
      </w:r>
      <w:proofErr w:type="spellStart"/>
      <w:r>
        <w:t>Plastazote</w:t>
      </w:r>
      <w:proofErr w:type="spellEnd"/>
      <w:r w:rsidR="006C51C5">
        <w:t>”</w:t>
      </w:r>
      <w:r>
        <w:t xml:space="preserve"> and ethylene vinyl acetate(EVA) foam, as recommended by clinical experts at the National Center for Diabetes, Endocrinology, and Genetics (NCDEG).</w:t>
      </w:r>
      <w:r w:rsidR="00E2468B">
        <w:t xml:space="preserve"> </w:t>
      </w:r>
      <w:r>
        <w:t xml:space="preserve">Furthermore, an integrated humidity sensor monitors internal moisture to prevent infection or fungal growth. </w:t>
      </w:r>
      <w:r w:rsidRPr="007E766D">
        <w:t>Fig. 1 shows the distribution of sensors, whereas Fig. 2 highlights the materials and fabrics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tblGrid>
      <w:tr w:rsidR="00A83051" w14:paraId="3F2E8C75" w14:textId="77777777" w:rsidTr="009034B1">
        <w:tc>
          <w:tcPr>
            <w:tcW w:w="4856" w:type="dxa"/>
          </w:tcPr>
          <w:p w14:paraId="3C590C02" w14:textId="42CBBE08" w:rsidR="00A83051" w:rsidRDefault="00A83051" w:rsidP="00C8674C">
            <w:pPr>
              <w:pStyle w:val="BodyText"/>
              <w:spacing w:after="0" w:line="240" w:lineRule="auto"/>
              <w:ind w:firstLine="0"/>
            </w:pPr>
            <w:r>
              <w:rPr>
                <w:rFonts w:ascii="Roboto" w:hAnsi="Roboto"/>
                <w:noProof/>
                <w:color w:val="373737"/>
                <w:bdr w:val="none" w:sz="0" w:space="0" w:color="auto" w:frame="1"/>
                <w:lang w:val="en-US" w:eastAsia="en-US"/>
              </w:rPr>
              <w:drawing>
                <wp:inline distT="0" distB="0" distL="0" distR="0" wp14:anchorId="1D4608A2" wp14:editId="3AE4AE33">
                  <wp:extent cx="2882750" cy="1600200"/>
                  <wp:effectExtent l="0" t="0" r="0" b="0"/>
                  <wp:docPr id="342135738" name="Picture 2"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35738" name="Picture 2" descr="A close-up of a device&#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88" r="1"/>
                          <a:stretch>
                            <a:fillRect/>
                          </a:stretch>
                        </pic:blipFill>
                        <pic:spPr bwMode="auto">
                          <a:xfrm>
                            <a:off x="0" y="0"/>
                            <a:ext cx="2890635" cy="16045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3051" w14:paraId="633BB74A" w14:textId="77777777" w:rsidTr="009034B1">
        <w:trPr>
          <w:trHeight w:val="531"/>
        </w:trPr>
        <w:tc>
          <w:tcPr>
            <w:tcW w:w="4856" w:type="dxa"/>
          </w:tcPr>
          <w:p w14:paraId="77CF3546" w14:textId="2217F56C" w:rsidR="00A83051" w:rsidRDefault="00A83051" w:rsidP="00A83051">
            <w:pPr>
              <w:pStyle w:val="figurecaption"/>
            </w:pPr>
            <w:r w:rsidRPr="00A56411">
              <w:rPr>
                <w:i/>
                <w:iCs/>
              </w:rPr>
              <w:t>Prototype of the smart diabetic shoe showing the distribution of sensors. (Photo taken by the authors, 2024.)</w:t>
            </w:r>
          </w:p>
        </w:tc>
      </w:tr>
    </w:tbl>
    <w:p w14:paraId="19ADB446" w14:textId="77777777" w:rsidR="00A83051" w:rsidRDefault="00A83051" w:rsidP="00C8674C">
      <w:pPr>
        <w:pStyle w:val="BodyText"/>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tblGrid>
      <w:tr w:rsidR="009034B1" w14:paraId="39385FDA" w14:textId="77777777" w:rsidTr="009034B1">
        <w:tc>
          <w:tcPr>
            <w:tcW w:w="4856" w:type="dxa"/>
          </w:tcPr>
          <w:p w14:paraId="3F479BFF" w14:textId="18CECEE8" w:rsidR="009034B1" w:rsidRDefault="009034B1" w:rsidP="00C8674C">
            <w:pPr>
              <w:pStyle w:val="BodyText"/>
              <w:spacing w:after="0" w:line="240" w:lineRule="auto"/>
              <w:ind w:firstLine="0"/>
            </w:pPr>
            <w:r>
              <w:rPr>
                <w:rFonts w:ascii="Roboto" w:hAnsi="Roboto"/>
                <w:noProof/>
                <w:color w:val="373737"/>
                <w:bdr w:val="none" w:sz="0" w:space="0" w:color="auto" w:frame="1"/>
                <w:lang w:val="en-US" w:eastAsia="en-US"/>
              </w:rPr>
              <w:drawing>
                <wp:inline distT="0" distB="0" distL="0" distR="0" wp14:anchorId="50E458B2" wp14:editId="542A5410">
                  <wp:extent cx="2979343" cy="1318846"/>
                  <wp:effectExtent l="0" t="0" r="0" b="0"/>
                  <wp:docPr id="257017723" name="Picture 3" descr="A close 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17723" name="Picture 3" descr="A close up of a devic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5380" cy="1321518"/>
                          </a:xfrm>
                          <a:prstGeom prst="rect">
                            <a:avLst/>
                          </a:prstGeom>
                          <a:noFill/>
                          <a:ln>
                            <a:noFill/>
                          </a:ln>
                        </pic:spPr>
                      </pic:pic>
                    </a:graphicData>
                  </a:graphic>
                </wp:inline>
              </w:drawing>
            </w:r>
          </w:p>
        </w:tc>
      </w:tr>
      <w:tr w:rsidR="009034B1" w14:paraId="26FAA71E" w14:textId="77777777" w:rsidTr="009034B1">
        <w:tc>
          <w:tcPr>
            <w:tcW w:w="4856" w:type="dxa"/>
          </w:tcPr>
          <w:p w14:paraId="42C1FC58" w14:textId="378EFCE3" w:rsidR="009034B1" w:rsidRDefault="009034B1" w:rsidP="009034B1">
            <w:pPr>
              <w:pStyle w:val="figurecaption"/>
            </w:pPr>
            <w:r w:rsidRPr="00A56411">
              <w:rPr>
                <w:i/>
                <w:iCs/>
              </w:rPr>
              <w:t>Prototype of the smart diabetic shoe showing the materials and fabrics used. (Photo taken by the authors, 2024.)</w:t>
            </w:r>
          </w:p>
        </w:tc>
      </w:tr>
    </w:tbl>
    <w:p w14:paraId="56764D25" w14:textId="37D92894" w:rsidR="00F45B21" w:rsidRPr="00CA466E" w:rsidRDefault="00F45B21" w:rsidP="00CA466E">
      <w:pPr>
        <w:pStyle w:val="Heading2"/>
      </w:pPr>
      <w:r w:rsidRPr="00CA466E">
        <w:t>AI-Powered Imaging and Classification</w:t>
      </w:r>
    </w:p>
    <w:p w14:paraId="7AC48B34" w14:textId="3B19E438" w:rsidR="00F45B21" w:rsidRDefault="00F45B21" w:rsidP="00A52AB2">
      <w:pPr>
        <w:pStyle w:val="BodyText"/>
        <w:spacing w:after="0" w:line="240" w:lineRule="auto"/>
      </w:pPr>
      <w:r>
        <w:t xml:space="preserve">Upon sensor detection of a potential ulcer, the patient is prompted via the mobile application to capture a foot image. The AI imaging system, trained on over 16,000 clinically </w:t>
      </w:r>
      <w:r w:rsidR="009E58E4">
        <w:t>labelled</w:t>
      </w:r>
      <w:r>
        <w:t xml:space="preserve"> images , performs </w:t>
      </w:r>
      <w:r w:rsidR="00783AA1">
        <w:t>real-time</w:t>
      </w:r>
      <w:r>
        <w:t xml:space="preserve"> full ulcer classification.</w:t>
      </w:r>
    </w:p>
    <w:p w14:paraId="611D4F56" w14:textId="777D075A" w:rsidR="00F45B21" w:rsidRDefault="00F45B21" w:rsidP="00A52AB2">
      <w:pPr>
        <w:pStyle w:val="BodyText"/>
        <w:spacing w:after="0" w:line="240" w:lineRule="auto"/>
      </w:pPr>
      <w:r>
        <w:t>The first EfficientNet-B3, a convolutional neural network (CNN) optimized for both accuracy and efficiency [</w:t>
      </w:r>
      <w:r w:rsidR="00D94DDA">
        <w:t>25</w:t>
      </w:r>
      <w:r>
        <w:t xml:space="preserve">], classifies input images into three categories: diabetic foot ulcer, healthy skin, or non-ulcer wounds such as scratches or abrasions, by extracting visual features including color, texture, and wound size. Confirmed ulcers are subsequently analyzed by a second EfficientNet-B3 model that assesses ulcer severity according to the Wagner classification system, which categorizes </w:t>
      </w:r>
      <w:r w:rsidR="0028393C">
        <w:t>DFUs</w:t>
      </w:r>
      <w:r>
        <w:t xml:space="preserve"> into grades 0 to 5 based on ulcer depth and tissue involvement [</w:t>
      </w:r>
      <w:r w:rsidR="00D94DDA">
        <w:t>26</w:t>
      </w:r>
      <w:r>
        <w:t>].</w:t>
      </w:r>
      <w:r w:rsidR="00271941">
        <w:t xml:space="preserve"> </w:t>
      </w:r>
      <w:r>
        <w:t xml:space="preserve">It extracts clinically relevant features—ulcer size, color, texture, exudate presence, </w:t>
      </w:r>
      <w:r>
        <w:lastRenderedPageBreak/>
        <w:t>and structural exposure. Lower Wagner grades (0–2) show pink-red, smooth tissue, while higher grades (</w:t>
      </w:r>
      <w:r>
        <w:rPr>
          <w:rFonts w:hint="eastAsia"/>
        </w:rPr>
        <w:t>≥</w:t>
      </w:r>
      <w:r>
        <w:rPr>
          <w:rFonts w:hint="eastAsia"/>
        </w:rPr>
        <w:t>3) present necrosis, gangrene, fibrotic textures, larger segmented areas, and signs of bone or tendon exposure (white/gray tones)[</w:t>
      </w:r>
      <w:r w:rsidR="00D94DDA">
        <w:t>27</w:t>
      </w:r>
      <w:r>
        <w:rPr>
          <w:rFonts w:hint="eastAsia"/>
        </w:rPr>
        <w:t>],[</w:t>
      </w:r>
      <w:r w:rsidR="00D94DDA">
        <w:t>28</w:t>
      </w:r>
      <w:r>
        <w:rPr>
          <w:rFonts w:hint="eastAsia"/>
        </w:rPr>
        <w:t>]. These features are learned through convolutional filters trained to detect spatial and chromatic patterns.</w:t>
      </w:r>
    </w:p>
    <w:p w14:paraId="17F2EA99" w14:textId="70C5DD96" w:rsidR="006B4011" w:rsidRPr="006B4011" w:rsidRDefault="006B4011" w:rsidP="006B4011">
      <w:pPr>
        <w:pStyle w:val="BodyText"/>
        <w:spacing w:after="0"/>
        <w:rPr>
          <w:lang w:val="en-GB"/>
        </w:rPr>
      </w:pPr>
      <w:r w:rsidRPr="006B4011">
        <w:rPr>
          <w:lang w:val="en-GB"/>
        </w:rPr>
        <w:t xml:space="preserve">The third model is a custom DenseNet-121 convolutional network with densely connected layers [29]. It performs non-invasive detection of infection and ischaemia in DFUs using 12,000 labelled images. The task is </w:t>
      </w:r>
      <w:r>
        <w:rPr>
          <w:lang w:val="en-GB"/>
        </w:rPr>
        <w:t xml:space="preserve">a </w:t>
      </w:r>
      <w:r w:rsidRPr="006B4011">
        <w:rPr>
          <w:lang w:val="en-GB"/>
        </w:rPr>
        <w:t>four-class classification: infection only, ischaemia only, both, or neither. Infection cues include erythema, yellow/green pus-like hues, ragged edges, swelling, and surface irregularities [30]. Ischaemia cues include pallor, cyanosis, reduced capillary refill, cool-toned colouration, and punched-out edges indicative of tissue necrosis [31], [32]. Gradient-weighted class activation mapping (Grad-CAM) produces heatmaps to highlight image regions that drive the prediction and to support interpretability [33]. Contrast-limited adaptive histogram equalisation (CLAHE) is applied as preprocessing to enhance low-contrast features relevant to ischaemia [34].</w:t>
      </w:r>
    </w:p>
    <w:p w14:paraId="1CB345F0" w14:textId="3578972C" w:rsidR="00F45B21" w:rsidRDefault="00F45B21" w:rsidP="00A52AB2">
      <w:pPr>
        <w:pStyle w:val="BodyText"/>
        <w:spacing w:after="0" w:line="240" w:lineRule="auto"/>
      </w:pPr>
      <w:r>
        <w:t xml:space="preserve">The fourth model, a depth estimation model, is performed using </w:t>
      </w:r>
      <w:proofErr w:type="spellStart"/>
      <w:r>
        <w:t>MiDaS</w:t>
      </w:r>
      <w:proofErr w:type="spellEnd"/>
      <w:r>
        <w:t>, a neural network for monocular depth prediction, fine-tuned on 1,000 Red-Green-Blue(RGB)</w:t>
      </w:r>
      <w:r w:rsidR="00783AA1">
        <w:t xml:space="preserve"> depth </w:t>
      </w:r>
      <w:r>
        <w:t>image pairs[</w:t>
      </w:r>
      <w:r w:rsidR="00D94DDA">
        <w:t>35</w:t>
      </w:r>
      <w:r>
        <w:t xml:space="preserve">]. Data augmentation techniques—including rotation, lighting shifts, and shadow simulation—were applied </w:t>
      </w:r>
      <w:r w:rsidR="00783AA1">
        <w:t>to this dataset, which originally only had 65 paired RGB and depth images,</w:t>
      </w:r>
      <w:r>
        <w:t xml:space="preserve"> to enhance generalizability across skin tones and imaging conditions. Camera calibration (using the Android A50) was performed using checkerboard patterns to extract intrinsic parameters (focal length, optical center), ensuring accurate 3D point mapping for depth reconstruction.</w:t>
      </w:r>
    </w:p>
    <w:p w14:paraId="0ECA500C" w14:textId="76DFBC1E" w:rsidR="00F45B21" w:rsidRDefault="00F45B21" w:rsidP="00A52AB2">
      <w:pPr>
        <w:pStyle w:val="BodyText"/>
        <w:spacing w:after="0" w:line="240" w:lineRule="auto"/>
      </w:pPr>
      <w:r>
        <w:t>Finally, ulcer segmentation employs a U-Net architecture CNN to generate binary masks for ulcer regions[</w:t>
      </w:r>
      <w:r w:rsidR="00D94DDA">
        <w:t>36</w:t>
      </w:r>
      <w:r>
        <w:t xml:space="preserve">]. These are applied to depth maps in a 3D reconstruction pipeline as shown in Fig. </w:t>
      </w:r>
      <w:r w:rsidR="00B914E8">
        <w:t>3</w:t>
      </w:r>
      <w:r>
        <w:t xml:space="preserve"> [</w:t>
      </w:r>
      <w:r w:rsidR="00D94DDA">
        <w:t>37</w:t>
      </w:r>
      <w:r>
        <w:t>]:</w:t>
      </w:r>
    </w:p>
    <w:p w14:paraId="6E9980B9" w14:textId="77777777" w:rsidR="00F45B21" w:rsidRDefault="00F45B21" w:rsidP="00A52AB2">
      <w:pPr>
        <w:pStyle w:val="bulletlist"/>
        <w:spacing w:after="0" w:line="240" w:lineRule="auto"/>
      </w:pPr>
      <w:r>
        <w:t>Masked Depth Image Generation: Ulcer masks are resized and bitwise-applied to grayscale depth images to isolate wound areas.</w:t>
      </w:r>
    </w:p>
    <w:p w14:paraId="28D82214" w14:textId="65B985DD" w:rsidR="00F45B21" w:rsidRDefault="00F45B21" w:rsidP="00A52AB2">
      <w:pPr>
        <w:pStyle w:val="bulletlist"/>
        <w:spacing w:after="0" w:line="240" w:lineRule="auto"/>
      </w:pPr>
      <w:r>
        <w:t xml:space="preserve">Camera Calibration and </w:t>
      </w:r>
      <w:r w:rsidR="00014B69" w:rsidRPr="00014B69">
        <w:t xml:space="preserve">Distortion </w:t>
      </w:r>
      <w:r w:rsidR="00783AA1">
        <w:t>Correction</w:t>
      </w:r>
      <w:r>
        <w:t>: Depth images are corrected using the camera’s intrinsic matrix and distortion coefficients to ensure spatial accuracy.</w:t>
      </w:r>
    </w:p>
    <w:p w14:paraId="408812CA" w14:textId="2D91382C" w:rsidR="00F45B21" w:rsidRDefault="00F45B21" w:rsidP="00A52AB2">
      <w:pPr>
        <w:pStyle w:val="bulletlist"/>
        <w:spacing w:after="0" w:line="240" w:lineRule="auto"/>
      </w:pPr>
      <w:r>
        <w:t>Point Cloud Generation: Using the pinhole camera model, depth pixels are projected into 3D coordinates. A structured point cloud is generated via the Open3D library—an open-source toolkit for 3D data processing[</w:t>
      </w:r>
      <w:r w:rsidR="00D94DDA">
        <w:t>38</w:t>
      </w:r>
      <w:r>
        <w:t>].</w:t>
      </w:r>
    </w:p>
    <w:p w14:paraId="79598127" w14:textId="283AEC03" w:rsidR="00F45B21" w:rsidRDefault="00F45B21" w:rsidP="00A52AB2">
      <w:pPr>
        <w:pStyle w:val="bulletlist"/>
        <w:spacing w:after="0" w:line="240" w:lineRule="auto"/>
      </w:pPr>
      <w:r>
        <w:t xml:space="preserve">Surface Normal Estimation: </w:t>
      </w:r>
      <w:r w:rsidR="00271941" w:rsidRPr="00271941">
        <w:t xml:space="preserve">Local surface </w:t>
      </w:r>
      <w:proofErr w:type="spellStart"/>
      <w:r w:rsidR="00271941" w:rsidRPr="00271941">
        <w:t>normals</w:t>
      </w:r>
      <w:proofErr w:type="spellEnd"/>
      <w:r w:rsidR="00271941" w:rsidRPr="00271941">
        <w:t xml:space="preserve"> are estimated via a k-d tree–based neighbourhood search, which indexes the 3-D points for efficient nearest-neighbour queries (search radius 0.1, maximum neighbours 30) [39].</w:t>
      </w:r>
    </w:p>
    <w:p w14:paraId="79BCB837" w14:textId="5E0DBF1B" w:rsidR="00F45B21" w:rsidRDefault="00F45B21" w:rsidP="00A52AB2">
      <w:pPr>
        <w:pStyle w:val="bulletlist"/>
        <w:spacing w:after="0" w:line="240" w:lineRule="auto"/>
      </w:pPr>
      <w:r>
        <w:t>Poisson Surface Reconstruction:  A Poisson algorithm is applied to convert the oriented point cloud into a continuous, watertight 3D mesh. This method integrates surface normal information to infer topology[</w:t>
      </w:r>
      <w:r w:rsidR="00D94DDA">
        <w:t>40</w:t>
      </w:r>
      <w:r>
        <w:t>].</w:t>
      </w:r>
    </w:p>
    <w:p w14:paraId="4BBA84EB" w14:textId="4A55357E" w:rsidR="00F45B21" w:rsidRDefault="00F45B21" w:rsidP="00A52AB2">
      <w:pPr>
        <w:pStyle w:val="bulletlist"/>
        <w:spacing w:after="0" w:line="240" w:lineRule="auto"/>
      </w:pPr>
      <w:r>
        <w:t xml:space="preserve">Mesh Repair: Degenerate or incomplete mesh elements are removed. If watertight reconstruction </w:t>
      </w:r>
      <w:r>
        <w:lastRenderedPageBreak/>
        <w:t>fails, a convex hull approximation is used as a fallback[</w:t>
      </w:r>
      <w:r w:rsidR="00D94DDA">
        <w:t>41</w:t>
      </w:r>
      <w:r>
        <w:t>].</w:t>
      </w:r>
    </w:p>
    <w:p w14:paraId="3B94A343" w14:textId="64A24DC8" w:rsidR="00F45B21" w:rsidRDefault="00F45B21" w:rsidP="00A52AB2">
      <w:pPr>
        <w:pStyle w:val="bulletlist"/>
        <w:spacing w:after="0" w:line="240" w:lineRule="auto"/>
      </w:pPr>
      <w:r>
        <w:t>Feature Extraction: Metrics include surface area (square centimeters (cm²)), volume (cubic centimeters (cm³)), bounding box dimensions, and depth stats (minimum, maximum, mean in centimeters</w:t>
      </w:r>
      <w:r w:rsidR="000771FA">
        <w:t xml:space="preserve"> </w:t>
      </w:r>
      <w:r>
        <w:t>(cm)) for tracking healing and severity.</w:t>
      </w:r>
    </w:p>
    <w:p w14:paraId="5E13F284" w14:textId="77777777" w:rsidR="004B57F7" w:rsidRDefault="004B57F7" w:rsidP="004B57F7">
      <w:pPr>
        <w:pStyle w:val="bulletlist"/>
        <w:numPr>
          <w:ilvl w:val="0"/>
          <w:numId w:val="0"/>
        </w:numPr>
        <w:spacing w:after="0" w:line="240" w:lineRule="auto"/>
        <w:ind w:left="576"/>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tblGrid>
      <w:tr w:rsidR="00B914E8" w14:paraId="1FF036BB" w14:textId="77777777" w:rsidTr="00F859BB">
        <w:tc>
          <w:tcPr>
            <w:tcW w:w="4861" w:type="dxa"/>
          </w:tcPr>
          <w:p w14:paraId="10622348" w14:textId="5142C2A3" w:rsidR="00B914E8" w:rsidRDefault="00B914E8" w:rsidP="0001321B">
            <w:pPr>
              <w:pStyle w:val="bulletlist"/>
              <w:numPr>
                <w:ilvl w:val="0"/>
                <w:numId w:val="0"/>
              </w:numPr>
            </w:pPr>
            <w:r>
              <w:rPr>
                <w:noProof/>
                <w:lang w:val="en-US" w:eastAsia="en-US"/>
              </w:rPr>
              <w:drawing>
                <wp:inline distT="0" distB="0" distL="0" distR="0" wp14:anchorId="0931CD1F" wp14:editId="5EB314D6">
                  <wp:extent cx="2963845" cy="1371600"/>
                  <wp:effectExtent l="0" t="0" r="8255" b="0"/>
                  <wp:docPr id="453721940" name="Picture 22" descr="A collage of images of a s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96537" name="Picture 22" descr="A collage of images of a sock&#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8823" cy="1415553"/>
                          </a:xfrm>
                          <a:prstGeom prst="rect">
                            <a:avLst/>
                          </a:prstGeom>
                        </pic:spPr>
                      </pic:pic>
                    </a:graphicData>
                  </a:graphic>
                </wp:inline>
              </w:drawing>
            </w:r>
          </w:p>
        </w:tc>
      </w:tr>
      <w:tr w:rsidR="00B914E8" w14:paraId="3EDB0F02" w14:textId="77777777" w:rsidTr="00F859BB">
        <w:tc>
          <w:tcPr>
            <w:tcW w:w="4861" w:type="dxa"/>
          </w:tcPr>
          <w:p w14:paraId="5D7078E7" w14:textId="5F1B560F" w:rsidR="00B914E8" w:rsidRDefault="00B914E8" w:rsidP="00F859BB">
            <w:pPr>
              <w:pStyle w:val="figurecaption"/>
            </w:pPr>
            <w:r w:rsidRPr="00A56411">
              <w:rPr>
                <w:i/>
                <w:iCs/>
              </w:rPr>
              <w:t>Wound volume mesh reconstruction steps:  (a) 2D ROI, (b) point selection, (c) normal vector computation, (d) Poisson surface reconstruction, (e) wound (red) and skin (blue) mesh selection, and (f) wound volume reconstruction. Reproduced from [37] under CC by 4.0 license.</w:t>
            </w:r>
          </w:p>
        </w:tc>
      </w:tr>
    </w:tbl>
    <w:p w14:paraId="1B5AAE31" w14:textId="39F0F0F2" w:rsidR="0001321B" w:rsidRPr="00CA466E" w:rsidRDefault="0001321B" w:rsidP="00CA466E">
      <w:pPr>
        <w:pStyle w:val="Heading2"/>
      </w:pPr>
      <w:r w:rsidRPr="00CA466E">
        <w:t>AI-Generated Thermal Imaging for Enhanced Detection</w:t>
      </w:r>
    </w:p>
    <w:p w14:paraId="33FAD594" w14:textId="1DD0571C" w:rsidR="0001321B" w:rsidRDefault="0001321B" w:rsidP="00E54D30">
      <w:pPr>
        <w:pStyle w:val="BodyText"/>
        <w:spacing w:after="0" w:line="240" w:lineRule="auto"/>
      </w:pPr>
      <w:r w:rsidRPr="0001321B">
        <w:t xml:space="preserve">A Pix2Pix conditional Generative Adversarial Network (GAN), comprising a U-Net generator and a </w:t>
      </w:r>
      <w:proofErr w:type="spellStart"/>
      <w:r w:rsidRPr="0001321B">
        <w:t>PatchGAN</w:t>
      </w:r>
      <w:proofErr w:type="spellEnd"/>
      <w:r w:rsidRPr="0001321B">
        <w:t xml:space="preserve"> discriminator, is used for image-to-image translation tasks. In this context, it was trained on paired RGB and thermal ulcer images to generate synthetic thermal maps from standard foot photographs [</w:t>
      </w:r>
      <w:r w:rsidR="00C16800">
        <w:t>42</w:t>
      </w:r>
      <w:r w:rsidRPr="0001321B">
        <w:t>]. These AI-generated thermal images supplement real-time temperature sensor data to improve early inflammation detection and ulcer risk assessment. Patients are prompted to capture daily foot images to enable continuous thermal monitoring.</w:t>
      </w:r>
    </w:p>
    <w:p w14:paraId="48668CD0" w14:textId="77777777" w:rsidR="0001321B" w:rsidRPr="00CA466E" w:rsidRDefault="0001321B" w:rsidP="00CA466E">
      <w:pPr>
        <w:pStyle w:val="Heading2"/>
      </w:pPr>
      <w:r w:rsidRPr="00CA466E">
        <w:t>Guided Wound Management and Healing Prediction</w:t>
      </w:r>
    </w:p>
    <w:p w14:paraId="042C85D5" w14:textId="782FB9B9" w:rsidR="0001321B" w:rsidRDefault="0001321B" w:rsidP="00E54D30">
      <w:pPr>
        <w:pStyle w:val="BodyText"/>
        <w:spacing w:after="0" w:line="240" w:lineRule="auto"/>
      </w:pPr>
      <w:r w:rsidRPr="0001321B">
        <w:t>For mild, non-infected ulcers, the mobile application provides interactive dressing tutorials to guide patients through proper at-home wound dressing, minimizing progression when clinical visits are delayed. An AI-derived healing score is calculated by integrating wound image features with patient-specific clinical factors such as:</w:t>
      </w:r>
    </w:p>
    <w:p w14:paraId="17CC0126" w14:textId="2013D876" w:rsidR="00A65418" w:rsidRDefault="00A65418" w:rsidP="00E54D30">
      <w:pPr>
        <w:pStyle w:val="bulletlist"/>
        <w:spacing w:after="0" w:line="240" w:lineRule="auto"/>
      </w:pPr>
      <w:r>
        <w:t>HbA1c level[</w:t>
      </w:r>
      <w:r w:rsidR="00C16800">
        <w:t>43</w:t>
      </w:r>
      <w:r>
        <w:t>].</w:t>
      </w:r>
    </w:p>
    <w:p w14:paraId="0854D850" w14:textId="08B3271B" w:rsidR="00A65418" w:rsidRDefault="00A65418" w:rsidP="00E54D30">
      <w:pPr>
        <w:pStyle w:val="bulletlist"/>
        <w:spacing w:after="0" w:line="240" w:lineRule="auto"/>
      </w:pPr>
      <w:r>
        <w:t>Smoking status[</w:t>
      </w:r>
      <w:r w:rsidR="00C16800">
        <w:t>44</w:t>
      </w:r>
      <w:r>
        <w:t>].</w:t>
      </w:r>
    </w:p>
    <w:p w14:paraId="029962A0" w14:textId="09B121AB" w:rsidR="00A65418" w:rsidRDefault="00A65418" w:rsidP="00E54D30">
      <w:pPr>
        <w:pStyle w:val="bulletlist"/>
        <w:spacing w:after="0" w:line="240" w:lineRule="auto"/>
      </w:pPr>
      <w:r>
        <w:t>Nutritional status[</w:t>
      </w:r>
      <w:r w:rsidR="00C16800">
        <w:t>45</w:t>
      </w:r>
      <w:r>
        <w:t>].</w:t>
      </w:r>
    </w:p>
    <w:p w14:paraId="7A24B46B" w14:textId="19DC9361" w:rsidR="0001321B" w:rsidRDefault="00A65418" w:rsidP="00E54D30">
      <w:pPr>
        <w:pStyle w:val="bulletlist"/>
        <w:spacing w:after="0" w:line="240" w:lineRule="auto"/>
      </w:pPr>
      <w:r>
        <w:t>Peripheral Arterial Disease (PAD)[</w:t>
      </w:r>
      <w:r w:rsidR="00C16800">
        <w:t>46</w:t>
      </w:r>
      <w:r>
        <w:t xml:space="preserve">]. </w:t>
      </w:r>
    </w:p>
    <w:p w14:paraId="77B744AF" w14:textId="77777777" w:rsidR="00A65418" w:rsidRDefault="00A65418" w:rsidP="00E54D30">
      <w:pPr>
        <w:pStyle w:val="BodyText"/>
        <w:spacing w:after="0" w:line="240" w:lineRule="auto"/>
        <w:jc w:val="left"/>
      </w:pPr>
      <w:r w:rsidRPr="00A65418">
        <w:t>These variables allow the system to personalize healing time predictions and recommend appropriate care plans.</w:t>
      </w:r>
      <w:r>
        <w:t xml:space="preserve"> </w:t>
      </w:r>
    </w:p>
    <w:p w14:paraId="6E7DB10A" w14:textId="77777777" w:rsidR="00A65418" w:rsidRPr="00CA466E" w:rsidRDefault="00A65418" w:rsidP="00CA466E">
      <w:pPr>
        <w:pStyle w:val="Heading2"/>
      </w:pPr>
      <w:r w:rsidRPr="00CA466E">
        <w:t xml:space="preserve">Ulcer Recurrence Prediction Dashboard </w:t>
      </w:r>
    </w:p>
    <w:p w14:paraId="2DCE0BC6" w14:textId="1BEF53F4" w:rsidR="00A65418" w:rsidRDefault="00A65418" w:rsidP="00E54D30">
      <w:pPr>
        <w:pStyle w:val="BodyText"/>
        <w:spacing w:after="0" w:line="240" w:lineRule="auto"/>
      </w:pPr>
      <w:r w:rsidRPr="00A65418">
        <w:t>The application includes a real-time recurrence prediction engine, analyzing historical smart shoe data—including pressure, moisture, and temperature patterns—from previous ulcer events. By comparing historical trends with live sensor readings, the system issues early warning alerts to both patients and clinicians, supporting proactive ulcer prevention and data-driven clinical intervention.</w:t>
      </w:r>
    </w:p>
    <w:p w14:paraId="12CDE846" w14:textId="17576279" w:rsidR="00B46682" w:rsidRDefault="00B46682" w:rsidP="00B46682">
      <w:pPr>
        <w:pStyle w:val="Heading2"/>
        <w:tabs>
          <w:tab w:val="clear" w:pos="360"/>
          <w:tab w:val="num" w:pos="288"/>
        </w:tabs>
      </w:pPr>
      <w:r>
        <w:t>Data splitting</w:t>
      </w:r>
    </w:p>
    <w:p w14:paraId="6B4014F4" w14:textId="2D96CC69" w:rsidR="00B46682" w:rsidRDefault="004222FC" w:rsidP="00B46682">
      <w:pPr>
        <w:pStyle w:val="BodyText"/>
        <w:spacing w:after="0" w:line="240" w:lineRule="auto"/>
      </w:pPr>
      <w:r w:rsidRPr="004222FC">
        <w:t xml:space="preserve">Stratified, patient-level splits (train/validation/test = 60%/20%/20%) were performed across sites, ensuring that no </w:t>
      </w:r>
      <w:r w:rsidRPr="004222FC">
        <w:lastRenderedPageBreak/>
        <w:t>patient appeared in more than one split (random seed = 2025-07-01). Hyperparameters were tuned exclusively on the validation set.</w:t>
      </w:r>
    </w:p>
    <w:p w14:paraId="73F8FB87" w14:textId="77777777" w:rsidR="00103B17" w:rsidRDefault="00103B17" w:rsidP="001743B1">
      <w:pPr>
        <w:pStyle w:val="Heading2"/>
        <w:tabs>
          <w:tab w:val="clear" w:pos="360"/>
          <w:tab w:val="num" w:pos="288"/>
        </w:tabs>
        <w:rPr>
          <w:i w:val="0"/>
          <w:iCs w:val="0"/>
        </w:rPr>
      </w:pPr>
      <w:r w:rsidRPr="001743B1">
        <w:t>Thresholds</w:t>
      </w:r>
      <w:r w:rsidRPr="00103B17">
        <w:rPr>
          <w:i w:val="0"/>
          <w:iCs w:val="0"/>
        </w:rPr>
        <w:t xml:space="preserve"> and alerts</w:t>
      </w:r>
    </w:p>
    <w:p w14:paraId="01B2DBE7" w14:textId="092AACFC" w:rsidR="00103B17" w:rsidRDefault="00103B17" w:rsidP="00103B17">
      <w:pPr>
        <w:pStyle w:val="BodyText"/>
        <w:spacing w:after="0" w:line="240" w:lineRule="auto"/>
        <w:rPr>
          <w:lang w:val="en-US"/>
        </w:rPr>
      </w:pPr>
      <w:r w:rsidRPr="00103B17">
        <w:rPr>
          <w:lang w:val="en-US"/>
        </w:rPr>
        <w:t>We trigger a temperature alert for inter-foot ΔT ≥ 2.2 °C</w:t>
      </w:r>
      <w:r w:rsidR="0070190F">
        <w:rPr>
          <w:lang w:val="en-US"/>
        </w:rPr>
        <w:t xml:space="preserve"> </w:t>
      </w:r>
      <w:r w:rsidRPr="00103B17">
        <w:rPr>
          <w:lang w:val="en-US"/>
        </w:rPr>
        <w:t xml:space="preserve">and a pressure alert above 110 </w:t>
      </w:r>
      <w:r w:rsidRPr="0070190F">
        <w:rPr>
          <w:i/>
          <w:iCs/>
          <w:lang w:val="en-US"/>
        </w:rPr>
        <w:t>kPa²</w:t>
      </w:r>
      <w:r w:rsidRPr="00103B17">
        <w:rPr>
          <w:lang w:val="en-US"/>
        </w:rPr>
        <w:t xml:space="preserve">. Here, </w:t>
      </w:r>
      <w:r w:rsidRPr="00A54194">
        <w:rPr>
          <w:i/>
          <w:iCs/>
          <w:lang w:val="en-US"/>
        </w:rPr>
        <w:t>ΔT = mean(left) − mean(right)</w:t>
      </w:r>
      <w:r w:rsidRPr="00103B17">
        <w:rPr>
          <w:lang w:val="en-US"/>
        </w:rPr>
        <w:t xml:space="preserve"> over matched plantar regions and time windows. Pressure exceedance is defined as p(t) &gt; 110 kPa, with the daily rate </w:t>
      </w:r>
      <w:r w:rsidR="00FC11DC">
        <w:rPr>
          <w:lang w:val="en-US"/>
        </w:rPr>
        <w:t>(</w:t>
      </w:r>
      <w:r w:rsidRPr="00A54194">
        <w:rPr>
          <w:i/>
          <w:iCs/>
          <w:lang w:val="en-US"/>
        </w:rPr>
        <w:t>r</w:t>
      </w:r>
      <w:r w:rsidR="00FC11DC">
        <w:rPr>
          <w:lang w:val="en-US"/>
        </w:rPr>
        <w:t xml:space="preserve">) </w:t>
      </w:r>
      <w:r w:rsidRPr="00103B17">
        <w:rPr>
          <w:lang w:val="en-US"/>
        </w:rPr>
        <w:t>given below. Thresholds follow prior clinical studies and are held fixed across validation and 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D00B0D" w14:paraId="0EBA7D2E" w14:textId="77777777" w:rsidTr="00D00B0D">
        <w:tc>
          <w:tcPr>
            <w:tcW w:w="4390" w:type="dxa"/>
          </w:tcPr>
          <w:p w14:paraId="4D951451" w14:textId="4F0E27E3" w:rsidR="00D00B0D" w:rsidRPr="00D00B0D" w:rsidRDefault="00D00B0D" w:rsidP="00103B17">
            <w:pPr>
              <w:pStyle w:val="BodyText"/>
              <w:spacing w:after="0" w:line="240" w:lineRule="auto"/>
              <w:ind w:firstLine="0"/>
              <w:rPr>
                <w:sz w:val="18"/>
                <w:szCs w:val="18"/>
                <w:lang w:val="en-US"/>
              </w:rPr>
            </w:pPr>
            <m:oMathPara>
              <m:oMath>
                <m:r>
                  <w:rPr>
                    <w:rFonts w:ascii="Cambria Math" w:hAnsi="Cambria Math"/>
                    <w:sz w:val="18"/>
                    <w:szCs w:val="18"/>
                    <w:lang w:val="en-US"/>
                  </w:rPr>
                  <m:t xml:space="preserve">r = </m:t>
                </m:r>
                <m:d>
                  <m:dPr>
                    <m:ctrlPr>
                      <w:rPr>
                        <w:rFonts w:ascii="Cambria Math" w:hAnsi="Cambria Math"/>
                        <w:i/>
                        <w:sz w:val="18"/>
                        <w:szCs w:val="18"/>
                        <w:lang w:val="en-US"/>
                      </w:rPr>
                    </m:ctrlPr>
                  </m:dPr>
                  <m:e>
                    <m:f>
                      <m:fPr>
                        <m:ctrlPr>
                          <w:rPr>
                            <w:rFonts w:ascii="Cambria Math" w:hAnsi="Cambria Math"/>
                            <w:i/>
                            <w:sz w:val="18"/>
                            <w:szCs w:val="18"/>
                            <w:lang w:val="en-US"/>
                          </w:rPr>
                        </m:ctrlPr>
                      </m:fPr>
                      <m:num>
                        <m:r>
                          <w:rPr>
                            <w:rFonts w:ascii="Cambria Math" w:hAnsi="Cambria Math"/>
                            <w:sz w:val="18"/>
                            <w:szCs w:val="18"/>
                            <w:lang w:val="en-US"/>
                          </w:rPr>
                          <m:t>1</m:t>
                        </m:r>
                      </m:num>
                      <m:den>
                        <m:r>
                          <w:rPr>
                            <w:rFonts w:ascii="Cambria Math" w:hAnsi="Cambria Math"/>
                            <w:sz w:val="18"/>
                            <w:szCs w:val="18"/>
                            <w:lang w:val="en-US"/>
                          </w:rPr>
                          <m:t>T</m:t>
                        </m:r>
                      </m:den>
                    </m:f>
                  </m:e>
                </m:d>
                <m:nary>
                  <m:naryPr>
                    <m:ctrlPr>
                      <w:rPr>
                        <w:rFonts w:ascii="Cambria Math" w:hAnsi="Cambria Math"/>
                        <w:i/>
                        <w:sz w:val="18"/>
                        <w:szCs w:val="18"/>
                        <w:lang w:val="en-US"/>
                      </w:rPr>
                    </m:ctrlPr>
                  </m:naryPr>
                  <m:sub>
                    <m:r>
                      <w:rPr>
                        <w:rFonts w:ascii="Cambria Math" w:hAnsi="Cambria Math"/>
                        <w:sz w:val="18"/>
                        <w:szCs w:val="18"/>
                        <w:lang w:val="en-US"/>
                      </w:rPr>
                      <m:t>0</m:t>
                    </m:r>
                  </m:sub>
                  <m:sup>
                    <m:r>
                      <w:rPr>
                        <w:rFonts w:ascii="Cambria Math" w:hAnsi="Cambria Math"/>
                        <w:sz w:val="18"/>
                        <w:szCs w:val="18"/>
                        <w:lang w:val="en-US"/>
                      </w:rPr>
                      <m:t>T</m:t>
                    </m:r>
                  </m:sup>
                  <m:e>
                    <m:r>
                      <w:rPr>
                        <w:rFonts w:ascii="Cambria Math" w:hAnsi="Cambria Math"/>
                        <w:sz w:val="18"/>
                        <w:szCs w:val="18"/>
                        <w:lang w:val="en-US"/>
                      </w:rPr>
                      <m:t>1</m:t>
                    </m:r>
                    <m:r>
                      <m:rPr>
                        <m:lit/>
                      </m:rPr>
                      <w:rPr>
                        <w:rFonts w:ascii="Cambria Math" w:hAnsi="Cambria Math"/>
                        <w:sz w:val="18"/>
                        <w:szCs w:val="18"/>
                        <w:lang w:val="en-US"/>
                      </w:rPr>
                      <m:t>{</m:t>
                    </m:r>
                  </m:e>
                </m:nary>
                <m:r>
                  <w:rPr>
                    <w:rFonts w:ascii="Cambria Math" w:hAnsi="Cambria Math"/>
                    <w:sz w:val="18"/>
                    <w:szCs w:val="18"/>
                    <w:lang w:val="en-US"/>
                  </w:rPr>
                  <m:t>p</m:t>
                </m:r>
                <m:d>
                  <m:dPr>
                    <m:ctrlPr>
                      <w:rPr>
                        <w:rFonts w:ascii="Cambria Math" w:hAnsi="Cambria Math"/>
                        <w:i/>
                        <w:sz w:val="18"/>
                        <w:szCs w:val="18"/>
                        <w:lang w:val="en-US"/>
                      </w:rPr>
                    </m:ctrlPr>
                  </m:dPr>
                  <m:e>
                    <m:r>
                      <w:rPr>
                        <w:rFonts w:ascii="Cambria Math" w:hAnsi="Cambria Math"/>
                        <w:sz w:val="18"/>
                        <w:szCs w:val="18"/>
                        <w:lang w:val="en-US"/>
                      </w:rPr>
                      <m:t>t</m:t>
                    </m:r>
                  </m:e>
                </m:d>
                <m:r>
                  <w:rPr>
                    <w:rFonts w:ascii="Cambria Math" w:hAnsi="Cambria Math"/>
                    <w:sz w:val="18"/>
                    <w:szCs w:val="18"/>
                    <w:lang w:val="en-US"/>
                  </w:rPr>
                  <m:t>&gt; 110 kPa</m:t>
                </m:r>
                <m:r>
                  <m:rPr>
                    <m:lit/>
                  </m:rPr>
                  <w:rPr>
                    <w:rFonts w:ascii="Cambria Math" w:hAnsi="Cambria Math"/>
                    <w:sz w:val="18"/>
                    <w:szCs w:val="18"/>
                    <w:lang w:val="en-US"/>
                  </w:rPr>
                  <m:t>}</m:t>
                </m:r>
                <m:r>
                  <w:rPr>
                    <w:rFonts w:ascii="Cambria Math" w:hAnsi="Cambria Math"/>
                    <w:sz w:val="18"/>
                    <w:szCs w:val="18"/>
                    <w:lang w:val="en-US"/>
                  </w:rPr>
                  <m:t xml:space="preserve"> dt</m:t>
                </m:r>
              </m:oMath>
            </m:oMathPara>
          </w:p>
        </w:tc>
        <w:tc>
          <w:tcPr>
            <w:tcW w:w="466" w:type="dxa"/>
          </w:tcPr>
          <w:p w14:paraId="6B394289" w14:textId="70E22B9B" w:rsidR="00D00B0D" w:rsidRDefault="00D00B0D" w:rsidP="00103B17">
            <w:pPr>
              <w:pStyle w:val="BodyText"/>
              <w:spacing w:after="0" w:line="240" w:lineRule="auto"/>
              <w:ind w:firstLine="0"/>
              <w:rPr>
                <w:lang w:val="en-US"/>
              </w:rPr>
            </w:pPr>
            <w:r>
              <w:rPr>
                <w:lang w:val="en-US"/>
              </w:rPr>
              <w:t>(1)</w:t>
            </w:r>
          </w:p>
        </w:tc>
      </w:tr>
    </w:tbl>
    <w:p w14:paraId="52E46447" w14:textId="77777777" w:rsidR="00FC23BB" w:rsidRPr="00FC23BB" w:rsidRDefault="00FC23BB" w:rsidP="00F6512C">
      <w:pPr>
        <w:pStyle w:val="Heading2"/>
        <w:tabs>
          <w:tab w:val="clear" w:pos="360"/>
          <w:tab w:val="num" w:pos="288"/>
        </w:tabs>
        <w:rPr>
          <w:spacing w:val="-1"/>
          <w:lang w:val="en-GB" w:eastAsia="x-none"/>
        </w:rPr>
      </w:pPr>
      <w:r w:rsidRPr="00FC23BB">
        <w:rPr>
          <w:i w:val="0"/>
          <w:iCs w:val="0"/>
        </w:rPr>
        <w:t>Metrics</w:t>
      </w:r>
    </w:p>
    <w:p w14:paraId="1EE7CB7D" w14:textId="77777777" w:rsidR="00FC23BB" w:rsidRPr="00FC23BB" w:rsidRDefault="00FC23BB" w:rsidP="00FC23BB">
      <w:pPr>
        <w:pStyle w:val="BodyText"/>
        <w:spacing w:after="0" w:line="240" w:lineRule="auto"/>
        <w:rPr>
          <w:lang w:val="en-US"/>
        </w:rPr>
      </w:pPr>
      <w:r w:rsidRPr="00FC23BB">
        <w:rPr>
          <w:lang w:val="en-US"/>
        </w:rPr>
        <w:t>Overview. We report three primary metrics: root-mean-square error (RMSE) for depth/volume-derived scalars, mean relative error (MRE) for scale-</w:t>
      </w:r>
      <w:proofErr w:type="spellStart"/>
      <w:r w:rsidRPr="00FC23BB">
        <w:rPr>
          <w:lang w:val="en-US"/>
        </w:rPr>
        <w:t>normalised</w:t>
      </w:r>
      <w:proofErr w:type="spellEnd"/>
      <w:r w:rsidRPr="00FC23BB">
        <w:rPr>
          <w:lang w:val="en-US"/>
        </w:rPr>
        <w:t xml:space="preserve"> accuracy, and Dice coefficient for segmentation overlap. Units and symbols are defined once here and used consistently throughout.</w:t>
      </w:r>
    </w:p>
    <w:p w14:paraId="3D765021" w14:textId="3DFADB61" w:rsidR="00FC23BB" w:rsidRPr="00FC23BB" w:rsidRDefault="00FC23BB" w:rsidP="00FC23BB">
      <w:pPr>
        <w:pStyle w:val="BodyText"/>
        <w:spacing w:after="0" w:line="240" w:lineRule="auto"/>
        <w:rPr>
          <w:lang w:val="en-US"/>
        </w:rPr>
      </w:pPr>
      <w:r w:rsidRPr="00FC23BB">
        <w:rPr>
          <w:lang w:val="en-US"/>
        </w:rPr>
        <w:t xml:space="preserve">Symbols. </w:t>
      </w: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m:t>
            </m:r>
          </m:sub>
        </m:sSub>
      </m:oMath>
      <w:r w:rsidR="00FC798A">
        <w:rPr>
          <w:lang w:val="en-US"/>
        </w:rPr>
        <w:t xml:space="preserve"> </w:t>
      </w:r>
      <w:r w:rsidRPr="00FC23BB">
        <w:rPr>
          <w:lang w:val="en-US"/>
        </w:rPr>
        <w:t xml:space="preserve">denotes the reference scalar for sample </w:t>
      </w:r>
      <w:proofErr w:type="spellStart"/>
      <w:r w:rsidRPr="00FC23BB">
        <w:rPr>
          <w:i/>
          <w:iCs/>
          <w:lang w:val="en-US"/>
        </w:rPr>
        <w:t>i</w:t>
      </w:r>
      <w:proofErr w:type="spellEnd"/>
      <w:r w:rsidR="00265E33">
        <w:rPr>
          <w:lang w:val="en-US"/>
        </w:rPr>
        <w:t xml:space="preserve"> </w:t>
      </w:r>
      <w:r w:rsidRPr="00FC23BB">
        <w:rPr>
          <w:lang w:val="en-US"/>
        </w:rPr>
        <w:t xml:space="preserve">(e.g., depth in </w:t>
      </w:r>
      <w:proofErr w:type="spellStart"/>
      <w:r w:rsidRPr="00FC23BB">
        <w:rPr>
          <w:lang w:val="en-US"/>
        </w:rPr>
        <w:t>centimetres</w:t>
      </w:r>
      <w:proofErr w:type="spellEnd"/>
      <w:r w:rsidRPr="00FC23BB">
        <w:rPr>
          <w:lang w:val="en-US"/>
        </w:rPr>
        <w:t xml:space="preserve">).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z</m:t>
                </m:r>
              </m:e>
            </m:acc>
          </m:e>
          <m:sub>
            <m:r>
              <w:rPr>
                <w:rFonts w:ascii="Cambria Math" w:hAnsi="Cambria Math"/>
                <w:lang w:val="en-US"/>
              </w:rPr>
              <m:t>i</m:t>
            </m:r>
          </m:sub>
        </m:sSub>
        <m:r>
          <w:rPr>
            <w:rFonts w:ascii="Cambria Math" w:hAnsi="Cambria Math"/>
            <w:lang w:val="en-US"/>
          </w:rPr>
          <m:t xml:space="preserve"> </m:t>
        </m:r>
      </m:oMath>
      <w:r w:rsidRPr="00FC23BB">
        <w:rPr>
          <w:lang w:val="en-US"/>
        </w:rPr>
        <w:t xml:space="preserve">denotes the model estimate. </w:t>
      </w:r>
      <w:r w:rsidRPr="00FC23BB">
        <w:rPr>
          <w:i/>
          <w:iCs/>
          <w:lang w:val="en-US"/>
        </w:rPr>
        <w:t>N</w:t>
      </w:r>
      <w:r w:rsidRPr="00FC23BB">
        <w:rPr>
          <w:lang w:val="en-US"/>
        </w:rPr>
        <w:t xml:space="preserve"> is the number of test samples. </w:t>
      </w:r>
      <w:r w:rsidRPr="00FC23BB">
        <w:rPr>
          <w:i/>
          <w:iCs/>
          <w:lang w:val="en-US"/>
        </w:rPr>
        <w:t>P</w:t>
      </w:r>
      <w:r w:rsidRPr="00FC23BB">
        <w:rPr>
          <w:lang w:val="en-US"/>
        </w:rPr>
        <w:t xml:space="preserve"> and </w:t>
      </w:r>
      <w:r w:rsidRPr="00FC23BB">
        <w:rPr>
          <w:i/>
          <w:iCs/>
          <w:lang w:val="en-US"/>
        </w:rPr>
        <w:t>G</w:t>
      </w:r>
      <w:r w:rsidRPr="00FC23BB">
        <w:rPr>
          <w:lang w:val="en-US"/>
        </w:rPr>
        <w:t xml:space="preserve"> denote the predicted and ground-truth binary masks, respectively. </w:t>
      </w:r>
      <w:r w:rsidRPr="00FC23BB">
        <w:rPr>
          <w:rFonts w:ascii="Cambria Math" w:hAnsi="Cambria Math" w:cs="Cambria Math"/>
          <w:lang w:val="en-US"/>
        </w:rPr>
        <w:t>∣⋅∣</w:t>
      </w:r>
      <w:r w:rsidRPr="00FC23BB">
        <w:rPr>
          <w:lang w:val="en-US"/>
        </w:rPr>
        <w:t xml:space="preserve"> indicates set cardinality (pixel count). Square brackets indicate measurement units.</w:t>
      </w:r>
    </w:p>
    <w:p w14:paraId="7EECD408" w14:textId="6CE9DF5F" w:rsidR="00FC23BB" w:rsidRDefault="00FC23BB" w:rsidP="00FC23BB">
      <w:pPr>
        <w:pStyle w:val="BodyText"/>
        <w:spacing w:after="0" w:line="240" w:lineRule="auto"/>
        <w:rPr>
          <w:lang w:val="en-US"/>
        </w:rPr>
      </w:pPr>
      <w:r w:rsidRPr="00FC23BB">
        <w:rPr>
          <w:lang w:val="en-US"/>
        </w:rPr>
        <w:t>RMSE [ </w:t>
      </w:r>
      <w:proofErr w:type="gramStart"/>
      <w:r w:rsidRPr="00FC23BB">
        <w:rPr>
          <w:lang w:val="en-US"/>
        </w:rPr>
        <w:t>cm ]</w:t>
      </w:r>
      <w:proofErr w:type="gramEnd"/>
      <w:r w:rsidRPr="00FC23BB">
        <w:rPr>
          <w:lang w:val="en-US"/>
        </w:rPr>
        <w:t>. Measures absolute error in physical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D00B0D" w14:paraId="032835BF" w14:textId="77777777" w:rsidTr="00FC798A">
        <w:tc>
          <w:tcPr>
            <w:tcW w:w="4390" w:type="dxa"/>
          </w:tcPr>
          <w:p w14:paraId="10ED01E7" w14:textId="74329A4B" w:rsidR="00D00B0D" w:rsidRPr="00D00B0D" w:rsidRDefault="00D00B0D" w:rsidP="001E5F3F">
            <w:pPr>
              <w:pStyle w:val="BodyText"/>
              <w:spacing w:after="0" w:line="240" w:lineRule="auto"/>
              <w:ind w:firstLine="0"/>
              <w:rPr>
                <w:sz w:val="18"/>
                <w:szCs w:val="18"/>
                <w:lang w:val="en-US"/>
              </w:rPr>
            </w:pPr>
            <m:oMathPara>
              <m:oMath>
                <m:r>
                  <w:rPr>
                    <w:rFonts w:ascii="Cambria Math" w:hAnsi="Cambria Math"/>
                    <w:sz w:val="18"/>
                    <w:szCs w:val="18"/>
                    <w:lang w:val="en-US"/>
                  </w:rPr>
                  <m:t>RMSE = sqrt</m:t>
                </m:r>
                <m:d>
                  <m:dPr>
                    <m:ctrlPr>
                      <w:rPr>
                        <w:rFonts w:ascii="Cambria Math" w:hAnsi="Cambria Math"/>
                        <w:i/>
                        <w:sz w:val="18"/>
                        <w:szCs w:val="18"/>
                        <w:lang w:val="en-US"/>
                      </w:rPr>
                    </m:ctrlPr>
                  </m:dPr>
                  <m:e>
                    <m:r>
                      <w:rPr>
                        <w:rFonts w:ascii="Cambria Math" w:hAnsi="Cambria Math"/>
                        <w:sz w:val="18"/>
                        <w:szCs w:val="18"/>
                        <w:lang w:val="en-US"/>
                      </w:rPr>
                      <m:t xml:space="preserve"> </m:t>
                    </m:r>
                    <m:d>
                      <m:dPr>
                        <m:ctrlPr>
                          <w:rPr>
                            <w:rFonts w:ascii="Cambria Math" w:hAnsi="Cambria Math"/>
                            <w:i/>
                            <w:sz w:val="18"/>
                            <w:szCs w:val="18"/>
                            <w:lang w:val="en-US"/>
                          </w:rPr>
                        </m:ctrlPr>
                      </m:dPr>
                      <m:e>
                        <m:f>
                          <m:fPr>
                            <m:ctrlPr>
                              <w:rPr>
                                <w:rFonts w:ascii="Cambria Math" w:hAnsi="Cambria Math"/>
                                <w:i/>
                                <w:sz w:val="18"/>
                                <w:szCs w:val="18"/>
                                <w:lang w:val="en-US"/>
                              </w:rPr>
                            </m:ctrlPr>
                          </m:fPr>
                          <m:num>
                            <m:r>
                              <w:rPr>
                                <w:rFonts w:ascii="Cambria Math" w:hAnsi="Cambria Math"/>
                                <w:sz w:val="18"/>
                                <w:szCs w:val="18"/>
                                <w:lang w:val="en-US"/>
                              </w:rPr>
                              <m:t>1</m:t>
                            </m:r>
                          </m:num>
                          <m:den>
                            <m:r>
                              <w:rPr>
                                <w:rFonts w:ascii="Cambria Math" w:hAnsi="Cambria Math"/>
                                <w:sz w:val="18"/>
                                <w:szCs w:val="18"/>
                                <w:lang w:val="en-US"/>
                              </w:rPr>
                              <m:t>N</m:t>
                            </m:r>
                          </m:den>
                        </m:f>
                      </m:e>
                    </m:d>
                    <m:r>
                      <w:rPr>
                        <w:rFonts w:ascii="Cambria Math" w:hAnsi="Cambria Math"/>
                        <w:sz w:val="18"/>
                        <w:szCs w:val="18"/>
                        <w:lang w:val="en-US"/>
                      </w:rPr>
                      <m:t>* su</m:t>
                    </m:r>
                    <m:sSubSup>
                      <m:sSubSupPr>
                        <m:ctrlPr>
                          <w:rPr>
                            <w:rFonts w:ascii="Cambria Math" w:hAnsi="Cambria Math"/>
                            <w:i/>
                            <w:sz w:val="18"/>
                            <w:szCs w:val="18"/>
                            <w:lang w:val="en-US"/>
                          </w:rPr>
                        </m:ctrlPr>
                      </m:sSubSupPr>
                      <m:e>
                        <m:r>
                          <w:rPr>
                            <w:rFonts w:ascii="Cambria Math" w:hAnsi="Cambria Math"/>
                            <w:sz w:val="18"/>
                            <w:szCs w:val="18"/>
                            <w:lang w:val="en-US"/>
                          </w:rPr>
                          <m:t>m</m:t>
                        </m:r>
                      </m:e>
                      <m:sub>
                        <m:d>
                          <m:dPr>
                            <m:begChr m:val="{"/>
                            <m:endChr m:val="}"/>
                            <m:ctrlPr>
                              <w:rPr>
                                <w:rFonts w:ascii="Cambria Math" w:hAnsi="Cambria Math"/>
                                <w:i/>
                                <w:sz w:val="18"/>
                                <w:szCs w:val="18"/>
                                <w:lang w:val="en-US"/>
                              </w:rPr>
                            </m:ctrlPr>
                          </m:dPr>
                          <m:e>
                            <m:r>
                              <w:rPr>
                                <w:rFonts w:ascii="Cambria Math" w:hAnsi="Cambria Math"/>
                                <w:sz w:val="18"/>
                                <w:szCs w:val="18"/>
                                <w:lang w:val="en-US"/>
                              </w:rPr>
                              <m:t>i=1</m:t>
                            </m:r>
                          </m:e>
                        </m:d>
                      </m:sub>
                      <m:sup>
                        <m:r>
                          <w:rPr>
                            <w:rFonts w:ascii="Cambria Math" w:hAnsi="Cambria Math"/>
                            <w:sz w:val="18"/>
                            <w:szCs w:val="18"/>
                            <w:lang w:val="en-US"/>
                          </w:rPr>
                          <m:t>N</m:t>
                        </m:r>
                      </m:sup>
                    </m:sSubSup>
                    <m:sSup>
                      <m:sSupPr>
                        <m:ctrlPr>
                          <w:rPr>
                            <w:rFonts w:ascii="Cambria Math" w:hAnsi="Cambria Math"/>
                            <w:i/>
                            <w:sz w:val="18"/>
                            <w:szCs w:val="18"/>
                            <w:lang w:val="en-US"/>
                          </w:rPr>
                        </m:ctrlPr>
                      </m:sSupPr>
                      <m:e>
                        <m:d>
                          <m:dPr>
                            <m:ctrlPr>
                              <w:rPr>
                                <w:rFonts w:ascii="Cambria Math" w:hAnsi="Cambria Math"/>
                                <w:i/>
                                <w:sz w:val="18"/>
                                <w:szCs w:val="18"/>
                                <w:lang w:val="en-US"/>
                              </w:rPr>
                            </m:ctrlPr>
                          </m:dPr>
                          <m:e>
                            <m:r>
                              <w:rPr>
                                <w:rFonts w:ascii="Cambria Math" w:hAnsi="Cambria Math"/>
                                <w:sz w:val="18"/>
                                <w:szCs w:val="18"/>
                                <w:lang w:val="en-US"/>
                              </w:rPr>
                              <m:t xml:space="preserve"> </m:t>
                            </m:r>
                            <m:sSub>
                              <m:sSubPr>
                                <m:ctrlPr>
                                  <w:rPr>
                                    <w:rFonts w:ascii="Cambria Math" w:hAnsi="Cambria Math"/>
                                    <w:i/>
                                    <w:sz w:val="18"/>
                                    <w:szCs w:val="18"/>
                                    <w:lang w:val="en-US"/>
                                  </w:rPr>
                                </m:ctrlPr>
                              </m:sSubPr>
                              <m:e>
                                <m:acc>
                                  <m:accPr>
                                    <m:ctrlPr>
                                      <w:rPr>
                                        <w:rFonts w:ascii="Cambria Math" w:hAnsi="Cambria Math"/>
                                        <w:i/>
                                        <w:sz w:val="18"/>
                                        <w:szCs w:val="18"/>
                                        <w:lang w:val="en-US"/>
                                      </w:rPr>
                                    </m:ctrlPr>
                                  </m:accPr>
                                  <m:e>
                                    <m:r>
                                      <w:rPr>
                                        <w:rFonts w:ascii="Cambria Math" w:hAnsi="Cambria Math"/>
                                        <w:sz w:val="18"/>
                                        <w:szCs w:val="18"/>
                                        <w:lang w:val="en-US"/>
                                      </w:rPr>
                                      <m:t>z</m:t>
                                    </m:r>
                                  </m:e>
                                </m:acc>
                              </m:e>
                              <m:sub>
                                <m:r>
                                  <w:rPr>
                                    <w:rFonts w:ascii="Cambria Math" w:hAnsi="Cambria Math"/>
                                    <w:sz w:val="18"/>
                                    <w:szCs w:val="18"/>
                                    <w:lang w:val="en-US"/>
                                  </w:rPr>
                                  <m:t>i</m:t>
                                </m:r>
                              </m:sub>
                            </m:sSub>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z</m:t>
                                </m:r>
                              </m:e>
                              <m:sub>
                                <m:r>
                                  <w:rPr>
                                    <w:rFonts w:ascii="Cambria Math" w:hAnsi="Cambria Math"/>
                                    <w:sz w:val="18"/>
                                    <w:szCs w:val="18"/>
                                    <w:lang w:val="en-US"/>
                                  </w:rPr>
                                  <m:t>i</m:t>
                                </m:r>
                              </m:sub>
                            </m:sSub>
                          </m:e>
                        </m:d>
                      </m:e>
                      <m:sup>
                        <m:r>
                          <w:rPr>
                            <w:rFonts w:ascii="Cambria Math" w:hAnsi="Cambria Math"/>
                            <w:sz w:val="18"/>
                            <w:szCs w:val="18"/>
                            <w:lang w:val="en-US"/>
                          </w:rPr>
                          <m:t>2</m:t>
                        </m:r>
                      </m:sup>
                    </m:sSup>
                  </m:e>
                </m:d>
                <m:r>
                  <w:rPr>
                    <w:rFonts w:ascii="Cambria Math" w:hAnsi="Cambria Math"/>
                    <w:sz w:val="18"/>
                    <w:szCs w:val="18"/>
                    <w:lang w:val="en-US"/>
                  </w:rPr>
                  <m:t xml:space="preserve">  </m:t>
                </m:r>
                <m:d>
                  <m:dPr>
                    <m:begChr m:val="["/>
                    <m:endChr m:val="]"/>
                    <m:ctrlPr>
                      <w:rPr>
                        <w:rFonts w:ascii="Cambria Math" w:hAnsi="Cambria Math"/>
                        <w:i/>
                        <w:sz w:val="18"/>
                        <w:szCs w:val="18"/>
                        <w:lang w:val="en-US"/>
                      </w:rPr>
                    </m:ctrlPr>
                  </m:dPr>
                  <m:e>
                    <m:r>
                      <w:rPr>
                        <w:rFonts w:ascii="Cambria Math" w:hAnsi="Cambria Math"/>
                        <w:sz w:val="18"/>
                        <w:szCs w:val="18"/>
                        <w:lang w:val="en-US"/>
                      </w:rPr>
                      <m:t>cm</m:t>
                    </m:r>
                  </m:e>
                </m:d>
              </m:oMath>
            </m:oMathPara>
          </w:p>
        </w:tc>
        <w:tc>
          <w:tcPr>
            <w:tcW w:w="466" w:type="dxa"/>
          </w:tcPr>
          <w:p w14:paraId="6F6EA7CC" w14:textId="79AB6430" w:rsidR="00D00B0D" w:rsidRDefault="00D00B0D" w:rsidP="001E5F3F">
            <w:pPr>
              <w:pStyle w:val="BodyText"/>
              <w:spacing w:after="0" w:line="240" w:lineRule="auto"/>
              <w:ind w:firstLine="0"/>
              <w:rPr>
                <w:lang w:val="en-US"/>
              </w:rPr>
            </w:pPr>
            <w:r>
              <w:rPr>
                <w:lang w:val="en-US"/>
              </w:rPr>
              <w:t>(2)</w:t>
            </w:r>
          </w:p>
        </w:tc>
      </w:tr>
    </w:tbl>
    <w:p w14:paraId="7B1CC56A" w14:textId="3D228470" w:rsidR="00FC23BB" w:rsidRDefault="0024658C" w:rsidP="00D00B0D">
      <w:pPr>
        <w:pStyle w:val="BodyText"/>
        <w:spacing w:after="0" w:line="240" w:lineRule="auto"/>
        <w:rPr>
          <w:lang w:val="en-US"/>
        </w:rPr>
      </w:pPr>
      <w:r w:rsidRPr="0024658C">
        <w:rPr>
          <w:lang w:val="en-US"/>
        </w:rPr>
        <w:t>MRE [ </w:t>
      </w:r>
      <w:proofErr w:type="gramStart"/>
      <w:r w:rsidRPr="0024658C">
        <w:rPr>
          <w:lang w:val="en-US"/>
        </w:rPr>
        <w:t>dimensionless ]</w:t>
      </w:r>
      <w:proofErr w:type="gramEnd"/>
      <w:r w:rsidRPr="0024658C">
        <w:rPr>
          <w:lang w:val="en-US"/>
        </w:rPr>
        <w:t>. Measures scale-</w:t>
      </w:r>
      <w:proofErr w:type="spellStart"/>
      <w:r w:rsidRPr="0024658C">
        <w:rPr>
          <w:lang w:val="en-US"/>
        </w:rPr>
        <w:t>normalised</w:t>
      </w:r>
      <w:proofErr w:type="spellEnd"/>
      <w:r w:rsidRPr="0024658C">
        <w:rPr>
          <w:lang w:val="en-US"/>
        </w:rPr>
        <w:t xml:space="preserve"> error; lower is better.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D00B0D" w14:paraId="5A3ACB61" w14:textId="77777777" w:rsidTr="00FC798A">
        <w:tc>
          <w:tcPr>
            <w:tcW w:w="4390" w:type="dxa"/>
          </w:tcPr>
          <w:p w14:paraId="790B578D" w14:textId="287C8D16" w:rsidR="00D00B0D" w:rsidRPr="00D00B0D" w:rsidRDefault="00D00B0D" w:rsidP="001E5F3F">
            <w:pPr>
              <w:pStyle w:val="BodyText"/>
              <w:spacing w:after="0" w:line="240" w:lineRule="auto"/>
              <w:ind w:firstLine="0"/>
              <w:rPr>
                <w:sz w:val="18"/>
                <w:szCs w:val="18"/>
                <w:lang w:val="en-US"/>
              </w:rPr>
            </w:pPr>
            <m:oMathPara>
              <m:oMath>
                <m:r>
                  <w:rPr>
                    <w:rFonts w:ascii="Cambria Math" w:hAnsi="Cambria Math"/>
                    <w:sz w:val="18"/>
                    <w:szCs w:val="18"/>
                    <w:lang w:val="en-US"/>
                  </w:rPr>
                  <m:t xml:space="preserve">MRE = </m:t>
                </m:r>
                <m:d>
                  <m:dPr>
                    <m:ctrlPr>
                      <w:rPr>
                        <w:rFonts w:ascii="Cambria Math" w:hAnsi="Cambria Math"/>
                        <w:i/>
                        <w:sz w:val="18"/>
                        <w:szCs w:val="18"/>
                        <w:lang w:val="en-US"/>
                      </w:rPr>
                    </m:ctrlPr>
                  </m:dPr>
                  <m:e>
                    <m:f>
                      <m:fPr>
                        <m:ctrlPr>
                          <w:rPr>
                            <w:rFonts w:ascii="Cambria Math" w:hAnsi="Cambria Math"/>
                            <w:i/>
                            <w:sz w:val="18"/>
                            <w:szCs w:val="18"/>
                            <w:lang w:val="en-US"/>
                          </w:rPr>
                        </m:ctrlPr>
                      </m:fPr>
                      <m:num>
                        <m:r>
                          <w:rPr>
                            <w:rFonts w:ascii="Cambria Math" w:hAnsi="Cambria Math"/>
                            <w:sz w:val="18"/>
                            <w:szCs w:val="18"/>
                            <w:lang w:val="en-US"/>
                          </w:rPr>
                          <m:t>1</m:t>
                        </m:r>
                      </m:num>
                      <m:den>
                        <m:r>
                          <w:rPr>
                            <w:rFonts w:ascii="Cambria Math" w:hAnsi="Cambria Math"/>
                            <w:sz w:val="18"/>
                            <w:szCs w:val="18"/>
                            <w:lang w:val="en-US"/>
                          </w:rPr>
                          <m:t>N</m:t>
                        </m:r>
                      </m:den>
                    </m:f>
                  </m:e>
                </m:d>
                <m:r>
                  <w:rPr>
                    <w:rFonts w:ascii="Cambria Math" w:hAnsi="Cambria Math"/>
                    <w:sz w:val="18"/>
                    <w:szCs w:val="18"/>
                    <w:lang w:val="en-US"/>
                  </w:rPr>
                  <m:t>* su</m:t>
                </m:r>
                <m:sSubSup>
                  <m:sSubSupPr>
                    <m:ctrlPr>
                      <w:rPr>
                        <w:rFonts w:ascii="Cambria Math" w:hAnsi="Cambria Math"/>
                        <w:i/>
                        <w:sz w:val="18"/>
                        <w:szCs w:val="18"/>
                        <w:lang w:val="en-US"/>
                      </w:rPr>
                    </m:ctrlPr>
                  </m:sSubSupPr>
                  <m:e>
                    <m:r>
                      <w:rPr>
                        <w:rFonts w:ascii="Cambria Math" w:hAnsi="Cambria Math"/>
                        <w:sz w:val="18"/>
                        <w:szCs w:val="18"/>
                        <w:lang w:val="en-US"/>
                      </w:rPr>
                      <m:t>m</m:t>
                    </m:r>
                  </m:e>
                  <m:sub>
                    <m:d>
                      <m:dPr>
                        <m:begChr m:val="{"/>
                        <m:endChr m:val="}"/>
                        <m:ctrlPr>
                          <w:rPr>
                            <w:rFonts w:ascii="Cambria Math" w:hAnsi="Cambria Math"/>
                            <w:i/>
                            <w:sz w:val="18"/>
                            <w:szCs w:val="18"/>
                            <w:lang w:val="en-US"/>
                          </w:rPr>
                        </m:ctrlPr>
                      </m:dPr>
                      <m:e>
                        <m:r>
                          <w:rPr>
                            <w:rFonts w:ascii="Cambria Math" w:hAnsi="Cambria Math"/>
                            <w:sz w:val="18"/>
                            <w:szCs w:val="18"/>
                            <w:lang w:val="en-US"/>
                          </w:rPr>
                          <m:t>i=1</m:t>
                        </m:r>
                      </m:e>
                    </m:d>
                  </m:sub>
                  <m:sup>
                    <m:r>
                      <w:rPr>
                        <w:rFonts w:ascii="Cambria Math" w:hAnsi="Cambria Math"/>
                        <w:sz w:val="18"/>
                        <w:szCs w:val="18"/>
                        <w:lang w:val="en-US"/>
                      </w:rPr>
                      <m:t>N</m:t>
                    </m:r>
                  </m:sup>
                </m:sSubSup>
                <m:d>
                  <m:dPr>
                    <m:ctrlPr>
                      <w:rPr>
                        <w:rFonts w:ascii="Cambria Math" w:hAnsi="Cambria Math"/>
                        <w:i/>
                        <w:sz w:val="18"/>
                        <w:szCs w:val="18"/>
                        <w:lang w:val="en-US"/>
                      </w:rPr>
                    </m:ctrlPr>
                  </m:dPr>
                  <m:e>
                    <m:f>
                      <m:fPr>
                        <m:ctrlPr>
                          <w:rPr>
                            <w:rFonts w:ascii="Cambria Math" w:hAnsi="Cambria Math"/>
                            <w:i/>
                            <w:sz w:val="18"/>
                            <w:szCs w:val="18"/>
                            <w:lang w:val="en-US"/>
                          </w:rPr>
                        </m:ctrlPr>
                      </m:fPr>
                      <m:num>
                        <m:r>
                          <w:rPr>
                            <w:rFonts w:ascii="Cambria Math" w:hAnsi="Cambria Math"/>
                            <w:sz w:val="18"/>
                            <w:szCs w:val="18"/>
                            <w:lang w:val="en-US"/>
                          </w:rPr>
                          <m:t>abs</m:t>
                        </m:r>
                        <m:d>
                          <m:dPr>
                            <m:ctrlPr>
                              <w:rPr>
                                <w:rFonts w:ascii="Cambria Math" w:hAnsi="Cambria Math"/>
                                <w:i/>
                                <w:sz w:val="18"/>
                                <w:szCs w:val="18"/>
                                <w:lang w:val="en-US"/>
                              </w:rPr>
                            </m:ctrlPr>
                          </m:dPr>
                          <m:e>
                            <m:r>
                              <w:rPr>
                                <w:rFonts w:ascii="Cambria Math" w:hAnsi="Cambria Math"/>
                                <w:sz w:val="18"/>
                                <w:szCs w:val="18"/>
                                <w:lang w:val="en-US"/>
                              </w:rPr>
                              <m:t xml:space="preserve"> </m:t>
                            </m:r>
                            <m:sSub>
                              <m:sSubPr>
                                <m:ctrlPr>
                                  <w:rPr>
                                    <w:rFonts w:ascii="Cambria Math" w:hAnsi="Cambria Math"/>
                                    <w:i/>
                                    <w:sz w:val="18"/>
                                    <w:szCs w:val="18"/>
                                    <w:lang w:val="en-US"/>
                                  </w:rPr>
                                </m:ctrlPr>
                              </m:sSubPr>
                              <m:e>
                                <m:acc>
                                  <m:accPr>
                                    <m:ctrlPr>
                                      <w:rPr>
                                        <w:rFonts w:ascii="Cambria Math" w:hAnsi="Cambria Math"/>
                                        <w:i/>
                                        <w:sz w:val="18"/>
                                        <w:szCs w:val="18"/>
                                        <w:lang w:val="en-US"/>
                                      </w:rPr>
                                    </m:ctrlPr>
                                  </m:accPr>
                                  <m:e>
                                    <m:r>
                                      <w:rPr>
                                        <w:rFonts w:ascii="Cambria Math" w:hAnsi="Cambria Math"/>
                                        <w:sz w:val="18"/>
                                        <w:szCs w:val="18"/>
                                        <w:lang w:val="en-US"/>
                                      </w:rPr>
                                      <m:t>z</m:t>
                                    </m:r>
                                  </m:e>
                                </m:acc>
                              </m:e>
                              <m:sub>
                                <m:r>
                                  <w:rPr>
                                    <w:rFonts w:ascii="Cambria Math" w:hAnsi="Cambria Math"/>
                                    <w:sz w:val="18"/>
                                    <w:szCs w:val="18"/>
                                    <w:lang w:val="en-US"/>
                                  </w:rPr>
                                  <m:t>i</m:t>
                                </m:r>
                              </m:sub>
                            </m:sSub>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z</m:t>
                                </m:r>
                              </m:e>
                              <m:sub>
                                <m:r>
                                  <w:rPr>
                                    <w:rFonts w:ascii="Cambria Math" w:hAnsi="Cambria Math"/>
                                    <w:sz w:val="18"/>
                                    <w:szCs w:val="18"/>
                                    <w:lang w:val="en-US"/>
                                  </w:rPr>
                                  <m:t>i</m:t>
                                </m:r>
                              </m:sub>
                            </m:sSub>
                          </m:e>
                        </m:d>
                      </m:num>
                      <m:den>
                        <m:sSub>
                          <m:sSubPr>
                            <m:ctrlPr>
                              <w:rPr>
                                <w:rFonts w:ascii="Cambria Math" w:hAnsi="Cambria Math"/>
                                <w:i/>
                                <w:sz w:val="18"/>
                                <w:szCs w:val="18"/>
                                <w:lang w:val="en-US"/>
                              </w:rPr>
                            </m:ctrlPr>
                          </m:sSubPr>
                          <m:e>
                            <m:r>
                              <w:rPr>
                                <w:rFonts w:ascii="Cambria Math" w:hAnsi="Cambria Math"/>
                                <w:sz w:val="18"/>
                                <w:szCs w:val="18"/>
                                <w:lang w:val="en-US"/>
                              </w:rPr>
                              <m:t>z</m:t>
                            </m:r>
                          </m:e>
                          <m:sub>
                            <m:r>
                              <w:rPr>
                                <w:rFonts w:ascii="Cambria Math" w:hAnsi="Cambria Math"/>
                                <w:sz w:val="18"/>
                                <w:szCs w:val="18"/>
                                <w:lang w:val="en-US"/>
                              </w:rPr>
                              <m:t>i</m:t>
                            </m:r>
                          </m:sub>
                        </m:sSub>
                      </m:den>
                    </m:f>
                  </m:e>
                </m:d>
                <m:r>
                  <w:rPr>
                    <w:rFonts w:ascii="Cambria Math" w:hAnsi="Cambria Math"/>
                    <w:sz w:val="18"/>
                    <w:szCs w:val="18"/>
                    <w:lang w:val="en-US"/>
                  </w:rPr>
                  <m:t xml:space="preserve">  </m:t>
                </m:r>
                <m:d>
                  <m:dPr>
                    <m:begChr m:val="["/>
                    <m:endChr m:val="]"/>
                    <m:ctrlPr>
                      <w:rPr>
                        <w:rFonts w:ascii="Cambria Math" w:hAnsi="Cambria Math"/>
                        <w:i/>
                        <w:sz w:val="18"/>
                        <w:szCs w:val="18"/>
                        <w:lang w:val="en-US"/>
                      </w:rPr>
                    </m:ctrlPr>
                  </m:dPr>
                  <m:e>
                    <m:r>
                      <w:rPr>
                        <w:rFonts w:ascii="Cambria Math" w:hAnsi="Cambria Math"/>
                        <w:sz w:val="18"/>
                        <w:szCs w:val="18"/>
                        <w:lang w:val="en-US"/>
                      </w:rPr>
                      <m:t>-</m:t>
                    </m:r>
                  </m:e>
                </m:d>
              </m:oMath>
            </m:oMathPara>
          </w:p>
        </w:tc>
        <w:tc>
          <w:tcPr>
            <w:tcW w:w="466" w:type="dxa"/>
          </w:tcPr>
          <w:p w14:paraId="432AC0FF" w14:textId="77777777" w:rsidR="00D00B0D" w:rsidRDefault="00D00B0D" w:rsidP="001E5F3F">
            <w:pPr>
              <w:pStyle w:val="BodyText"/>
              <w:spacing w:after="0" w:line="240" w:lineRule="auto"/>
              <w:ind w:firstLine="0"/>
              <w:rPr>
                <w:lang w:val="en-US"/>
              </w:rPr>
            </w:pPr>
            <w:r>
              <w:rPr>
                <w:lang w:val="en-US"/>
              </w:rPr>
              <w:t>(1)</w:t>
            </w:r>
          </w:p>
        </w:tc>
      </w:tr>
    </w:tbl>
    <w:p w14:paraId="290E9F9F" w14:textId="129A10E7" w:rsidR="000D1AD2" w:rsidRDefault="00224C8A" w:rsidP="00224C8A">
      <w:pPr>
        <w:pStyle w:val="BodyText"/>
        <w:spacing w:after="0" w:line="240" w:lineRule="auto"/>
        <w:rPr>
          <w:lang w:val="en-US"/>
        </w:rPr>
      </w:pPr>
      <w:r w:rsidRPr="00224C8A">
        <w:rPr>
          <w:b/>
          <w:bCs/>
          <w:lang w:val="en-US"/>
        </w:rPr>
        <w:t>Dice [ 0,1].</w:t>
      </w:r>
      <w:r w:rsidRPr="00224C8A">
        <w:rPr>
          <w:lang w:val="en-US"/>
        </w:rPr>
        <w:t xml:space="preserve"> Measures segmentation overlap; 1 is perfect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D00B0D" w14:paraId="6D13A3AB" w14:textId="77777777" w:rsidTr="00FC798A">
        <w:tc>
          <w:tcPr>
            <w:tcW w:w="4390" w:type="dxa"/>
          </w:tcPr>
          <w:p w14:paraId="579CE069" w14:textId="439F406D" w:rsidR="00D00B0D" w:rsidRPr="00D00B0D" w:rsidRDefault="00D00B0D" w:rsidP="00D00B0D">
            <w:pPr>
              <w:pStyle w:val="BodyText"/>
              <w:spacing w:after="0" w:line="240" w:lineRule="auto"/>
              <w:rPr>
                <w:sz w:val="18"/>
                <w:szCs w:val="18"/>
                <w:lang w:val="en-US"/>
              </w:rPr>
            </w:pPr>
            <m:oMathPara>
              <m:oMath>
                <m:r>
                  <w:rPr>
                    <w:rFonts w:ascii="Cambria Math" w:hAnsi="Cambria Math" w:hint="eastAsia"/>
                    <w:sz w:val="18"/>
                    <w:szCs w:val="18"/>
                    <w:lang w:val="en-US"/>
                  </w:rPr>
                  <m:t xml:space="preserve">Dice = 2 </m:t>
                </m:r>
                <m:r>
                  <w:rPr>
                    <w:rFonts w:ascii="Cambria Math" w:hAnsi="Cambria Math" w:cs="Cambria Math"/>
                    <w:sz w:val="18"/>
                    <w:szCs w:val="18"/>
                    <w:lang w:val="en-US"/>
                  </w:rPr>
                  <m:t>*</m:t>
                </m:r>
                <m:f>
                  <m:fPr>
                    <m:ctrlPr>
                      <w:rPr>
                        <w:rFonts w:ascii="Cambria Math" w:hAnsi="Cambria Math"/>
                        <w:i/>
                        <w:sz w:val="18"/>
                        <w:szCs w:val="18"/>
                        <w:lang w:val="en-US"/>
                      </w:rPr>
                    </m:ctrlPr>
                  </m:fPr>
                  <m:num>
                    <m:d>
                      <m:dPr>
                        <m:begChr m:val="|"/>
                        <m:endChr m:val="|"/>
                        <m:ctrlPr>
                          <w:rPr>
                            <w:rFonts w:ascii="Cambria Math" w:hAnsi="Cambria Math"/>
                            <w:i/>
                            <w:sz w:val="18"/>
                            <w:szCs w:val="18"/>
                            <w:lang w:val="en-US"/>
                          </w:rPr>
                        </m:ctrlPr>
                      </m:dPr>
                      <m:e>
                        <m:r>
                          <w:rPr>
                            <w:rFonts w:ascii="Cambria Math" w:hAnsi="Cambria Math" w:hint="eastAsia"/>
                            <w:sz w:val="18"/>
                            <w:szCs w:val="18"/>
                            <w:lang w:val="en-US"/>
                          </w:rPr>
                          <m:t xml:space="preserve">P </m:t>
                        </m:r>
                        <m:r>
                          <w:rPr>
                            <w:rFonts w:ascii="Cambria Math" w:hAnsi="Cambria Math" w:hint="eastAsia"/>
                            <w:sz w:val="18"/>
                            <w:szCs w:val="18"/>
                            <w:lang w:val="en-US"/>
                          </w:rPr>
                          <m:t>∩</m:t>
                        </m:r>
                        <m:r>
                          <w:rPr>
                            <w:rFonts w:ascii="Cambria Math" w:hAnsi="Cambria Math" w:hint="eastAsia"/>
                            <w:sz w:val="18"/>
                            <w:szCs w:val="18"/>
                            <w:lang w:val="en-US"/>
                          </w:rPr>
                          <m:t xml:space="preserve"> G</m:t>
                        </m:r>
                      </m:e>
                    </m:d>
                  </m:num>
                  <m:den>
                    <m:d>
                      <m:dPr>
                        <m:ctrlPr>
                          <w:rPr>
                            <w:rFonts w:ascii="Cambria Math" w:hAnsi="Cambria Math"/>
                            <w:i/>
                            <w:sz w:val="18"/>
                            <w:szCs w:val="18"/>
                            <w:lang w:val="en-US"/>
                          </w:rPr>
                        </m:ctrlPr>
                      </m:dPr>
                      <m:e>
                        <m:r>
                          <w:rPr>
                            <w:rFonts w:ascii="Cambria Math" w:hAnsi="Cambria Math" w:hint="eastAsia"/>
                            <w:sz w:val="18"/>
                            <w:szCs w:val="18"/>
                            <w:lang w:val="en-US"/>
                          </w:rPr>
                          <m:t xml:space="preserve"> </m:t>
                        </m:r>
                        <m:d>
                          <m:dPr>
                            <m:begChr m:val="|"/>
                            <m:endChr m:val="|"/>
                            <m:ctrlPr>
                              <w:rPr>
                                <w:rFonts w:ascii="Cambria Math" w:hAnsi="Cambria Math"/>
                                <w:i/>
                                <w:sz w:val="18"/>
                                <w:szCs w:val="18"/>
                                <w:lang w:val="en-US"/>
                              </w:rPr>
                            </m:ctrlPr>
                          </m:dPr>
                          <m:e>
                            <m:r>
                              <w:rPr>
                                <w:rFonts w:ascii="Cambria Math" w:hAnsi="Cambria Math" w:hint="eastAsia"/>
                                <w:sz w:val="18"/>
                                <w:szCs w:val="18"/>
                                <w:lang w:val="en-US"/>
                              </w:rPr>
                              <m:t>P</m:t>
                            </m:r>
                          </m:e>
                        </m:d>
                        <m:r>
                          <w:rPr>
                            <w:rFonts w:ascii="Cambria Math" w:hAnsi="Cambria Math" w:hint="eastAsia"/>
                            <w:sz w:val="18"/>
                            <w:szCs w:val="18"/>
                            <w:lang w:val="en-US"/>
                          </w:rPr>
                          <m:t xml:space="preserve">+ </m:t>
                        </m:r>
                        <m:d>
                          <m:dPr>
                            <m:begChr m:val="|"/>
                            <m:endChr m:val="|"/>
                            <m:ctrlPr>
                              <w:rPr>
                                <w:rFonts w:ascii="Cambria Math" w:hAnsi="Cambria Math"/>
                                <w:i/>
                                <w:sz w:val="18"/>
                                <w:szCs w:val="18"/>
                                <w:lang w:val="en-US"/>
                              </w:rPr>
                            </m:ctrlPr>
                          </m:dPr>
                          <m:e>
                            <m:r>
                              <w:rPr>
                                <w:rFonts w:ascii="Cambria Math" w:hAnsi="Cambria Math" w:hint="eastAsia"/>
                                <w:sz w:val="18"/>
                                <w:szCs w:val="18"/>
                                <w:lang w:val="en-US"/>
                              </w:rPr>
                              <m:t>G</m:t>
                            </m:r>
                          </m:e>
                        </m:d>
                      </m:e>
                    </m:d>
                  </m:den>
                </m:f>
              </m:oMath>
            </m:oMathPara>
          </w:p>
        </w:tc>
        <w:tc>
          <w:tcPr>
            <w:tcW w:w="466" w:type="dxa"/>
          </w:tcPr>
          <w:p w14:paraId="3859EE31" w14:textId="77777777" w:rsidR="00D00B0D" w:rsidRDefault="00D00B0D" w:rsidP="001E5F3F">
            <w:pPr>
              <w:pStyle w:val="BodyText"/>
              <w:spacing w:after="0" w:line="240" w:lineRule="auto"/>
              <w:ind w:firstLine="0"/>
              <w:rPr>
                <w:lang w:val="en-US"/>
              </w:rPr>
            </w:pPr>
            <w:r>
              <w:rPr>
                <w:lang w:val="en-US"/>
              </w:rPr>
              <w:t>(1)</w:t>
            </w:r>
          </w:p>
        </w:tc>
      </w:tr>
    </w:tbl>
    <w:p w14:paraId="5A40B86B" w14:textId="389A6AB8" w:rsidR="00A65418" w:rsidRPr="00CA466E" w:rsidRDefault="00A65418" w:rsidP="00F6512C">
      <w:pPr>
        <w:pStyle w:val="Heading2"/>
        <w:tabs>
          <w:tab w:val="clear" w:pos="360"/>
          <w:tab w:val="num" w:pos="288"/>
        </w:tabs>
      </w:pPr>
      <w:r w:rsidRPr="00F6512C">
        <w:rPr>
          <w:i w:val="0"/>
          <w:iCs w:val="0"/>
        </w:rPr>
        <w:t>Implementation</w:t>
      </w:r>
      <w:r w:rsidRPr="00CA466E">
        <w:t xml:space="preserve"> Details</w:t>
      </w:r>
    </w:p>
    <w:p w14:paraId="22E8B3B3" w14:textId="577CEA43" w:rsidR="00A65418" w:rsidRDefault="00A65418" w:rsidP="00E54D30">
      <w:pPr>
        <w:pStyle w:val="BodyText"/>
        <w:spacing w:after="0" w:line="240" w:lineRule="auto"/>
      </w:pPr>
      <w:r w:rsidRPr="00A65418">
        <w:t xml:space="preserve">The mobile application was developed using Flutter, a cross-platform UI toolkit, with Dart as the programming language. All AI models were developed in Python and trained using Google </w:t>
      </w:r>
      <w:proofErr w:type="spellStart"/>
      <w:r w:rsidRPr="00A65418">
        <w:t>Colab</w:t>
      </w:r>
      <w:proofErr w:type="spellEnd"/>
      <w:r w:rsidRPr="00A65418">
        <w:t xml:space="preserve"> with GPU acceleration. The dataset was collected from various sources, mainly from public Kaggle datasets[4</w:t>
      </w:r>
      <w:r w:rsidR="00C53A0B">
        <w:t>7-</w:t>
      </w:r>
      <w:r w:rsidR="001E1157">
        <w:t>51</w:t>
      </w:r>
      <w:r w:rsidRPr="00A65418">
        <w:t xml:space="preserve">]. Other resources included online medical datasets and augmented images we created using </w:t>
      </w:r>
      <w:r w:rsidR="00804E65">
        <w:t>Python</w:t>
      </w:r>
      <w:r w:rsidRPr="00A65418">
        <w:t xml:space="preserve"> code on Google </w:t>
      </w:r>
      <w:proofErr w:type="spellStart"/>
      <w:r w:rsidRPr="00A65418">
        <w:t>Colab</w:t>
      </w:r>
      <w:proofErr w:type="spellEnd"/>
      <w:r w:rsidRPr="00A65418">
        <w:t>[</w:t>
      </w:r>
      <w:r w:rsidR="00D05717">
        <w:t>12</w:t>
      </w:r>
      <w:r w:rsidRPr="00A65418">
        <w:t xml:space="preserve">]. Each dataset was split into 80% training and 20% validation subsets. Model training was conducted over 100 epochs." The trained models were integrated into the Flutter application through cloud-deployed API endpoints, specifically </w:t>
      </w:r>
      <w:proofErr w:type="spellStart"/>
      <w:r w:rsidRPr="00A65418">
        <w:t>FastAPI</w:t>
      </w:r>
      <w:proofErr w:type="spellEnd"/>
      <w:r w:rsidRPr="00A65418">
        <w:t>, allowing real-time fast communication between the mobile interface and hosted AI services</w:t>
      </w:r>
      <w:r w:rsidR="00D37C44">
        <w:t xml:space="preserve"> </w:t>
      </w:r>
      <w:r w:rsidR="00E30A88">
        <w:t>[52]</w:t>
      </w:r>
      <w:r w:rsidRPr="00A65418">
        <w:t>.</w:t>
      </w:r>
    </w:p>
    <w:p w14:paraId="497E7C5B" w14:textId="1DB56F1A" w:rsidR="00A65418" w:rsidRPr="00CA466E" w:rsidRDefault="00A65418" w:rsidP="00CA466E">
      <w:pPr>
        <w:pStyle w:val="Heading1"/>
      </w:pPr>
      <w:r w:rsidRPr="00CA466E">
        <w:t xml:space="preserve"> Results and Discussion</w:t>
      </w:r>
    </w:p>
    <w:p w14:paraId="409BC12F" w14:textId="77777777" w:rsidR="00983D14" w:rsidRDefault="00C807AA" w:rsidP="00983D14">
      <w:pPr>
        <w:pStyle w:val="Heading2"/>
        <w:tabs>
          <w:tab w:val="clear" w:pos="360"/>
          <w:tab w:val="num" w:pos="288"/>
        </w:tabs>
      </w:pPr>
      <w:r>
        <w:t>Cohort and ethics</w:t>
      </w:r>
    </w:p>
    <w:p w14:paraId="3CC9B631" w14:textId="7E0AEF52" w:rsidR="00C807AA" w:rsidRDefault="00C807AA" w:rsidP="00C807AA">
      <w:pPr>
        <w:pStyle w:val="BodyText"/>
        <w:ind w:firstLine="289"/>
      </w:pPr>
      <w:r>
        <w:t xml:space="preserve">The system was evaluated on 50 patients with clinically confirmed DFUs at the National Center for Diabetes, Endocrinology, and Genetics (NCDEG). Formal permission to access and use anonymised foot images stored on NCDEG’s secure systems was granted. Data were collected in </w:t>
      </w:r>
      <w:r>
        <w:lastRenderedPageBreak/>
        <w:t>accordance with institutional ethical guidelines and applicable privacy standards.</w:t>
      </w:r>
    </w:p>
    <w:p w14:paraId="51E0A019" w14:textId="77777777" w:rsidR="00983D14" w:rsidRDefault="00C807AA" w:rsidP="00983D14">
      <w:pPr>
        <w:pStyle w:val="Heading2"/>
        <w:tabs>
          <w:tab w:val="clear" w:pos="360"/>
          <w:tab w:val="num" w:pos="288"/>
        </w:tabs>
      </w:pPr>
      <w:r>
        <w:t>Acquisition and splits</w:t>
      </w:r>
    </w:p>
    <w:p w14:paraId="607F1840" w14:textId="0DF64CAF" w:rsidR="00C807AA" w:rsidRDefault="00C807AA" w:rsidP="00C807AA">
      <w:pPr>
        <w:pStyle w:val="BodyText"/>
        <w:ind w:firstLine="289"/>
      </w:pPr>
      <w:r>
        <w:t>Images of healthy skin, non-ulcer wounds (e.g., scratches), and DFUs were captured from multiple angles and plantar regions and were transferred to a calibrated Android smartphone for analysis. Results were computed on a held-out test set using patient-level splits; no patient was included in more than one split.</w:t>
      </w:r>
    </w:p>
    <w:p w14:paraId="06D228A5" w14:textId="77777777" w:rsidR="00C807AA" w:rsidRDefault="00C807AA" w:rsidP="00C807AA">
      <w:pPr>
        <w:pStyle w:val="BodyText"/>
        <w:ind w:firstLine="289"/>
      </w:pPr>
    </w:p>
    <w:p w14:paraId="00A4F6E6" w14:textId="77777777" w:rsidR="00CC005C" w:rsidRDefault="00C807AA" w:rsidP="00CC005C">
      <w:pPr>
        <w:pStyle w:val="Heading2"/>
        <w:tabs>
          <w:tab w:val="clear" w:pos="360"/>
          <w:tab w:val="num" w:pos="288"/>
        </w:tabs>
      </w:pPr>
      <w:r>
        <w:rPr>
          <w:rFonts w:hint="eastAsia"/>
        </w:rPr>
        <w:t>Evaluation policy</w:t>
      </w:r>
    </w:p>
    <w:p w14:paraId="476DE9CE" w14:textId="22E964BF" w:rsidR="00C807AA" w:rsidRDefault="00086190" w:rsidP="00C807AA">
      <w:pPr>
        <w:pStyle w:val="BodyText"/>
        <w:ind w:firstLine="289"/>
      </w:pPr>
      <w:r>
        <w:t>Clinical specialists validated image-level classifications</w:t>
      </w:r>
      <w:r w:rsidR="00C807AA">
        <w:rPr>
          <w:rFonts w:hint="eastAsia"/>
        </w:rPr>
        <w:t xml:space="preserve"> to assess diagnostic accuracy. </w:t>
      </w:r>
      <w:proofErr w:type="spellStart"/>
      <w:r w:rsidR="00C807AA">
        <w:rPr>
          <w:rFonts w:hint="eastAsia"/>
        </w:rPr>
        <w:t>RGB</w:t>
      </w:r>
      <w:r w:rsidR="00C807AA">
        <w:rPr>
          <w:rFonts w:hint="eastAsia"/>
        </w:rPr>
        <w:t>→</w:t>
      </w:r>
      <w:r w:rsidR="00C807AA">
        <w:rPr>
          <w:rFonts w:hint="eastAsia"/>
        </w:rPr>
        <w:t>thermal</w:t>
      </w:r>
      <w:proofErr w:type="spellEnd"/>
      <w:r w:rsidR="00C807AA">
        <w:rPr>
          <w:rFonts w:hint="eastAsia"/>
        </w:rPr>
        <w:t xml:space="preserve"> renderings were used only as supportive visual aids and were not used for diagnostic decisions. </w:t>
      </w:r>
      <w:r>
        <w:t>95%</w:t>
      </w:r>
      <w:r w:rsidR="00C807AA">
        <w:rPr>
          <w:rFonts w:hint="eastAsia"/>
        </w:rPr>
        <w:t xml:space="preserve"> confidence</w:t>
      </w:r>
      <w:r w:rsidR="00C807AA">
        <w:t xml:space="preserve"> intervals were reported via DeLong for AUROC and via Wilson for proportions; model comparisons were performed with paired DeLong tests where applicable.</w:t>
      </w:r>
    </w:p>
    <w:p w14:paraId="63DEE0BE" w14:textId="77777777" w:rsidR="00CC005C" w:rsidRDefault="00C807AA" w:rsidP="00CC005C">
      <w:pPr>
        <w:pStyle w:val="Heading2"/>
        <w:tabs>
          <w:tab w:val="clear" w:pos="360"/>
          <w:tab w:val="num" w:pos="288"/>
        </w:tabs>
      </w:pPr>
      <w:r>
        <w:t>Reproducibility</w:t>
      </w:r>
    </w:p>
    <w:p w14:paraId="70F9E2F3" w14:textId="7860D387" w:rsidR="00A65418" w:rsidRDefault="00C807AA" w:rsidP="00C807AA">
      <w:pPr>
        <w:pStyle w:val="BodyText"/>
        <w:spacing w:after="0" w:line="240" w:lineRule="auto"/>
        <w:ind w:firstLine="289"/>
      </w:pPr>
      <w:r>
        <w:t xml:space="preserve">All figures were generated by the authors using Python in Google </w:t>
      </w:r>
      <w:proofErr w:type="spellStart"/>
      <w:r>
        <w:t>Colab</w:t>
      </w:r>
      <w:proofErr w:type="spellEnd"/>
      <w:r>
        <w:t xml:space="preserve"> (2024).</w:t>
      </w:r>
      <w:r w:rsidR="00636810">
        <w:t>.</w:t>
      </w:r>
    </w:p>
    <w:p w14:paraId="7C866DEE" w14:textId="243853E4" w:rsidR="009303D9" w:rsidRDefault="00A65418" w:rsidP="00D53A5F">
      <w:pPr>
        <w:pStyle w:val="BodyText"/>
        <w:spacing w:after="0" w:line="240" w:lineRule="auto"/>
      </w:pPr>
      <w:r>
        <w:t xml:space="preserve">A total of six AI models were evaluated using task-specific performance metrics: </w:t>
      </w:r>
    </w:p>
    <w:p w14:paraId="48A66DFF" w14:textId="4129E9EE" w:rsidR="00B37C54" w:rsidRDefault="00B37C54" w:rsidP="00D53A5F">
      <w:pPr>
        <w:pStyle w:val="bulletlist"/>
        <w:spacing w:after="0" w:line="240" w:lineRule="auto"/>
      </w:pPr>
      <w:r>
        <w:t>Multiclass Classification Models: For the three image classification models, Receiver Operating Characteristic (ROC) curves were generated using a One-vs-Rest strategy. Area Under the Curve (AUC) was used as the primary metric of classification performance.</w:t>
      </w:r>
      <w:r w:rsidR="0054270C">
        <w:t xml:space="preserve"> </w:t>
      </w:r>
      <w:r>
        <w:t>All reported AUCs include 95% confidence intervals to quantify statistical reliability.</w:t>
      </w:r>
    </w:p>
    <w:p w14:paraId="5621572C" w14:textId="7AF67D90" w:rsidR="00B37C54" w:rsidRDefault="00B37C54" w:rsidP="00D53A5F">
      <w:pPr>
        <w:pStyle w:val="bulletlist"/>
        <w:spacing w:after="0" w:line="240" w:lineRule="auto"/>
      </w:pPr>
      <w:r>
        <w:t>Depth Estimation Model: Evaluated using Mean Squared Error (MSE), Root Mean Squared Error (RMSE), and Mean Relative Error (MRE) to quantify depth calibration accuracy.</w:t>
      </w:r>
    </w:p>
    <w:p w14:paraId="03F2FDFF" w14:textId="77777777" w:rsidR="00B37C54" w:rsidRDefault="00B37C54" w:rsidP="00D53A5F">
      <w:pPr>
        <w:pStyle w:val="bulletlist"/>
        <w:spacing w:after="0" w:line="240" w:lineRule="auto"/>
      </w:pPr>
      <w:r>
        <w:t>Wound Segmentation Model: Assessed using Intersection over Union (</w:t>
      </w:r>
      <w:proofErr w:type="spellStart"/>
      <w:r>
        <w:t>IoU</w:t>
      </w:r>
      <w:proofErr w:type="spellEnd"/>
      <w:r>
        <w:t>) and Dice Coefficient, which measure spatial overlap between predicted and ground truth ulcer masks.</w:t>
      </w:r>
    </w:p>
    <w:p w14:paraId="127C39A5" w14:textId="1C06D7C3" w:rsidR="009303D9" w:rsidRDefault="00B37C54" w:rsidP="00D53A5F">
      <w:pPr>
        <w:pStyle w:val="bulletlist"/>
        <w:spacing w:after="0" w:line="240" w:lineRule="auto"/>
      </w:pPr>
      <w:r>
        <w:t>RGB-to-Thermal Image Translation Model: The performance of the Pix2Pix conditional GAN was evaluated using L1 loss, Mean Squared Error (MSE), Root Mean Squared Error (RMSE), Structural Similarity Index Measure (SSIM), and Peak Signal-to-Noise Ratio (PSNR). L1 loss and MSE quantify pixel-wise accuracy between predicted and ground truth thermal images, while SSIM and PSNR assess structural and perceptual similarity. Together, these metrics ensure the synthetic thermal images preserve both temperature distribution patterns and anatomical realism necessary for early inflammation detection.</w:t>
      </w:r>
    </w:p>
    <w:p w14:paraId="0DEE7537" w14:textId="6DEB64EC" w:rsidR="001D1C70" w:rsidRPr="00D53A5F" w:rsidRDefault="001D1C70" w:rsidP="00D53A5F">
      <w:pPr>
        <w:pStyle w:val="Heading2"/>
      </w:pPr>
      <w:r w:rsidRPr="00D53A5F">
        <w:t xml:space="preserve"> Ulcer, Healthy, and Normal Wound Classification</w:t>
      </w:r>
    </w:p>
    <w:p w14:paraId="51323B8A" w14:textId="279B7F2D" w:rsidR="001D1C70" w:rsidRDefault="001D1C70" w:rsidP="006A738D">
      <w:pPr>
        <w:pStyle w:val="BodyText"/>
        <w:spacing w:after="0" w:line="240" w:lineRule="auto"/>
        <w:ind w:firstLine="289"/>
      </w:pPr>
      <w:r w:rsidRPr="001D1C70">
        <w:t xml:space="preserve">The first model classified input images into three categories: ulcer, healthy skin, and normal wound. The corresponding ROC-AUC scores are illustrated in Fig. </w:t>
      </w:r>
      <w:r w:rsidR="00061F4F">
        <w:t>4</w:t>
      </w:r>
      <w:r w:rsidRPr="001D1C7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tblGrid>
      <w:tr w:rsidR="00FD7884" w14:paraId="549149DC" w14:textId="77777777" w:rsidTr="000D0343">
        <w:tc>
          <w:tcPr>
            <w:tcW w:w="4866" w:type="dxa"/>
          </w:tcPr>
          <w:p w14:paraId="7F0DEEDB" w14:textId="4B1B20A6" w:rsidR="00FD7884" w:rsidRDefault="00FD7884" w:rsidP="006A738D">
            <w:pPr>
              <w:pStyle w:val="BodyText"/>
              <w:spacing w:after="0" w:line="240" w:lineRule="auto"/>
              <w:ind w:firstLine="0"/>
            </w:pPr>
            <w:r>
              <w:rPr>
                <w:noProof/>
                <w:lang w:val="en-US" w:eastAsia="en-US"/>
              </w:rPr>
              <w:lastRenderedPageBreak/>
              <w:drawing>
                <wp:inline distT="0" distB="0" distL="0" distR="0" wp14:anchorId="6AC06083" wp14:editId="7A3B8DB8">
                  <wp:extent cx="3032125" cy="1959755"/>
                  <wp:effectExtent l="0" t="0" r="0" b="2540"/>
                  <wp:docPr id="821078856" name="Picture 3" descr="A graph of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01439" name="Picture 3" descr="A graph of a curve&#10;&#10;AI-generated content may be incorrect."/>
                          <pic:cNvPicPr/>
                        </pic:nvPicPr>
                        <pic:blipFill rotWithShape="1">
                          <a:blip r:embed="rId16" cstate="print">
                            <a:extLst>
                              <a:ext uri="{28A0092B-C50C-407E-A947-70E740481C1C}">
                                <a14:useLocalDpi xmlns:a14="http://schemas.microsoft.com/office/drawing/2010/main" val="0"/>
                              </a:ext>
                            </a:extLst>
                          </a:blip>
                          <a:srcRect t="4542"/>
                          <a:stretch>
                            <a:fillRect/>
                          </a:stretch>
                        </pic:blipFill>
                        <pic:spPr bwMode="auto">
                          <a:xfrm>
                            <a:off x="0" y="0"/>
                            <a:ext cx="3079004" cy="1990054"/>
                          </a:xfrm>
                          <a:prstGeom prst="rect">
                            <a:avLst/>
                          </a:prstGeom>
                          <a:ln>
                            <a:noFill/>
                          </a:ln>
                          <a:extLst>
                            <a:ext uri="{53640926-AAD7-44D8-BBD7-CCE9431645EC}">
                              <a14:shadowObscured xmlns:a14="http://schemas.microsoft.com/office/drawing/2010/main"/>
                            </a:ext>
                          </a:extLst>
                        </pic:spPr>
                      </pic:pic>
                    </a:graphicData>
                  </a:graphic>
                </wp:inline>
              </w:drawing>
            </w:r>
          </w:p>
        </w:tc>
      </w:tr>
      <w:tr w:rsidR="00FD7884" w14:paraId="671450C9" w14:textId="77777777" w:rsidTr="000D0343">
        <w:tc>
          <w:tcPr>
            <w:tcW w:w="4866" w:type="dxa"/>
          </w:tcPr>
          <w:p w14:paraId="64CB51F7" w14:textId="3F9F0334" w:rsidR="00FD7884" w:rsidRDefault="00FD7884" w:rsidP="00FD7884">
            <w:pPr>
              <w:pStyle w:val="figurecaption"/>
              <w:spacing w:before="0" w:after="0"/>
            </w:pPr>
            <w:r w:rsidRPr="00A56411">
              <w:rPr>
                <w:i/>
                <w:iCs/>
              </w:rPr>
              <w:t>ROC curve for ulcer, healthy skin, and normal wound classification.</w:t>
            </w:r>
          </w:p>
        </w:tc>
      </w:tr>
    </w:tbl>
    <w:p w14:paraId="114FA01F" w14:textId="7C8BD56F" w:rsidR="00273D2B" w:rsidRDefault="00273D2B" w:rsidP="006A738D">
      <w:pPr>
        <w:pStyle w:val="BodyText"/>
        <w:spacing w:after="0" w:line="240" w:lineRule="auto"/>
      </w:pPr>
      <w:r w:rsidRPr="00273D2B">
        <w:t>The model demonstrated robust classification performance, achieving ROC-AUC scores of 0.94 for ulcer, 0.91 for healthy skin, and 0.93 for normal wound.</w:t>
      </w:r>
    </w:p>
    <w:p w14:paraId="0F0F8896" w14:textId="6E9BDD67" w:rsidR="0037652C" w:rsidRDefault="0037652C" w:rsidP="006A738D">
      <w:pPr>
        <w:pStyle w:val="BodyText"/>
        <w:spacing w:after="0" w:line="240" w:lineRule="auto"/>
      </w:pPr>
      <w:r w:rsidRPr="0037652C">
        <w:t>All AUC scores exceeded 0.90, indicating strong discriminatory performance across all classes. The model exhibited no evidence of underperformance or class bias, confirming its robustness in distinguishing pathological and non-pathological skin conditions.</w:t>
      </w:r>
    </w:p>
    <w:p w14:paraId="596E38B1" w14:textId="65884FF8" w:rsidR="00BD2AA3" w:rsidRPr="00D53A5F" w:rsidRDefault="0037652C" w:rsidP="00D53A5F">
      <w:pPr>
        <w:pStyle w:val="Heading2"/>
      </w:pPr>
      <w:r w:rsidRPr="00D53A5F">
        <w:t>Wagner Grade Classification</w:t>
      </w:r>
    </w:p>
    <w:p w14:paraId="6FD0D6D4" w14:textId="731B0CE2" w:rsidR="0037652C" w:rsidRDefault="00BD2AA3" w:rsidP="00A56411">
      <w:pPr>
        <w:pStyle w:val="BodyText"/>
        <w:spacing w:after="0" w:line="240" w:lineRule="auto"/>
        <w:ind w:firstLine="289"/>
      </w:pPr>
      <w:r w:rsidRPr="00BD2AA3">
        <w:t xml:space="preserve">The second model stratified ulcers based on Wagner severity grades. As shown in Fig. </w:t>
      </w:r>
      <w:r w:rsidR="00843AC9">
        <w:t>5</w:t>
      </w:r>
      <w:r w:rsidRPr="00BD2AA3">
        <w:t>, the model achieved AUC scores of 0.980 for Grade 0, 0.950 for Grade 1, 0.910 for Grade 2, and 0.930 for Grade 3.</w:t>
      </w:r>
    </w:p>
    <w:p w14:paraId="1C8244B2" w14:textId="77777777" w:rsidR="002A0305" w:rsidRDefault="002A0305" w:rsidP="002A0305">
      <w:pPr>
        <w:pStyle w:val="BodyText"/>
        <w:spacing w:after="0" w:line="240" w:lineRule="auto"/>
      </w:pPr>
      <w:r w:rsidRPr="00545825">
        <w:t>These high AUC values confirm the model's reliability in supporting clinical decision-making for ulcer severity assessment, from early-stage lesions to advanced grades.</w:t>
      </w:r>
    </w:p>
    <w:p w14:paraId="4C920F1F" w14:textId="77777777" w:rsidR="002A0305" w:rsidRPr="00D53A5F" w:rsidRDefault="002A0305" w:rsidP="002A0305">
      <w:pPr>
        <w:pStyle w:val="Heading2"/>
        <w:numPr>
          <w:ilvl w:val="1"/>
          <w:numId w:val="28"/>
        </w:numPr>
      </w:pPr>
      <w:r w:rsidRPr="00D53A5F">
        <w:t>Infection and Ischemia Classification</w:t>
      </w:r>
    </w:p>
    <w:p w14:paraId="1A5AE36B" w14:textId="77777777" w:rsidR="002A0305" w:rsidRDefault="002A0305" w:rsidP="002A0305">
      <w:pPr>
        <w:pStyle w:val="BodyText"/>
        <w:spacing w:after="0" w:line="240" w:lineRule="auto"/>
      </w:pPr>
      <w:r w:rsidRPr="00545825">
        <w:t xml:space="preserve">The third model </w:t>
      </w:r>
      <w:r w:rsidRPr="000575EC">
        <w:t xml:space="preserve">focused on identifying infection and ischemia, including cases where both conditions co-occurred. As shown in Fig. </w:t>
      </w:r>
      <w:r>
        <w:t>6</w:t>
      </w:r>
      <w:r w:rsidRPr="000575EC">
        <w:t>, the model achieved AUC scores of 0.94 for cases with neither condition, 0.91 for infected cases, 0.88 for ischemic cases, and 0.88 for cases presenting both conditions.</w:t>
      </w:r>
    </w:p>
    <w:p w14:paraId="5FC5C421" w14:textId="77777777" w:rsidR="002A0305" w:rsidRPr="002A0305" w:rsidRDefault="002A0305" w:rsidP="002A0305">
      <w:pPr>
        <w:pStyle w:val="BodyText"/>
      </w:pPr>
      <w:r w:rsidRPr="002A0305">
        <w:t>All scores indicate good classification performance. Furthermore, Grad-CAM visualizations confirmed the model's clinical interpretability by highlighting pathologically relevant regions—specifically wound edges and areas of discoloration—thereby enhancing clinician trust in the system's predictions.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tblGrid>
      <w:tr w:rsidR="00843AC9" w14:paraId="320C69E8" w14:textId="77777777" w:rsidTr="00C9177B">
        <w:tc>
          <w:tcPr>
            <w:tcW w:w="4866" w:type="dxa"/>
          </w:tcPr>
          <w:p w14:paraId="14418EB5" w14:textId="48F4795B" w:rsidR="00843AC9" w:rsidRDefault="00843AC9" w:rsidP="00A56411">
            <w:pPr>
              <w:pStyle w:val="BodyText"/>
              <w:spacing w:after="0" w:line="240" w:lineRule="auto"/>
              <w:ind w:firstLine="0"/>
            </w:pPr>
            <w:r>
              <w:rPr>
                <w:noProof/>
                <w:lang w:val="en-US" w:eastAsia="en-US"/>
              </w:rPr>
              <w:drawing>
                <wp:inline distT="0" distB="0" distL="0" distR="0" wp14:anchorId="65E07DBC" wp14:editId="2CFE7546">
                  <wp:extent cx="2675467" cy="1930478"/>
                  <wp:effectExtent l="0" t="0" r="0" b="0"/>
                  <wp:docPr id="2042974943" name="Picture 20" descr="A graph of a positive resu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38493" name="Picture 20" descr="A graph of a positive result&#10;&#10;AI-generated content may be incorrect."/>
                          <pic:cNvPicPr/>
                        </pic:nvPicPr>
                        <pic:blipFill rotWithShape="1">
                          <a:blip r:embed="rId17" cstate="print">
                            <a:extLst>
                              <a:ext uri="{28A0092B-C50C-407E-A947-70E740481C1C}">
                                <a14:useLocalDpi xmlns:a14="http://schemas.microsoft.com/office/drawing/2010/main" val="0"/>
                              </a:ext>
                            </a:extLst>
                          </a:blip>
                          <a:srcRect t="5566"/>
                          <a:stretch>
                            <a:fillRect/>
                          </a:stretch>
                        </pic:blipFill>
                        <pic:spPr bwMode="auto">
                          <a:xfrm>
                            <a:off x="0" y="0"/>
                            <a:ext cx="2688938" cy="1940198"/>
                          </a:xfrm>
                          <a:prstGeom prst="rect">
                            <a:avLst/>
                          </a:prstGeom>
                          <a:ln>
                            <a:noFill/>
                          </a:ln>
                          <a:extLst>
                            <a:ext uri="{53640926-AAD7-44D8-BBD7-CCE9431645EC}">
                              <a14:shadowObscured xmlns:a14="http://schemas.microsoft.com/office/drawing/2010/main"/>
                            </a:ext>
                          </a:extLst>
                        </pic:spPr>
                      </pic:pic>
                    </a:graphicData>
                  </a:graphic>
                </wp:inline>
              </w:drawing>
            </w:r>
          </w:p>
        </w:tc>
      </w:tr>
      <w:tr w:rsidR="00843AC9" w14:paraId="55C27437" w14:textId="77777777" w:rsidTr="00C9177B">
        <w:trPr>
          <w:trHeight w:val="356"/>
        </w:trPr>
        <w:tc>
          <w:tcPr>
            <w:tcW w:w="4866" w:type="dxa"/>
          </w:tcPr>
          <w:p w14:paraId="2147ACF2" w14:textId="76084D86" w:rsidR="00843AC9" w:rsidRDefault="00843AC9" w:rsidP="00843AC9">
            <w:pPr>
              <w:pStyle w:val="figurecaption"/>
              <w:spacing w:before="0" w:after="0"/>
            </w:pPr>
            <w:r w:rsidRPr="004F46D7">
              <w:rPr>
                <w:i/>
                <w:iCs/>
              </w:rPr>
              <w:t xml:space="preserve">ROC curve for the Wagner Grades classification model. </w:t>
            </w:r>
          </w:p>
        </w:tc>
      </w:tr>
    </w:tbl>
    <w:p w14:paraId="655FA9E8" w14:textId="77777777" w:rsidR="004B57F7" w:rsidRPr="002A0305" w:rsidRDefault="004B57F7" w:rsidP="00E37F30">
      <w:pPr>
        <w:pStyle w:val="BodyText"/>
        <w:spacing w:after="0" w:line="240" w:lineRule="auto"/>
        <w:rPr>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tblGrid>
      <w:tr w:rsidR="004436AE" w14:paraId="42097E77" w14:textId="77777777" w:rsidTr="00FA6FC1">
        <w:tc>
          <w:tcPr>
            <w:tcW w:w="4856" w:type="dxa"/>
          </w:tcPr>
          <w:p w14:paraId="3F3A7E3B" w14:textId="11506682" w:rsidR="004436AE" w:rsidRDefault="00613691" w:rsidP="00E37F30">
            <w:pPr>
              <w:pStyle w:val="BodyText"/>
              <w:spacing w:after="0" w:line="240" w:lineRule="auto"/>
              <w:ind w:firstLine="0"/>
            </w:pPr>
            <w:r>
              <w:rPr>
                <w:noProof/>
                <w:lang w:val="en-US" w:eastAsia="en-US"/>
              </w:rPr>
              <w:lastRenderedPageBreak/>
              <w:drawing>
                <wp:inline distT="0" distB="0" distL="0" distR="0" wp14:anchorId="54793DD3" wp14:editId="3061A4DD">
                  <wp:extent cx="2720330" cy="2053167"/>
                  <wp:effectExtent l="0" t="0" r="4445" b="4445"/>
                  <wp:docPr id="166451495" name="Picture 10" descr="A graph of infection and ischaemia stat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01623" name="Picture 10" descr="A graph of infection and ischaemia status&#10;&#10;AI-generated content may be incorrect."/>
                          <pic:cNvPicPr/>
                        </pic:nvPicPr>
                        <pic:blipFill rotWithShape="1">
                          <a:blip r:embed="rId18" cstate="print">
                            <a:extLst>
                              <a:ext uri="{28A0092B-C50C-407E-A947-70E740481C1C}">
                                <a14:useLocalDpi xmlns:a14="http://schemas.microsoft.com/office/drawing/2010/main" val="0"/>
                              </a:ext>
                            </a:extLst>
                          </a:blip>
                          <a:srcRect t="4709"/>
                          <a:stretch>
                            <a:fillRect/>
                          </a:stretch>
                        </pic:blipFill>
                        <pic:spPr bwMode="auto">
                          <a:xfrm>
                            <a:off x="0" y="0"/>
                            <a:ext cx="2751429" cy="2076639"/>
                          </a:xfrm>
                          <a:prstGeom prst="rect">
                            <a:avLst/>
                          </a:prstGeom>
                          <a:ln>
                            <a:noFill/>
                          </a:ln>
                          <a:extLst>
                            <a:ext uri="{53640926-AAD7-44D8-BBD7-CCE9431645EC}">
                              <a14:shadowObscured xmlns:a14="http://schemas.microsoft.com/office/drawing/2010/main"/>
                            </a:ext>
                          </a:extLst>
                        </pic:spPr>
                      </pic:pic>
                    </a:graphicData>
                  </a:graphic>
                </wp:inline>
              </w:drawing>
            </w:r>
          </w:p>
        </w:tc>
      </w:tr>
      <w:tr w:rsidR="004436AE" w14:paraId="61F39656" w14:textId="77777777" w:rsidTr="00FA6FC1">
        <w:tc>
          <w:tcPr>
            <w:tcW w:w="4856" w:type="dxa"/>
          </w:tcPr>
          <w:p w14:paraId="01457DB1" w14:textId="546C4549" w:rsidR="004436AE" w:rsidRDefault="00613691" w:rsidP="00613691">
            <w:pPr>
              <w:pStyle w:val="figurecaption"/>
            </w:pPr>
            <w:r w:rsidRPr="00A56411">
              <w:rPr>
                <w:i/>
                <w:iCs/>
              </w:rPr>
              <w:t xml:space="preserve">ROC curve for the infection and ischemia status model. </w:t>
            </w:r>
          </w:p>
        </w:tc>
      </w:tr>
    </w:tbl>
    <w:p w14:paraId="264575A3" w14:textId="2F752660" w:rsidR="00545825" w:rsidRPr="00D53A5F" w:rsidRDefault="00545825" w:rsidP="00D53A5F">
      <w:pPr>
        <w:pStyle w:val="Heading2"/>
      </w:pPr>
      <w:r w:rsidRPr="00D53A5F">
        <w:t>Wound Depth Estimation and Calibration Accuracy</w:t>
      </w:r>
    </w:p>
    <w:p w14:paraId="299C3135" w14:textId="472E99CC" w:rsidR="00545825" w:rsidRDefault="00545825" w:rsidP="00A56411">
      <w:pPr>
        <w:pStyle w:val="BodyText"/>
        <w:spacing w:after="0" w:line="240" w:lineRule="auto"/>
        <w:ind w:firstLine="289"/>
      </w:pPr>
      <w:r w:rsidRPr="00545825">
        <w:t xml:space="preserve">As illustrated in Fig. </w:t>
      </w:r>
      <w:r w:rsidR="004B57F7">
        <w:t>7</w:t>
      </w:r>
      <w:r w:rsidR="00337019" w:rsidRPr="00337019">
        <w:t>, the model achieved a mean squared error of 0.014, which is well below the threshold of 0.050; a root mean squared error of 0.123, below the threshold of 0.250; and a mean relative error during calibration of 0.131, compared to a threshold of 0.300.</w:t>
      </w:r>
    </w:p>
    <w:p w14:paraId="58F04C99" w14:textId="77777777" w:rsidR="004B57F7" w:rsidRPr="002A0305" w:rsidRDefault="004B57F7" w:rsidP="00A56411">
      <w:pPr>
        <w:pStyle w:val="BodyText"/>
        <w:spacing w:after="0" w:line="240" w:lineRule="auto"/>
        <w:ind w:firstLine="289"/>
        <w:rPr>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tblGrid>
      <w:tr w:rsidR="00FA6FC1" w14:paraId="7B3B47A3" w14:textId="77777777" w:rsidTr="00FA6FC1">
        <w:tc>
          <w:tcPr>
            <w:tcW w:w="4856" w:type="dxa"/>
          </w:tcPr>
          <w:p w14:paraId="168158E0" w14:textId="1CA8BF47" w:rsidR="00FA6FC1" w:rsidRDefault="00FA6FC1" w:rsidP="00A56411">
            <w:pPr>
              <w:pStyle w:val="BodyText"/>
              <w:spacing w:after="0" w:line="240" w:lineRule="auto"/>
              <w:ind w:firstLine="0"/>
              <w:rPr>
                <w:lang w:val="en-US"/>
              </w:rPr>
            </w:pPr>
            <w:r>
              <w:rPr>
                <w:noProof/>
                <w:lang w:val="en-US" w:eastAsia="en-US"/>
              </w:rPr>
              <w:drawing>
                <wp:inline distT="0" distB="0" distL="0" distR="0" wp14:anchorId="10BED9F7" wp14:editId="70333390">
                  <wp:extent cx="3032125" cy="2008808"/>
                  <wp:effectExtent l="0" t="0" r="0" b="0"/>
                  <wp:docPr id="902230370" name="Picture 12"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03145" name="Picture 12" descr="A graph of a bar chart&#10;&#10;AI-generated content may be incorrect."/>
                          <pic:cNvPicPr/>
                        </pic:nvPicPr>
                        <pic:blipFill rotWithShape="1">
                          <a:blip r:embed="rId19" cstate="print">
                            <a:extLst>
                              <a:ext uri="{28A0092B-C50C-407E-A947-70E740481C1C}">
                                <a14:useLocalDpi xmlns:a14="http://schemas.microsoft.com/office/drawing/2010/main" val="0"/>
                              </a:ext>
                            </a:extLst>
                          </a:blip>
                          <a:srcRect t="6704"/>
                          <a:stretch>
                            <a:fillRect/>
                          </a:stretch>
                        </pic:blipFill>
                        <pic:spPr bwMode="auto">
                          <a:xfrm>
                            <a:off x="0" y="0"/>
                            <a:ext cx="3082607" cy="2042253"/>
                          </a:xfrm>
                          <a:prstGeom prst="rect">
                            <a:avLst/>
                          </a:prstGeom>
                          <a:ln>
                            <a:noFill/>
                          </a:ln>
                          <a:extLst>
                            <a:ext uri="{53640926-AAD7-44D8-BBD7-CCE9431645EC}">
                              <a14:shadowObscured xmlns:a14="http://schemas.microsoft.com/office/drawing/2010/main"/>
                            </a:ext>
                          </a:extLst>
                        </pic:spPr>
                      </pic:pic>
                    </a:graphicData>
                  </a:graphic>
                </wp:inline>
              </w:drawing>
            </w:r>
          </w:p>
        </w:tc>
      </w:tr>
      <w:tr w:rsidR="00FA6FC1" w14:paraId="0385D672" w14:textId="77777777" w:rsidTr="00FA6FC1">
        <w:tc>
          <w:tcPr>
            <w:tcW w:w="4856" w:type="dxa"/>
          </w:tcPr>
          <w:p w14:paraId="2C38363F" w14:textId="54388F16" w:rsidR="00FA6FC1" w:rsidRDefault="00FA6FC1" w:rsidP="00FA6FC1">
            <w:pPr>
              <w:pStyle w:val="figurecaption"/>
            </w:pPr>
            <w:r w:rsidRPr="004F46D7">
              <w:rPr>
                <w:i/>
                <w:iCs/>
              </w:rPr>
              <w:t>Grouped bar chart representing depth model performances against acceptable thresholds.</w:t>
            </w:r>
          </w:p>
        </w:tc>
      </w:tr>
    </w:tbl>
    <w:p w14:paraId="29975FE3" w14:textId="049AD17B" w:rsidR="00EA6D46" w:rsidRDefault="00EA6D46" w:rsidP="00D53A5F">
      <w:pPr>
        <w:pStyle w:val="BodyText"/>
        <w:spacing w:after="0" w:line="240" w:lineRule="auto"/>
        <w:ind w:firstLine="289"/>
      </w:pPr>
      <w:r w:rsidRPr="00EA6D46">
        <w:t>All error metrics were significantly below acceptable thresholds, indicating precise and clinically reliable depth estimations.</w:t>
      </w:r>
      <w:r>
        <w:t xml:space="preserve"> </w:t>
      </w:r>
      <w:r w:rsidRPr="00EA6D46">
        <w:t>The low MRE reflects the model’s ability to maintain proportional accuracy across varied wound sizes, including small wounds where relative errors are typically exaggerated—enabled by effective normalization, input scaling, and post-training calibration.</w:t>
      </w:r>
      <w:r w:rsidR="00964F74">
        <w:t xml:space="preserve"> </w:t>
      </w:r>
      <w:r w:rsidRPr="00EA6D46">
        <w:t>These results remained consistent under varied lighting and foot angle conditions, confirming the model’s robustness in real-world environments.</w:t>
      </w:r>
    </w:p>
    <w:p w14:paraId="03CBC86B" w14:textId="39D22478" w:rsidR="00EA6D46" w:rsidRPr="00D53A5F" w:rsidRDefault="00EA6D46" w:rsidP="00D53A5F">
      <w:pPr>
        <w:pStyle w:val="Heading2"/>
        <w:numPr>
          <w:ilvl w:val="1"/>
          <w:numId w:val="25"/>
        </w:numPr>
      </w:pPr>
      <w:r w:rsidRPr="00D53A5F">
        <w:t>Wound Segmentation Performance</w:t>
      </w:r>
    </w:p>
    <w:p w14:paraId="20B2F46A" w14:textId="605DF9AD" w:rsidR="00EA6D46" w:rsidRDefault="00EA6D46" w:rsidP="00D53A5F">
      <w:pPr>
        <w:pStyle w:val="BodyText"/>
        <w:spacing w:after="0" w:line="240" w:lineRule="auto"/>
        <w:ind w:firstLine="289"/>
      </w:pPr>
      <w:r w:rsidRPr="00EA6D46">
        <w:t>The fifth model</w:t>
      </w:r>
      <w:r w:rsidR="004A77A3">
        <w:t xml:space="preserve"> </w:t>
      </w:r>
      <w:r w:rsidR="004A77A3" w:rsidRPr="004A77A3">
        <w:t xml:space="preserve">was responsible for pixel-level segmentation of ulcer regions. Based on the grouped bar chart shown in Fig. </w:t>
      </w:r>
      <w:r w:rsidR="004B57F7">
        <w:t>8</w:t>
      </w:r>
      <w:r w:rsidR="004A77A3" w:rsidRPr="004A77A3">
        <w:t>, the observed performance metrics included a Dice coefficient of approximately 0.90, an Intersection over Union (</w:t>
      </w:r>
      <w:proofErr w:type="spellStart"/>
      <w:r w:rsidR="004A77A3" w:rsidRPr="004A77A3">
        <w:t>IoU</w:t>
      </w:r>
      <w:proofErr w:type="spellEnd"/>
      <w:r w:rsidR="004A77A3" w:rsidRPr="004A77A3">
        <w:t>) of around 0.80, a pixel accuracy close to 0.99</w:t>
      </w:r>
      <w:r w:rsidR="005E2DC8">
        <w:t>,</w:t>
      </w:r>
      <w:r w:rsidR="000A79B8">
        <w:t xml:space="preserve"> </w:t>
      </w:r>
      <w:r w:rsidR="004A77A3" w:rsidRPr="004A77A3">
        <w:t>and a loss value near 0.12 for both training and validation sets.</w:t>
      </w:r>
    </w:p>
    <w:p w14:paraId="0E3E1E15" w14:textId="77777777" w:rsidR="004B57F7" w:rsidRDefault="004B57F7" w:rsidP="00D53A5F">
      <w:pPr>
        <w:pStyle w:val="BodyText"/>
        <w:spacing w:after="0" w:line="240" w:lineRule="auto"/>
        <w:ind w:firstLine="289"/>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tblGrid>
      <w:tr w:rsidR="00FA6FC1" w14:paraId="0E15F811" w14:textId="77777777" w:rsidTr="004B57F7">
        <w:tc>
          <w:tcPr>
            <w:tcW w:w="4856" w:type="dxa"/>
          </w:tcPr>
          <w:p w14:paraId="2E910FC0" w14:textId="1AD641D4" w:rsidR="00FA6FC1" w:rsidRDefault="00FA6FC1" w:rsidP="00C32E18">
            <w:pPr>
              <w:pStyle w:val="BodyText"/>
              <w:ind w:firstLine="0"/>
            </w:pPr>
            <w:r>
              <w:rPr>
                <w:noProof/>
                <w:lang w:val="en-US" w:eastAsia="en-US"/>
              </w:rPr>
              <w:lastRenderedPageBreak/>
              <w:drawing>
                <wp:inline distT="0" distB="0" distL="0" distR="0" wp14:anchorId="28A818B7" wp14:editId="38ABBB25">
                  <wp:extent cx="2897403" cy="1687755"/>
                  <wp:effectExtent l="0" t="0" r="0" b="8255"/>
                  <wp:docPr id="1316732531" name="Picture 24" descr="A graph of a wound segmentation model metr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69235" name="Picture 24" descr="A graph of a wound segmentation model metrics&#10;&#10;AI-generated content may be incorrect."/>
                          <pic:cNvPicPr/>
                        </pic:nvPicPr>
                        <pic:blipFill rotWithShape="1">
                          <a:blip r:embed="rId20" cstate="print">
                            <a:extLst>
                              <a:ext uri="{28A0092B-C50C-407E-A947-70E740481C1C}">
                                <a14:useLocalDpi xmlns:a14="http://schemas.microsoft.com/office/drawing/2010/main" val="0"/>
                              </a:ext>
                            </a:extLst>
                          </a:blip>
                          <a:srcRect t="6542"/>
                          <a:stretch>
                            <a:fillRect/>
                          </a:stretch>
                        </pic:blipFill>
                        <pic:spPr bwMode="auto">
                          <a:xfrm>
                            <a:off x="0" y="0"/>
                            <a:ext cx="2906882" cy="1693277"/>
                          </a:xfrm>
                          <a:prstGeom prst="rect">
                            <a:avLst/>
                          </a:prstGeom>
                          <a:ln>
                            <a:noFill/>
                          </a:ln>
                          <a:extLst>
                            <a:ext uri="{53640926-AAD7-44D8-BBD7-CCE9431645EC}">
                              <a14:shadowObscured xmlns:a14="http://schemas.microsoft.com/office/drawing/2010/main"/>
                            </a:ext>
                          </a:extLst>
                        </pic:spPr>
                      </pic:pic>
                    </a:graphicData>
                  </a:graphic>
                </wp:inline>
              </w:drawing>
            </w:r>
          </w:p>
        </w:tc>
      </w:tr>
      <w:tr w:rsidR="00FA6FC1" w14:paraId="052D3324" w14:textId="77777777" w:rsidTr="004B57F7">
        <w:tc>
          <w:tcPr>
            <w:tcW w:w="4856" w:type="dxa"/>
          </w:tcPr>
          <w:p w14:paraId="7BDA6A4E" w14:textId="0538C6A7" w:rsidR="00FA6FC1" w:rsidRDefault="00FA6FC1" w:rsidP="00FA6FC1">
            <w:pPr>
              <w:pStyle w:val="figurecaption"/>
            </w:pPr>
            <w:r w:rsidRPr="00D67367">
              <w:rPr>
                <w:i/>
                <w:iCs/>
              </w:rPr>
              <w:t xml:space="preserve">Grouped bar chart representing wound segmentation model metrics. </w:t>
            </w:r>
          </w:p>
        </w:tc>
      </w:tr>
    </w:tbl>
    <w:p w14:paraId="44321B0B" w14:textId="77777777" w:rsidR="00EA6D46" w:rsidRDefault="00EA6D46" w:rsidP="00D53A5F">
      <w:pPr>
        <w:pStyle w:val="BodyText"/>
        <w:spacing w:after="0" w:line="240" w:lineRule="auto"/>
        <w:ind w:firstLine="289"/>
      </w:pPr>
      <w:r w:rsidRPr="00EA6D46">
        <w:t xml:space="preserve">The high Dice and </w:t>
      </w:r>
      <w:proofErr w:type="spellStart"/>
      <w:r w:rsidRPr="00EA6D46">
        <w:t>IoU</w:t>
      </w:r>
      <w:proofErr w:type="spellEnd"/>
      <w:r w:rsidRPr="00EA6D46">
        <w:t xml:space="preserve"> scores indicate strong overlap between predicted masks and ground truth labels, with minimal overfitting. While pixel accuracy was nearly perfect, Dice and </w:t>
      </w:r>
      <w:proofErr w:type="spellStart"/>
      <w:r w:rsidRPr="00EA6D46">
        <w:t>IoU</w:t>
      </w:r>
      <w:proofErr w:type="spellEnd"/>
      <w:r w:rsidRPr="00EA6D46">
        <w:t xml:space="preserve"> remained the primary indicators of segmentation quality. Notably, training loss was slightly higher than validation loss, suggesting stable generalization without significant overfitting.</w:t>
      </w:r>
      <w:r>
        <w:t xml:space="preserve"> </w:t>
      </w:r>
    </w:p>
    <w:p w14:paraId="537627D3" w14:textId="42BF71EA" w:rsidR="004E4012" w:rsidRPr="00D53A5F" w:rsidRDefault="00EA6D46" w:rsidP="00D53A5F">
      <w:pPr>
        <w:pStyle w:val="Heading2"/>
      </w:pPr>
      <w:r w:rsidRPr="00D53A5F">
        <w:t>RGB-to-Thermal Image Translation Performa</w:t>
      </w:r>
      <w:r w:rsidR="004E4012" w:rsidRPr="00D53A5F">
        <w:t>nce</w:t>
      </w:r>
    </w:p>
    <w:p w14:paraId="61CC23D2" w14:textId="37D8B0AE" w:rsidR="008F5BDE" w:rsidRDefault="004E4012" w:rsidP="007C0CD8">
      <w:pPr>
        <w:pStyle w:val="BodyText"/>
        <w:spacing w:after="0" w:line="240" w:lineRule="auto"/>
        <w:ind w:firstLine="289"/>
      </w:pPr>
      <w:r>
        <w:t xml:space="preserve">The Pix2Pix conditional GAN was trained to convert RGB foot images into synthetic thermal maps. Based on Table </w:t>
      </w:r>
      <w:r w:rsidR="001470C8" w:rsidRPr="001470C8">
        <w:t>I</w:t>
      </w:r>
      <w:r>
        <w:t>, the low L1, MSE, and RMSE values indicate strong pixel-level accuracy, while high SSIM and PSNR scores confirm that the synthetic thermal images closely resemble the structural and perceptual qualities of true thermal images. These results validate the model's ability to replicate heat distribution patterns crucial for early ulcer risk detection.</w:t>
      </w:r>
    </w:p>
    <w:p w14:paraId="08AF3E58" w14:textId="7CDB1119" w:rsidR="00005745" w:rsidRPr="004F46D7" w:rsidRDefault="00005745" w:rsidP="004F46D7">
      <w:pPr>
        <w:pStyle w:val="Caption"/>
        <w:numPr>
          <w:ilvl w:val="0"/>
          <w:numId w:val="0"/>
        </w:numPr>
        <w:jc w:val="left"/>
        <w:rPr>
          <w:color w:val="000000" w:themeColor="text1"/>
          <w:sz w:val="16"/>
          <w:szCs w:val="16"/>
        </w:rPr>
      </w:pPr>
      <w:r w:rsidRPr="004F46D7">
        <w:rPr>
          <w:color w:val="000000" w:themeColor="text1"/>
          <w:sz w:val="16"/>
          <w:szCs w:val="16"/>
        </w:rPr>
        <w:t>Table I</w:t>
      </w:r>
      <w:r w:rsidR="0059635C" w:rsidRPr="004F46D7">
        <w:rPr>
          <w:color w:val="000000" w:themeColor="text1"/>
          <w:sz w:val="16"/>
          <w:szCs w:val="16"/>
        </w:rPr>
        <w:t xml:space="preserve">. </w:t>
      </w:r>
      <w:r w:rsidR="009E6DA3" w:rsidRPr="004F46D7">
        <w:rPr>
          <w:color w:val="000000" w:themeColor="text1"/>
          <w:sz w:val="16"/>
          <w:szCs w:val="16"/>
        </w:rPr>
        <w:t xml:space="preserve">Performance </w:t>
      </w:r>
      <w:r w:rsidR="0059635C" w:rsidRPr="004F46D7">
        <w:rPr>
          <w:color w:val="000000" w:themeColor="text1"/>
          <w:sz w:val="16"/>
          <w:szCs w:val="16"/>
        </w:rPr>
        <w:t xml:space="preserve">Metrics Of The </w:t>
      </w:r>
      <w:r w:rsidR="0017717B">
        <w:rPr>
          <w:color w:val="000000" w:themeColor="text1"/>
          <w:sz w:val="16"/>
          <w:szCs w:val="16"/>
        </w:rPr>
        <w:t>RGB-to-Thermal</w:t>
      </w:r>
      <w:r w:rsidR="0059635C" w:rsidRPr="004F46D7">
        <w:rPr>
          <w:color w:val="000000" w:themeColor="text1"/>
          <w:sz w:val="16"/>
          <w:szCs w:val="16"/>
        </w:rPr>
        <w:t xml:space="preserve"> Image </w:t>
      </w:r>
      <w:r w:rsidR="003B73DA">
        <w:rPr>
          <w:color w:val="000000" w:themeColor="text1"/>
          <w:sz w:val="16"/>
          <w:szCs w:val="16"/>
        </w:rPr>
        <w:t>Construction</w:t>
      </w:r>
      <w:r w:rsidR="0059635C" w:rsidRPr="004F46D7">
        <w:rPr>
          <w:color w:val="000000" w:themeColor="text1"/>
          <w:sz w:val="16"/>
          <w:szCs w:val="16"/>
        </w:rPr>
        <w:t xml:space="preserve"> Model </w:t>
      </w:r>
      <w:r w:rsidR="003B73DA">
        <w:rPr>
          <w:color w:val="000000" w:themeColor="text1"/>
          <w:sz w:val="16"/>
          <w:szCs w:val="16"/>
        </w:rPr>
        <w:t>on</w:t>
      </w:r>
      <w:r w:rsidR="0059635C" w:rsidRPr="004F46D7">
        <w:rPr>
          <w:color w:val="000000" w:themeColor="text1"/>
          <w:sz w:val="16"/>
          <w:szCs w:val="16"/>
        </w:rPr>
        <w:t xml:space="preserve"> Training </w:t>
      </w:r>
      <w:r w:rsidR="003B73DA">
        <w:rPr>
          <w:color w:val="000000" w:themeColor="text1"/>
          <w:sz w:val="16"/>
          <w:szCs w:val="16"/>
        </w:rPr>
        <w:t>and</w:t>
      </w:r>
      <w:r w:rsidR="0059635C" w:rsidRPr="004F46D7">
        <w:rPr>
          <w:color w:val="000000" w:themeColor="text1"/>
          <w:sz w:val="16"/>
          <w:szCs w:val="16"/>
        </w:rPr>
        <w:t xml:space="preserve"> Validation Sets. </w:t>
      </w:r>
    </w:p>
    <w:tbl>
      <w:tblPr>
        <w:tblStyle w:val="GridTable1Light"/>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1062"/>
        <w:gridCol w:w="1176"/>
      </w:tblGrid>
      <w:tr w:rsidR="008A6570" w:rsidRPr="003B73DA" w14:paraId="40ECAED1" w14:textId="77777777" w:rsidTr="009F265C">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tcPr>
          <w:p w14:paraId="44D92524" w14:textId="525BCFB6" w:rsidR="008A6570" w:rsidRPr="003B73DA" w:rsidRDefault="008A6570" w:rsidP="003B73DA">
            <w:pPr>
              <w:pStyle w:val="BodyText"/>
              <w:spacing w:line="240" w:lineRule="auto"/>
              <w:ind w:firstLine="0"/>
              <w:jc w:val="center"/>
              <w:rPr>
                <w:rFonts w:ascii="Arial" w:hAnsi="Arial" w:cs="Arial"/>
                <w:color w:val="000000"/>
                <w:sz w:val="16"/>
                <w:szCs w:val="16"/>
                <w:bdr w:val="none" w:sz="0" w:space="0" w:color="auto" w:frame="1"/>
              </w:rPr>
            </w:pPr>
            <w:r w:rsidRPr="003B73DA">
              <w:rPr>
                <w:sz w:val="16"/>
                <w:szCs w:val="16"/>
              </w:rPr>
              <w:t>Metric</w:t>
            </w:r>
          </w:p>
        </w:tc>
        <w:tc>
          <w:tcPr>
            <w:tcW w:w="0" w:type="auto"/>
            <w:tcBorders>
              <w:bottom w:val="single" w:sz="4" w:space="0" w:color="auto"/>
            </w:tcBorders>
            <w:vAlign w:val="center"/>
          </w:tcPr>
          <w:p w14:paraId="5972C220" w14:textId="53EAA8C6" w:rsidR="008A6570" w:rsidRPr="003B73DA" w:rsidRDefault="008A6570" w:rsidP="003B73DA">
            <w:pPr>
              <w:pStyle w:val="Body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bdr w:val="none" w:sz="0" w:space="0" w:color="auto" w:frame="1"/>
              </w:rPr>
            </w:pPr>
            <w:r w:rsidRPr="003B73DA">
              <w:rPr>
                <w:sz w:val="16"/>
                <w:szCs w:val="16"/>
              </w:rPr>
              <w:t>Training Set</w:t>
            </w:r>
          </w:p>
        </w:tc>
        <w:tc>
          <w:tcPr>
            <w:tcW w:w="0" w:type="auto"/>
            <w:tcBorders>
              <w:bottom w:val="single" w:sz="4" w:space="0" w:color="auto"/>
            </w:tcBorders>
            <w:vAlign w:val="center"/>
          </w:tcPr>
          <w:p w14:paraId="228E1C9E" w14:textId="43AEC415" w:rsidR="008A6570" w:rsidRPr="003B73DA" w:rsidRDefault="008A6570" w:rsidP="003B73DA">
            <w:pPr>
              <w:pStyle w:val="Body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bdr w:val="none" w:sz="0" w:space="0" w:color="auto" w:frame="1"/>
              </w:rPr>
            </w:pPr>
            <w:r w:rsidRPr="003B73DA">
              <w:rPr>
                <w:sz w:val="16"/>
                <w:szCs w:val="16"/>
              </w:rPr>
              <w:t>Validation Set</w:t>
            </w:r>
          </w:p>
        </w:tc>
      </w:tr>
      <w:tr w:rsidR="00A46BEE" w:rsidRPr="003B73DA" w14:paraId="14BE8BBB" w14:textId="77777777" w:rsidTr="009F265C">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14:paraId="52FB6476" w14:textId="22A52F46" w:rsidR="008A6570" w:rsidRPr="003B73DA" w:rsidRDefault="008A6570" w:rsidP="003B73DA">
            <w:pPr>
              <w:pStyle w:val="BodyText"/>
              <w:spacing w:line="240" w:lineRule="auto"/>
              <w:ind w:firstLine="0"/>
              <w:jc w:val="center"/>
              <w:rPr>
                <w:rFonts w:ascii="Arial" w:hAnsi="Arial" w:cs="Arial"/>
                <w:b w:val="0"/>
                <w:bCs w:val="0"/>
                <w:color w:val="000000"/>
                <w:sz w:val="16"/>
                <w:szCs w:val="16"/>
                <w:bdr w:val="none" w:sz="0" w:space="0" w:color="auto" w:frame="1"/>
              </w:rPr>
            </w:pPr>
            <w:r w:rsidRPr="003B73DA">
              <w:rPr>
                <w:b w:val="0"/>
                <w:bCs w:val="0"/>
                <w:sz w:val="16"/>
                <w:szCs w:val="16"/>
              </w:rPr>
              <w:t>L1 Loss</w:t>
            </w:r>
          </w:p>
        </w:tc>
        <w:tc>
          <w:tcPr>
            <w:tcW w:w="0" w:type="auto"/>
            <w:tcBorders>
              <w:top w:val="single" w:sz="4" w:space="0" w:color="auto"/>
            </w:tcBorders>
            <w:vAlign w:val="center"/>
          </w:tcPr>
          <w:p w14:paraId="1149E939" w14:textId="36135B82" w:rsidR="008A6570" w:rsidRPr="003B73DA" w:rsidRDefault="008A6570" w:rsidP="003B73DA">
            <w:pPr>
              <w:pStyle w:val="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bdr w:val="none" w:sz="0" w:space="0" w:color="auto" w:frame="1"/>
              </w:rPr>
            </w:pPr>
            <w:r w:rsidRPr="003B73DA">
              <w:rPr>
                <w:sz w:val="16"/>
                <w:szCs w:val="16"/>
              </w:rPr>
              <w:t>0.010</w:t>
            </w:r>
          </w:p>
        </w:tc>
        <w:tc>
          <w:tcPr>
            <w:tcW w:w="0" w:type="auto"/>
            <w:tcBorders>
              <w:top w:val="single" w:sz="4" w:space="0" w:color="auto"/>
            </w:tcBorders>
            <w:vAlign w:val="center"/>
          </w:tcPr>
          <w:p w14:paraId="5B84E7D4" w14:textId="1FAA6438" w:rsidR="008A6570" w:rsidRPr="003B73DA" w:rsidRDefault="008A6570" w:rsidP="003B73DA">
            <w:pPr>
              <w:pStyle w:val="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bdr w:val="none" w:sz="0" w:space="0" w:color="auto" w:frame="1"/>
              </w:rPr>
            </w:pPr>
            <w:r w:rsidRPr="003B73DA">
              <w:rPr>
                <w:sz w:val="16"/>
                <w:szCs w:val="16"/>
              </w:rPr>
              <w:t>0.013</w:t>
            </w:r>
          </w:p>
        </w:tc>
      </w:tr>
      <w:tr w:rsidR="008A6570" w:rsidRPr="003B73DA" w14:paraId="0FEEFFB8" w14:textId="77777777" w:rsidTr="009F265C">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0344FF" w14:textId="66D37196" w:rsidR="008A6570" w:rsidRPr="003B73DA" w:rsidRDefault="008A6570" w:rsidP="003B73DA">
            <w:pPr>
              <w:pStyle w:val="BodyText"/>
              <w:spacing w:line="240" w:lineRule="auto"/>
              <w:ind w:firstLine="0"/>
              <w:jc w:val="center"/>
              <w:rPr>
                <w:rFonts w:ascii="Arial" w:hAnsi="Arial" w:cs="Arial"/>
                <w:b w:val="0"/>
                <w:bCs w:val="0"/>
                <w:color w:val="000000"/>
                <w:sz w:val="16"/>
                <w:szCs w:val="16"/>
                <w:bdr w:val="none" w:sz="0" w:space="0" w:color="auto" w:frame="1"/>
              </w:rPr>
            </w:pPr>
            <w:r w:rsidRPr="003B73DA">
              <w:rPr>
                <w:b w:val="0"/>
                <w:bCs w:val="0"/>
                <w:sz w:val="16"/>
                <w:szCs w:val="16"/>
              </w:rPr>
              <w:t>MSE</w:t>
            </w:r>
          </w:p>
        </w:tc>
        <w:tc>
          <w:tcPr>
            <w:tcW w:w="0" w:type="auto"/>
            <w:vAlign w:val="center"/>
          </w:tcPr>
          <w:p w14:paraId="317AD017" w14:textId="58B97F00" w:rsidR="008A6570" w:rsidRPr="003B73DA" w:rsidRDefault="008A6570" w:rsidP="003B73DA">
            <w:pPr>
              <w:pStyle w:val="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bdr w:val="none" w:sz="0" w:space="0" w:color="auto" w:frame="1"/>
              </w:rPr>
            </w:pPr>
            <w:r w:rsidRPr="003B73DA">
              <w:rPr>
                <w:sz w:val="16"/>
                <w:szCs w:val="16"/>
              </w:rPr>
              <w:t>0.0018</w:t>
            </w:r>
          </w:p>
        </w:tc>
        <w:tc>
          <w:tcPr>
            <w:tcW w:w="0" w:type="auto"/>
            <w:vAlign w:val="center"/>
          </w:tcPr>
          <w:p w14:paraId="4F8DD9F2" w14:textId="5F4A1856" w:rsidR="008A6570" w:rsidRPr="003B73DA" w:rsidRDefault="008A6570" w:rsidP="003B73DA">
            <w:pPr>
              <w:pStyle w:val="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bdr w:val="none" w:sz="0" w:space="0" w:color="auto" w:frame="1"/>
              </w:rPr>
            </w:pPr>
            <w:r w:rsidRPr="003B73DA">
              <w:rPr>
                <w:sz w:val="16"/>
                <w:szCs w:val="16"/>
              </w:rPr>
              <w:t>0.0025</w:t>
            </w:r>
          </w:p>
        </w:tc>
      </w:tr>
      <w:tr w:rsidR="008A6570" w:rsidRPr="003B73DA" w14:paraId="1165B01B" w14:textId="77777777" w:rsidTr="009F265C">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D4F169" w14:textId="38948651" w:rsidR="008A6570" w:rsidRPr="003B73DA" w:rsidRDefault="008A6570" w:rsidP="003B73DA">
            <w:pPr>
              <w:pStyle w:val="BodyText"/>
              <w:spacing w:line="240" w:lineRule="auto"/>
              <w:ind w:firstLine="0"/>
              <w:jc w:val="center"/>
              <w:rPr>
                <w:rFonts w:ascii="Arial" w:hAnsi="Arial" w:cs="Arial"/>
                <w:b w:val="0"/>
                <w:bCs w:val="0"/>
                <w:color w:val="000000"/>
                <w:sz w:val="16"/>
                <w:szCs w:val="16"/>
                <w:bdr w:val="none" w:sz="0" w:space="0" w:color="auto" w:frame="1"/>
              </w:rPr>
            </w:pPr>
            <w:r w:rsidRPr="003B73DA">
              <w:rPr>
                <w:b w:val="0"/>
                <w:bCs w:val="0"/>
                <w:sz w:val="16"/>
                <w:szCs w:val="16"/>
              </w:rPr>
              <w:t>RMSE</w:t>
            </w:r>
          </w:p>
        </w:tc>
        <w:tc>
          <w:tcPr>
            <w:tcW w:w="0" w:type="auto"/>
            <w:vAlign w:val="center"/>
          </w:tcPr>
          <w:p w14:paraId="2A3E327F" w14:textId="34F19A8F" w:rsidR="008A6570" w:rsidRPr="003B73DA" w:rsidRDefault="008A6570" w:rsidP="003B73DA">
            <w:pPr>
              <w:pStyle w:val="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bdr w:val="none" w:sz="0" w:space="0" w:color="auto" w:frame="1"/>
              </w:rPr>
            </w:pPr>
            <w:r w:rsidRPr="003B73DA">
              <w:rPr>
                <w:sz w:val="16"/>
                <w:szCs w:val="16"/>
              </w:rPr>
              <w:t>0.042</w:t>
            </w:r>
          </w:p>
        </w:tc>
        <w:tc>
          <w:tcPr>
            <w:tcW w:w="0" w:type="auto"/>
            <w:vAlign w:val="center"/>
          </w:tcPr>
          <w:p w14:paraId="2F23F473" w14:textId="33C31E37" w:rsidR="008A6570" w:rsidRPr="003B73DA" w:rsidRDefault="008A6570" w:rsidP="003B73DA">
            <w:pPr>
              <w:pStyle w:val="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bdr w:val="none" w:sz="0" w:space="0" w:color="auto" w:frame="1"/>
              </w:rPr>
            </w:pPr>
            <w:r w:rsidRPr="003B73DA">
              <w:rPr>
                <w:sz w:val="16"/>
                <w:szCs w:val="16"/>
              </w:rPr>
              <w:t>0.050</w:t>
            </w:r>
          </w:p>
        </w:tc>
      </w:tr>
      <w:tr w:rsidR="008A6570" w:rsidRPr="003B73DA" w14:paraId="4B0492E7" w14:textId="77777777" w:rsidTr="009F265C">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21A480" w14:textId="5F6AFBA5" w:rsidR="008A6570" w:rsidRPr="003B73DA" w:rsidRDefault="008A6570" w:rsidP="003B73DA">
            <w:pPr>
              <w:pStyle w:val="BodyText"/>
              <w:spacing w:line="240" w:lineRule="auto"/>
              <w:ind w:firstLine="0"/>
              <w:jc w:val="center"/>
              <w:rPr>
                <w:rFonts w:ascii="Arial" w:hAnsi="Arial" w:cs="Arial"/>
                <w:b w:val="0"/>
                <w:bCs w:val="0"/>
                <w:color w:val="000000"/>
                <w:sz w:val="16"/>
                <w:szCs w:val="16"/>
                <w:bdr w:val="none" w:sz="0" w:space="0" w:color="auto" w:frame="1"/>
              </w:rPr>
            </w:pPr>
            <w:r w:rsidRPr="003B73DA">
              <w:rPr>
                <w:b w:val="0"/>
                <w:bCs w:val="0"/>
                <w:sz w:val="16"/>
                <w:szCs w:val="16"/>
              </w:rPr>
              <w:t>SSIM</w:t>
            </w:r>
          </w:p>
        </w:tc>
        <w:tc>
          <w:tcPr>
            <w:tcW w:w="0" w:type="auto"/>
            <w:vAlign w:val="center"/>
          </w:tcPr>
          <w:p w14:paraId="76B067D0" w14:textId="2644D6B7" w:rsidR="008A6570" w:rsidRPr="003B73DA" w:rsidRDefault="008A6570" w:rsidP="003B73DA">
            <w:pPr>
              <w:pStyle w:val="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bdr w:val="none" w:sz="0" w:space="0" w:color="auto" w:frame="1"/>
              </w:rPr>
            </w:pPr>
            <w:r w:rsidRPr="003B73DA">
              <w:rPr>
                <w:sz w:val="16"/>
                <w:szCs w:val="16"/>
              </w:rPr>
              <w:t>0.96</w:t>
            </w:r>
          </w:p>
        </w:tc>
        <w:tc>
          <w:tcPr>
            <w:tcW w:w="0" w:type="auto"/>
            <w:vAlign w:val="center"/>
          </w:tcPr>
          <w:p w14:paraId="688B81EF" w14:textId="39EDE1EE" w:rsidR="008A6570" w:rsidRPr="003B73DA" w:rsidRDefault="008A6570" w:rsidP="003B73DA">
            <w:pPr>
              <w:pStyle w:val="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bdr w:val="none" w:sz="0" w:space="0" w:color="auto" w:frame="1"/>
              </w:rPr>
            </w:pPr>
            <w:r w:rsidRPr="003B73DA">
              <w:rPr>
                <w:sz w:val="16"/>
                <w:szCs w:val="16"/>
              </w:rPr>
              <w:t>0.94</w:t>
            </w:r>
          </w:p>
        </w:tc>
      </w:tr>
      <w:tr w:rsidR="00A46BEE" w:rsidRPr="003B73DA" w14:paraId="4E1AA7D6" w14:textId="77777777" w:rsidTr="009F265C">
        <w:trPr>
          <w:trHeight w:val="9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848309" w14:textId="76012AD2" w:rsidR="008A6570" w:rsidRPr="003B73DA" w:rsidRDefault="008A6570" w:rsidP="003B73DA">
            <w:pPr>
              <w:pStyle w:val="BodyText"/>
              <w:spacing w:line="240" w:lineRule="auto"/>
              <w:ind w:firstLine="0"/>
              <w:jc w:val="center"/>
              <w:rPr>
                <w:rFonts w:ascii="Arial" w:hAnsi="Arial" w:cs="Arial"/>
                <w:b w:val="0"/>
                <w:bCs w:val="0"/>
                <w:color w:val="000000"/>
                <w:sz w:val="16"/>
                <w:szCs w:val="16"/>
                <w:bdr w:val="none" w:sz="0" w:space="0" w:color="auto" w:frame="1"/>
              </w:rPr>
            </w:pPr>
            <w:r w:rsidRPr="003B73DA">
              <w:rPr>
                <w:b w:val="0"/>
                <w:bCs w:val="0"/>
                <w:sz w:val="16"/>
                <w:szCs w:val="16"/>
              </w:rPr>
              <w:t>PSNR (dB)</w:t>
            </w:r>
          </w:p>
        </w:tc>
        <w:tc>
          <w:tcPr>
            <w:tcW w:w="0" w:type="auto"/>
            <w:vAlign w:val="center"/>
          </w:tcPr>
          <w:p w14:paraId="3BA39EF3" w14:textId="25D49F72" w:rsidR="008A6570" w:rsidRPr="003B73DA" w:rsidRDefault="008A6570" w:rsidP="003B73DA">
            <w:pPr>
              <w:pStyle w:val="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bdr w:val="none" w:sz="0" w:space="0" w:color="auto" w:frame="1"/>
              </w:rPr>
            </w:pPr>
            <w:r w:rsidRPr="003B73DA">
              <w:rPr>
                <w:sz w:val="16"/>
                <w:szCs w:val="16"/>
              </w:rPr>
              <w:t>38.5</w:t>
            </w:r>
          </w:p>
        </w:tc>
        <w:tc>
          <w:tcPr>
            <w:tcW w:w="0" w:type="auto"/>
            <w:vAlign w:val="center"/>
          </w:tcPr>
          <w:p w14:paraId="0F15B057" w14:textId="68F59421" w:rsidR="008A6570" w:rsidRPr="003B73DA" w:rsidRDefault="008A6570" w:rsidP="003B73DA">
            <w:pPr>
              <w:pStyle w:val="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bdr w:val="none" w:sz="0" w:space="0" w:color="auto" w:frame="1"/>
              </w:rPr>
            </w:pPr>
            <w:r w:rsidRPr="003B73DA">
              <w:rPr>
                <w:sz w:val="16"/>
                <w:szCs w:val="16"/>
              </w:rPr>
              <w:t>36.8</w:t>
            </w:r>
          </w:p>
        </w:tc>
      </w:tr>
    </w:tbl>
    <w:p w14:paraId="53EC4861" w14:textId="77777777" w:rsidR="004E4012" w:rsidRDefault="004E4012" w:rsidP="004E4012">
      <w:pPr>
        <w:pStyle w:val="Heading2"/>
      </w:pPr>
      <w:r w:rsidRPr="004E4012">
        <w:t>Statistical Significance Testing</w:t>
      </w:r>
    </w:p>
    <w:p w14:paraId="50984A55" w14:textId="43842152" w:rsidR="004E4012" w:rsidRDefault="004E4012" w:rsidP="006A738D">
      <w:pPr>
        <w:pStyle w:val="BodyText"/>
        <w:spacing w:after="0" w:line="240" w:lineRule="auto"/>
      </w:pPr>
      <w:r w:rsidRPr="004E4012">
        <w:t xml:space="preserve">To verify the statistical significance of model performance, one-sample t-tests compared </w:t>
      </w:r>
      <w:r w:rsidR="005E2DC8">
        <w:t xml:space="preserve">the </w:t>
      </w:r>
      <w:r w:rsidRPr="004E4012">
        <w:t>accuracy (or equivalent metric) of each model against appropriate baselines:</w:t>
      </w:r>
    </w:p>
    <w:p w14:paraId="5E01B05D" w14:textId="77777777" w:rsidR="004E4012" w:rsidRDefault="004E4012" w:rsidP="006A738D">
      <w:pPr>
        <w:pStyle w:val="bulletlist"/>
        <w:spacing w:after="0" w:line="240" w:lineRule="auto"/>
      </w:pPr>
      <w:r>
        <w:t>For the three classification models, a baseline accuracy of 33.3% was used, reflecting random guessing in a balanced three-class problem. Validation accuracies from repeated runs were compared to this baseline.</w:t>
      </w:r>
    </w:p>
    <w:p w14:paraId="149C98D7" w14:textId="67D65617" w:rsidR="004E4012" w:rsidRDefault="004E4012" w:rsidP="006A738D">
      <w:pPr>
        <w:pStyle w:val="bulletlist"/>
        <w:spacing w:after="0" w:line="240" w:lineRule="auto"/>
      </w:pPr>
      <w:r>
        <w:t>For the segmentation model, the Dice coefficient was evaluated against a random baseline of 0.1, a value consistent with expected performance in highly imbalanced medical segmentation tasks where the foreground occupies a small portion of the image [</w:t>
      </w:r>
      <w:r w:rsidR="001E1157">
        <w:t>5</w:t>
      </w:r>
      <w:r w:rsidR="00AE3A9E">
        <w:t>3</w:t>
      </w:r>
      <w:r>
        <w:t>].</w:t>
      </w:r>
    </w:p>
    <w:p w14:paraId="56A0290D" w14:textId="77777777" w:rsidR="004E4012" w:rsidRDefault="004E4012" w:rsidP="006A738D">
      <w:pPr>
        <w:pStyle w:val="bulletlist"/>
        <w:spacing w:after="0" w:line="240" w:lineRule="auto"/>
      </w:pPr>
      <w:r>
        <w:t xml:space="preserve">For depth estimation, a baseline MSE of 7775 was established using the pre-trained </w:t>
      </w:r>
      <w:proofErr w:type="spellStart"/>
      <w:r>
        <w:t>MiDaS</w:t>
      </w:r>
      <w:proofErr w:type="spellEnd"/>
      <w:r>
        <w:t xml:space="preserve"> model prior to fine-tuning. This reflects its average error against ground truth depth images. After fine-tuning on a </w:t>
      </w:r>
      <w:r>
        <w:lastRenderedPageBreak/>
        <w:t>paired RGB-depth dataset, the MSE was reduced to ~0.02.</w:t>
      </w:r>
    </w:p>
    <w:p w14:paraId="5953B35C" w14:textId="7A6BCA59" w:rsidR="004E4012" w:rsidRDefault="004E4012" w:rsidP="006A738D">
      <w:pPr>
        <w:pStyle w:val="BodyText"/>
        <w:spacing w:after="0" w:line="240" w:lineRule="auto"/>
      </w:pPr>
      <w:r w:rsidRPr="004E4012">
        <w:t>All models yielded p-values well below 0.0001, validating significant performance gains over their respective baselines.</w:t>
      </w:r>
    </w:p>
    <w:p w14:paraId="1EF63E28" w14:textId="74AF3607" w:rsidR="009303D9" w:rsidRDefault="004E4012" w:rsidP="00ED0149">
      <w:pPr>
        <w:pStyle w:val="Heading2"/>
      </w:pPr>
      <w:r w:rsidRPr="004E4012">
        <w:t>Comparison with Clinical Evaluations</w:t>
      </w:r>
    </w:p>
    <w:p w14:paraId="44AF7343" w14:textId="079FFD4F" w:rsidR="004E4012" w:rsidRDefault="004E4012" w:rsidP="006A738D">
      <w:pPr>
        <w:pStyle w:val="BodyText"/>
        <w:spacing w:after="0" w:line="240" w:lineRule="auto"/>
        <w:ind w:firstLine="289"/>
      </w:pPr>
      <w:r w:rsidRPr="004E4012">
        <w:t>The results indicated no significant difference between the application’s predictions and doctors’ evaluations, confirming the accuracy and reliability of the system. The smart shoe serves as a proof of concept, with all components and functionalities grounded in established clinical and technical studies.</w:t>
      </w:r>
    </w:p>
    <w:p w14:paraId="7478DBAC" w14:textId="00B47DE7" w:rsidR="004E4012" w:rsidRDefault="004E4012" w:rsidP="004E4012">
      <w:pPr>
        <w:pStyle w:val="Heading1"/>
      </w:pPr>
      <w:r w:rsidRPr="004E4012">
        <w:t>Conclusion</w:t>
      </w:r>
    </w:p>
    <w:p w14:paraId="2A4A6A17" w14:textId="77777777" w:rsidR="00E2468B" w:rsidRDefault="00E2468B" w:rsidP="00E2468B">
      <w:pPr>
        <w:pStyle w:val="BodyText"/>
      </w:pPr>
      <w:r>
        <w:t>This study presents an application that analyses diabetic foot images to enable low-cost, time-efficient, and non-invasive care. By coupling in-shoe sensing with an AI-enabled mobile workflow, the system supports patient self-assessment and streamlines clinical pathways through guided image capture, automated triage, and quantitative wound measurements. In practice, this reduces reliance on painful or resource-intensive procedures, lowers the frequency of in-person visits, and enables personalised prevention and early detection via longitudinal monitoring.</w:t>
      </w:r>
    </w:p>
    <w:p w14:paraId="11EC5465" w14:textId="77777777" w:rsidR="00E2468B" w:rsidRDefault="00E2468B" w:rsidP="00E2468B">
      <w:pPr>
        <w:pStyle w:val="BodyText"/>
      </w:pPr>
      <w:r>
        <w:t>Several limitations remain: (1) manual entry of camera calibration parameters; (2) sensitivity to extreme variation in foot pose and lighting during image capture, which can degrade accuracy; and (3) limited diversity in the training dataset, especially for rare ulcer phenotypes and darker skin tones. Future work will address these constraints through automated, on-device calibration; augmented-reality guidance to standardise viewpoint and scale; and dataset expansion with balanced representation across sites, skin tones, and ulcer subtypes. In parallel, prospective external validation with patient-level splits, predefined operating points, and agreement studies against clinical reference standards is required before deployment at scale. Usability, safety, and data-protection evaluations will also be conducted to meet regulatory and post-market surveillance expectations.</w:t>
      </w:r>
    </w:p>
    <w:p w14:paraId="13E11464" w14:textId="52518994" w:rsidR="004E4012" w:rsidRDefault="00E2468B" w:rsidP="00E2468B">
      <w:pPr>
        <w:pStyle w:val="BodyText"/>
        <w:spacing w:after="0" w:line="240" w:lineRule="auto"/>
      </w:pPr>
      <w:r>
        <w:t>If integrated into routine diabetic care, this technology could enable earlier intervention, reduce complications and avoidable admissions, and allocate specialist time to high-risk cases. As an added societal benefit, the approach supports Sustainable Development Goals by expanding access to preventive diabetic foot care (SDG 3: Good Health and Well-Being) through scalable digital infrastructure (SDG 9) while helping reduce disparities in outcomes across populations (SDG 10).</w:t>
      </w:r>
    </w:p>
    <w:p w14:paraId="0A957B37" w14:textId="2AA1BD06" w:rsidR="0080791D" w:rsidRPr="00717C52" w:rsidRDefault="0080791D" w:rsidP="00717C52">
      <w:pPr>
        <w:pStyle w:val="Heading5"/>
      </w:pPr>
      <w:r w:rsidRPr="00717C52">
        <w:t>Acknowledgment</w:t>
      </w:r>
    </w:p>
    <w:p w14:paraId="5E1D31E2" w14:textId="5D96C9D5" w:rsidR="00067EEC" w:rsidRDefault="00067EEC" w:rsidP="006A738D">
      <w:pPr>
        <w:pStyle w:val="BodyText"/>
        <w:spacing w:after="0" w:line="240" w:lineRule="auto"/>
      </w:pPr>
      <w:r w:rsidRPr="00067EEC">
        <w:t>The authors express their sincere gratitude to the National Center for Diabetes, Endocrinology, and Genetics for their collaboration and support. In particular, we thank Mr. S. Mousa and Ms. G. Al-Ezza for their clinical expertise in diabetic foot care and invaluable guidance throughout this research. We also acknowledge the Jubilee School for its continuous academic support. Special thanks are extende</w:t>
      </w:r>
      <w:r w:rsidR="008601E2">
        <w:t>d to S. Abu-</w:t>
      </w:r>
      <w:proofErr w:type="spellStart"/>
      <w:r w:rsidR="008601E2">
        <w:t>Juma’ah</w:t>
      </w:r>
      <w:proofErr w:type="spellEnd"/>
      <w:r w:rsidR="008601E2">
        <w:t xml:space="preserve"> and K. </w:t>
      </w:r>
      <w:proofErr w:type="spellStart"/>
      <w:r w:rsidR="008601E2">
        <w:rPr>
          <w:lang w:val="en-US"/>
        </w:rPr>
        <w:t>Ald</w:t>
      </w:r>
      <w:r w:rsidRPr="00067EEC">
        <w:t>ahdouah</w:t>
      </w:r>
      <w:proofErr w:type="spellEnd"/>
      <w:r w:rsidRPr="00067EEC">
        <w:t xml:space="preserve"> for their mentorship and encouragement during the project’s development.</w:t>
      </w:r>
    </w:p>
    <w:p w14:paraId="4C009EB5" w14:textId="4ED5563A" w:rsidR="002A440E" w:rsidRDefault="002A440E" w:rsidP="006A738D">
      <w:pPr>
        <w:pStyle w:val="BodyText"/>
        <w:spacing w:after="0" w:line="240" w:lineRule="auto"/>
      </w:pPr>
    </w:p>
    <w:p w14:paraId="6959CC0E" w14:textId="77777777" w:rsidR="002A440E" w:rsidRDefault="002A440E" w:rsidP="006A738D">
      <w:pPr>
        <w:pStyle w:val="BodyText"/>
        <w:spacing w:after="0" w:line="240" w:lineRule="auto"/>
      </w:pPr>
    </w:p>
    <w:p w14:paraId="7F25093B" w14:textId="77777777" w:rsidR="009303D9" w:rsidRDefault="009303D9" w:rsidP="00A059B3">
      <w:pPr>
        <w:pStyle w:val="Heading5"/>
      </w:pPr>
      <w:r w:rsidRPr="005B520E">
        <w:lastRenderedPageBreak/>
        <w:t>References</w:t>
      </w:r>
    </w:p>
    <w:p w14:paraId="531C9CCB" w14:textId="77777777" w:rsidR="00C12310" w:rsidRDefault="00C12310" w:rsidP="00C12310">
      <w:pPr>
        <w:pStyle w:val="references"/>
      </w:pPr>
      <w:r>
        <w:t>D. G. Armstrong, A. J. M. Boulton, and S. A. Bus, “Diabetic foot ulcers and their recurrence,” N. Engl. J. Med., vol. 376, no. 24, pp. 2367–2375, Jun. 2017, doi: 10.1056/nejmra1615439.</w:t>
      </w:r>
    </w:p>
    <w:p w14:paraId="0BB7F64F" w14:textId="77777777" w:rsidR="00C12310" w:rsidRDefault="00C12310" w:rsidP="00C12310">
      <w:pPr>
        <w:pStyle w:val="references"/>
      </w:pPr>
      <w:r>
        <w:t>American Diabetes Association, “Amputation prevention alliance | ADA,” diabetes.org. [Online]. Available: https://diabetes.org/advocacy/amputation-prevention-alliance. [Accessed: 26-Jun-2025].</w:t>
      </w:r>
    </w:p>
    <w:p w14:paraId="2B70F105" w14:textId="77777777" w:rsidR="00C12310" w:rsidRDefault="00C12310" w:rsidP="00C12310">
      <w:pPr>
        <w:pStyle w:val="references"/>
      </w:pPr>
      <w:r>
        <w:t>S. Tesfaye et al., “Diabetic neuropathies: Update on definitions, diagnostic criteria, estimation of severity, and treatments,” Diabetes Care, vol. 33, no. 10, pp. 2285–2293, 2010.</w:t>
      </w:r>
    </w:p>
    <w:p w14:paraId="26DB08C3" w14:textId="77777777" w:rsidR="00C12310" w:rsidRDefault="00C12310" w:rsidP="00C12310">
      <w:pPr>
        <w:pStyle w:val="references"/>
      </w:pPr>
      <w:r>
        <w:t>Diabetes FRAME, “Autonomic neuropathy – Diabetes Foot Screening,” diabetesframe.org. [Online]. Available: https://www.diabetesframe.org/nhs-england/02-overview-of-diabetic-foot-problems-nhs-england-2/autonomic-neuropathy/. [Accessed: 21-Jul-2025].</w:t>
      </w:r>
    </w:p>
    <w:p w14:paraId="3BEBE04E" w14:textId="77777777" w:rsidR="00C12310" w:rsidRDefault="00C12310" w:rsidP="00C12310">
      <w:pPr>
        <w:pStyle w:val="references"/>
      </w:pPr>
      <w:r>
        <w:t>S. E. Geerlings and A. I. M. Hoepelman, “Immune dysfunction in patients with diabetes mellitus (DM),” FEMS Immunology &amp; Medical Microbiology, vol. 26, no. 3–4, pp. 259–265, Dec. 1999, doi: 10.1111/j.1574-695X.1999.tb01397.x.</w:t>
      </w:r>
    </w:p>
    <w:p w14:paraId="6308E467" w14:textId="77777777" w:rsidR="00C12310" w:rsidRDefault="00C12310" w:rsidP="00C12310">
      <w:pPr>
        <w:pStyle w:val="references"/>
      </w:pPr>
      <w:r>
        <w:t>S. Shakya, Y. Wang, J. A. Mack, and E. V. Maytin, “Hyperglycemia-induced changes in hyaluronan contribute to impaired skin wound healing in diabetes: Review and perspective,” International Journal of Cell Biology, vol. 2015, pp. 1–11, 2015, doi: 10.1155/2015/701738.</w:t>
      </w:r>
    </w:p>
    <w:p w14:paraId="672F3BFA" w14:textId="77777777" w:rsidR="00C12310" w:rsidRDefault="00C12310" w:rsidP="00C12310">
      <w:pPr>
        <w:pStyle w:val="references"/>
      </w:pPr>
      <w:r>
        <w:t>R. M. Crocker, K. N. B. Palmer, D. G. Marrero, and T.-W. Tan, “Patient perspectives on the physical, psycho-social, and financial impacts of diabetic foot ulceration and amputation,” Journal of Diabetes and its Complications, vol. 35, no. 8, p. 107960, Aug. 2021, doi: 10.1016/j.jdiacomp.2021.107960.</w:t>
      </w:r>
    </w:p>
    <w:p w14:paraId="1A1CC9A1" w14:textId="77777777" w:rsidR="00C12310" w:rsidRDefault="00C12310" w:rsidP="00C12310">
      <w:pPr>
        <w:pStyle w:val="references"/>
      </w:pPr>
      <w:r>
        <w:t>L. A. Lavery et al., “Preventing diabetic foot ulcer recurrence in high-risk patients: Use of temperature monitoring as a self-assessment tool,” Diabetes Care, vol. 30, no. 1, pp. 14–20, 2007, doi: 10.2337/dc06-1600.</w:t>
      </w:r>
    </w:p>
    <w:p w14:paraId="5D6FD6DD" w14:textId="77777777" w:rsidR="00C12310" w:rsidRDefault="00C12310" w:rsidP="00C12310">
      <w:pPr>
        <w:pStyle w:val="references"/>
      </w:pPr>
      <w:r>
        <w:t>C. McIntosh, J. Ivory, and G. Gethin, “Managing wound exudate in diabetic foot ulcers,” The Diabetic Foot J., vol. 46, no. 1, 2019. [Online]. Available: https://diabetesonthenet.com/wp-content/uploads/pdf/dotn45dfbc7a311ac91c7601ece88e351c5b.pdf. [Accessed: 30-Jun-2025].</w:t>
      </w:r>
    </w:p>
    <w:p w14:paraId="2692D106" w14:textId="77777777" w:rsidR="00C12310" w:rsidRDefault="00C12310" w:rsidP="00C12310">
      <w:pPr>
        <w:pStyle w:val="references"/>
      </w:pPr>
      <w:r>
        <w:t>A. J. M. Boulton et al., “Dynamic foot pressure and other studies as diagnostic and management aids in diabetic neuropathy,” Diabetes Care, vol. 6, no. 1, pp. 26–33, 1983, doi: 10.2337/diacare.6.1.26.</w:t>
      </w:r>
    </w:p>
    <w:p w14:paraId="6969ACDE" w14:textId="77777777" w:rsidR="00C12310" w:rsidRDefault="00C12310" w:rsidP="00C12310">
      <w:pPr>
        <w:pStyle w:val="references"/>
      </w:pPr>
      <w:r>
        <w:t>P. Pit’hová, H. Pátková, I. Galandáková, L. Dolezalová, and M. Kvapil, “[Differences in ulcer location in diabetic foot syndrome],” Vnitrni Lekarstvi, vol. 53, no. 12, pp. 1278–1285, Dec. 2007, Available: https://pubmed.ncbi.nlm.nih.gov/18357863/</w:t>
      </w:r>
    </w:p>
    <w:p w14:paraId="1619AAC0" w14:textId="77777777" w:rsidR="00C12310" w:rsidRDefault="00C12310" w:rsidP="00C12310">
      <w:pPr>
        <w:pStyle w:val="references"/>
      </w:pPr>
      <w:r>
        <w:t>M. Kręcichwost et al., "Chronic wounds multimodal image database," Computerized Medical Imaging and Graphics, vol. 88, p. 101844, 2021, doi: 10.1016/j.compmedimag.2020.101844.</w:t>
      </w:r>
    </w:p>
    <w:p w14:paraId="71B84304" w14:textId="77777777" w:rsidR="00C12310" w:rsidRDefault="00C12310" w:rsidP="00C12310">
      <w:pPr>
        <w:pStyle w:val="references"/>
      </w:pPr>
      <w:r>
        <w:t>Cleveland Clinic, “Ischemia,” Cleveland Clinic. [Online]. Available: https://my.clevelandclinic.org/health/diseases/ischemia. [Accessed: 27-Jun-2025].</w:t>
      </w:r>
    </w:p>
    <w:p w14:paraId="44EFE44B" w14:textId="77777777" w:rsidR="00C12310" w:rsidRDefault="00C12310" w:rsidP="00C12310">
      <w:pPr>
        <w:pStyle w:val="references"/>
      </w:pPr>
      <w:r>
        <w:t>J. Fletcher, “What is a Doppler ultrasound?,” Medical News Today, Oct. 29, 2019. [Online]. Available: https://www.medicalnewstoday.com/articles/326824. [Accessed: 30-Jun-2025].</w:t>
      </w:r>
    </w:p>
    <w:p w14:paraId="4215E40B" w14:textId="77777777" w:rsidR="00C12310" w:rsidRDefault="00C12310" w:rsidP="00C12310">
      <w:pPr>
        <w:pStyle w:val="references"/>
      </w:pPr>
      <w:r>
        <w:t>“Wound debridement basics,” Nursing CE Central. [Online]. Available: https://nursingcecentral.com/lessons/wound-debridement-basics/. [Accessed: 27-Jun-2025].</w:t>
      </w:r>
    </w:p>
    <w:p w14:paraId="5CDA48D2" w14:textId="5C6EB9D7" w:rsidR="00C12310" w:rsidRDefault="007C21E0" w:rsidP="00C12310">
      <w:pPr>
        <w:pStyle w:val="references"/>
      </w:pPr>
      <w:r w:rsidRPr="007C21E0">
        <w:t>M. H. Alghanim, H. H. Attar, K. Rezaee, and A. A. A. Solyman, “Medical diagnosis decision‑making framework on the Internet of Medical Things platform using hybrid learning,” Wireless Networks, vol. 30, no. 8, pp. 6901–6913, 2024.</w:t>
      </w:r>
    </w:p>
    <w:p w14:paraId="3D287D6D" w14:textId="77777777" w:rsidR="00C12310" w:rsidRDefault="00C12310" w:rsidP="00C12310">
      <w:pPr>
        <w:pStyle w:val="references"/>
      </w:pPr>
      <w:r>
        <w:t>U. Chatchawan, P. Narkto, T. Damri, and J. Yamauchi, “An exploration of the relationship between foot skin temperature and blood flow in type 2 diabetes mellitus patients: A cross-sectional study,” J. Phys. Ther. Sci., vol. 30, no. 11, pp. 1359–1363, Nov. 2018, doi: 10.1589/jpts.30.1359.</w:t>
      </w:r>
    </w:p>
    <w:p w14:paraId="55608FF8" w14:textId="77777777" w:rsidR="00C12310" w:rsidRDefault="00C12310" w:rsidP="00C12310">
      <w:pPr>
        <w:pStyle w:val="references"/>
      </w:pPr>
      <w:r>
        <w:t>A. H. Lacy, “Aging and the control of human skin blood flow,” Front. Biosci., vol. 15, no. 1, p. 718, Dec. 2009, doi: 10.2741/3642.</w:t>
      </w:r>
    </w:p>
    <w:p w14:paraId="748000F8" w14:textId="77777777" w:rsidR="00C12310" w:rsidRDefault="00C12310" w:rsidP="00C12310">
      <w:pPr>
        <w:pStyle w:val="references"/>
      </w:pPr>
      <w:r>
        <w:t>W. P. Cheshire and R. D. Fealey, “Drug-induced hyperhidrosis and hypohidrosis,” Drug Saf., vol. 31, no. 2, pp. 109–126, 2008, doi: 10.2165/00002018-200831020-00002.</w:t>
      </w:r>
    </w:p>
    <w:p w14:paraId="6DB22F2A" w14:textId="77777777" w:rsidR="00C12310" w:rsidRDefault="00C12310" w:rsidP="00C12310">
      <w:pPr>
        <w:pStyle w:val="references"/>
      </w:pPr>
      <w:r>
        <w:t xml:space="preserve">A. Ilo, P. Romsi, and J. Mäkelä, “Infrared thermography as a diagnostic tool for peripheral artery disease,” Adv. Skin Wound Care, vol. 33, no. </w:t>
      </w:r>
      <w:r>
        <w:lastRenderedPageBreak/>
        <w:t>9, pp. 482–488, Sep. 2020, doi: 10.1097/01.asw.0000694156.62834.8b.</w:t>
      </w:r>
    </w:p>
    <w:p w14:paraId="67C84EDF" w14:textId="77777777" w:rsidR="00C12310" w:rsidRDefault="00C12310" w:rsidP="00C12310">
      <w:pPr>
        <w:pStyle w:val="references"/>
      </w:pPr>
      <w:r>
        <w:t>J. Rogers et al., “The Charcot foot in diabetes,” Diabetes Care, vol. 34, no. 9, pp. 2123–2129, Sep. 2011, doi: 10.2337/dc11-0844.</w:t>
      </w:r>
    </w:p>
    <w:p w14:paraId="0A86C184" w14:textId="77777777" w:rsidR="00C12310" w:rsidRDefault="00C12310" w:rsidP="00C12310">
      <w:pPr>
        <w:pStyle w:val="references"/>
      </w:pPr>
      <w:r>
        <w:t>D. Dixon, “Vibration therapy for neuropathy pain: Can it help?,” Hue Light USA. [Online]. Available: https://huelightusa.com/vibration-therapy-for-neuropathy/. [Accessed: 30-Jun-2025].</w:t>
      </w:r>
    </w:p>
    <w:p w14:paraId="6EBAAC22" w14:textId="77777777" w:rsidR="00C12310" w:rsidRDefault="00C12310" w:rsidP="00C12310">
      <w:pPr>
        <w:pStyle w:val="references"/>
      </w:pPr>
      <w:r>
        <w:t>S. Sunarmi, A. Isworo, D. Ari, F. Y. Sitepu, and H. Triredjeki, “The effectiveness of massage therapy on healing of diabetic neuropathy in diabetes mellitus patients,” Open Access Maced. J. Med. Sci., vol. 10, no. G, pp. 190–194, Feb. 2022, doi: 10.3889/oamjms.2022.8564.</w:t>
      </w:r>
    </w:p>
    <w:p w14:paraId="0A6A83A0" w14:textId="77777777" w:rsidR="00C12310" w:rsidRDefault="00C12310" w:rsidP="00C12310">
      <w:pPr>
        <w:pStyle w:val="references"/>
      </w:pPr>
      <w:r>
        <w:t>V. Naik et al., “Effect of matrix rhythm therapy (MARHYTHE©) on diabetic foot ulcer,” Altern. Ther. Health Med., vol. 31, no. 3, pp. 15–19, May 2025.</w:t>
      </w:r>
    </w:p>
    <w:p w14:paraId="33483A90" w14:textId="3B66B976" w:rsidR="00C12310" w:rsidRDefault="00B623CD" w:rsidP="00C12310">
      <w:pPr>
        <w:pStyle w:val="references"/>
      </w:pPr>
      <w:r w:rsidRPr="00B623CD">
        <w:t>D. P. Yadav, D. Kumar, A. S. Jalal, A. Kumar, K. U. Singh, and M. A. Shah, “Morphological diagnosis of hematologic malignancy using feature fusion‑based deep convolutional neural network,” Scientific Reports, vol. 13, art. 16988, 2023.</w:t>
      </w:r>
    </w:p>
    <w:p w14:paraId="74FB6AF2" w14:textId="77777777" w:rsidR="00C12310" w:rsidRDefault="00C12310" w:rsidP="00C12310">
      <w:pPr>
        <w:pStyle w:val="references"/>
      </w:pPr>
      <w:r>
        <w:t>F. W. Wagner, “The diabetic foot,” Orthopedics, vol. 10, no. 1, pp. 163–172, Jan. 1987, doi: 10.3928/0147-7447-19870101-28.</w:t>
      </w:r>
    </w:p>
    <w:p w14:paraId="6C42AE70" w14:textId="77777777" w:rsidR="00C12310" w:rsidRDefault="00C12310" w:rsidP="00C12310">
      <w:pPr>
        <w:pStyle w:val="references"/>
      </w:pPr>
      <w:r>
        <w:t>F. W. Wagner, “The dysvascular foot: A system for diagnosis and treatment,” Foot Ankle, vol. 2, no. 2, pp. 64–122, Sep. 1981, doi: 10.1177/107110078100200202.</w:t>
      </w:r>
    </w:p>
    <w:p w14:paraId="552AE783" w14:textId="77777777" w:rsidR="00C12310" w:rsidRDefault="00C12310" w:rsidP="00C12310">
      <w:pPr>
        <w:pStyle w:val="references"/>
      </w:pPr>
      <w:r>
        <w:t>“Foot and toe ulcers: Treatment, prevention, repair &amp; causes,” Cleveland Clinic. [Online]. Available: https://my.clevelandclinic.org/health/symptoms/17169-foot-and-toe-ulcers. [Accessed: 30-Jun-2025].</w:t>
      </w:r>
    </w:p>
    <w:p w14:paraId="6A006AEC" w14:textId="77777777" w:rsidR="00C12310" w:rsidRDefault="00C12310" w:rsidP="00C12310">
      <w:pPr>
        <w:pStyle w:val="references"/>
      </w:pPr>
      <w:r>
        <w:t>G. Huang, Z. Liu, L. Van Der Maaten, and K. Q. Weinberger, “Densely connected convolutional networks,” in Proc. IEEE Conf. Comput. Vis. Pattern Recognit. (CVPR), Jul. 2017, pp. 2261–2269, doi: 10.1109/CVPR.2017.243.</w:t>
      </w:r>
    </w:p>
    <w:p w14:paraId="2D12D3E0" w14:textId="77777777" w:rsidR="00C12310" w:rsidRDefault="00C12310" w:rsidP="00C12310">
      <w:pPr>
        <w:pStyle w:val="references"/>
      </w:pPr>
      <w:r>
        <w:t>“Diabetic foot infections: Practice essentials, background, pathophysiology,” Medscape, Apr. 2025. [Online]. Available: https://emedicine.medscape.com/article/237378-overview. [Accessed: 30-Jun-2025].</w:t>
      </w:r>
    </w:p>
    <w:p w14:paraId="465700AE" w14:textId="77777777" w:rsidR="00C12310" w:rsidRDefault="00C12310" w:rsidP="00C12310">
      <w:pPr>
        <w:pStyle w:val="references"/>
      </w:pPr>
      <w:r>
        <w:t>C. H. Ho, T. Sood, and P. M. Zito, “Androgenetic alopecia,” in StatPearls, Treasure Island, FL: StatPearls Publishing, 2025. [Online]. Available: https://www.ncbi.nlm.nih.gov/books/NBK430924/. [Accessed: 30-Jun-2025].</w:t>
      </w:r>
    </w:p>
    <w:p w14:paraId="12C1F7EB" w14:textId="77777777" w:rsidR="00C12310" w:rsidRDefault="00C12310" w:rsidP="00C12310">
      <w:pPr>
        <w:pStyle w:val="references"/>
      </w:pPr>
      <w:r>
        <w:t>“Ischemic ulcers - self-care,” MedlinePlus Medical Encyclopedia. [Online]. Available: https://medlineplus.gov/ency/patientinstructions/000742.htm. [Accessed: 30-Jun-2025].</w:t>
      </w:r>
    </w:p>
    <w:p w14:paraId="3650AAA5" w14:textId="77777777" w:rsidR="00C12310" w:rsidRDefault="00C12310" w:rsidP="00C12310">
      <w:pPr>
        <w:pStyle w:val="references"/>
      </w:pPr>
      <w:r>
        <w:t>R. R. Selvaraju, M. Cogswell, A. Das, R. Vedantam, D. Parikh, and D. Batra, “Grad-CAM: Visual explanations from deep networks via gradient-based localization,” in Proc. IEEE Int. Conf. Comput. Vis. (ICCV), Oct. 2017, pp. 618–626, doi: 10.1109/ICCV.2017.74.</w:t>
      </w:r>
    </w:p>
    <w:p w14:paraId="4FAF3F3A" w14:textId="77777777" w:rsidR="00C12310" w:rsidRDefault="00C12310" w:rsidP="00C12310">
      <w:pPr>
        <w:pStyle w:val="references"/>
      </w:pPr>
      <w:r>
        <w:t>V. Stimper, S. Bauer, R. Ernstorfer, B. Scholkopf, and R. P. Xian, “Multidimensional contrast limited adaptive histogram equalization,” IEEE Access, vol. 7, pp. 165437–165447, 2019, doi: 10.1109/ACCESS.2019.2952899.</w:t>
      </w:r>
    </w:p>
    <w:p w14:paraId="11197242" w14:textId="77777777" w:rsidR="00C12310" w:rsidRDefault="00C12310" w:rsidP="00C12310">
      <w:pPr>
        <w:pStyle w:val="references"/>
      </w:pPr>
      <w:r>
        <w:t>R. Ranftl, K. Lasinger, D. Hafner, K. Schindler, and V. Koltun, “Towards robust monocular depth estimation: Mixing datasets for zero-shot cross-dataset transfer,” IEEE Trans. Pattern Anal. Mach. Intell., vol. 44, no. 3, pp. 1623–1637, Mar. 2022, doi: 10.1109/TPAMI.2020.3019967.</w:t>
      </w:r>
    </w:p>
    <w:p w14:paraId="4A6E860E" w14:textId="6A6B5690" w:rsidR="00E25652" w:rsidRDefault="00E25652" w:rsidP="00E25652">
      <w:pPr>
        <w:pStyle w:val="references"/>
      </w:pPr>
      <w:r w:rsidRPr="00E25652">
        <w:t>J. Cao, Z. Chen, H. Cui, X. Ji, X. Wang, Y. Liang, and Y. Tian, “Improved wavelet prediction superresolution reconstruction based on U</w:t>
      </w:r>
      <w:r w:rsidRPr="00E25652">
        <w:noBreakHyphen/>
        <w:t xml:space="preserve">Net,” </w:t>
      </w:r>
      <w:r w:rsidRPr="00E25652">
        <w:rPr>
          <w:i/>
          <w:iCs/>
        </w:rPr>
        <w:t>IET Image Processing</w:t>
      </w:r>
      <w:r w:rsidRPr="00E25652">
        <w:t>, vol. 17, no. 12, pp. 3464–3476, 2023.</w:t>
      </w:r>
    </w:p>
    <w:p w14:paraId="12BBDB7A" w14:textId="77777777" w:rsidR="00C12310" w:rsidRDefault="00C12310" w:rsidP="00C12310">
      <w:pPr>
        <w:pStyle w:val="references"/>
      </w:pPr>
      <w:r>
        <w:t>J. M. Juszczyk et al., “Wound 3D geometrical feature estimation using Poisson reconstruction,” IEEE Access, vol. 9, pp. 7894–7907, 2021, doi: 10.1109/ACCESS.2020.3035125.</w:t>
      </w:r>
    </w:p>
    <w:p w14:paraId="4BDF94E9" w14:textId="77777777" w:rsidR="00C12310" w:rsidRDefault="00C12310" w:rsidP="00C12310">
      <w:pPr>
        <w:pStyle w:val="references"/>
      </w:pPr>
      <w:r>
        <w:t>Q.-Y. Zhou, J. Park, and V. Koltun, “Open3D: A modern library for 3D data processing,” arXiv preprint, arXiv:1801.09847, Jan. 2018, doi: 10.48550/arXiv.1801.09847.</w:t>
      </w:r>
    </w:p>
    <w:p w14:paraId="5B609452" w14:textId="77777777" w:rsidR="00C12310" w:rsidRDefault="00C12310" w:rsidP="00C12310">
      <w:pPr>
        <w:pStyle w:val="references"/>
      </w:pPr>
      <w:r>
        <w:t>J. L. Bentley, “Multidimensional binary search trees used for associative searching,” Commun. ACM, vol. 18, no. 9, pp. 509–517, Sep. 1975, doi: 10.1145/361002.361007.</w:t>
      </w:r>
    </w:p>
    <w:p w14:paraId="2326FA4A" w14:textId="77777777" w:rsidR="00C12310" w:rsidRDefault="00C12310" w:rsidP="00C12310">
      <w:pPr>
        <w:pStyle w:val="references"/>
      </w:pPr>
      <w:r>
        <w:t>M. Kazhdan and H. Hoppe, “Screened Poisson surface reconstruction,” ACM Trans. Graph., vol. 32, no. 3, pp. 1–13, Jun. 2013, doi: 10.1145/2487228.2487237.</w:t>
      </w:r>
    </w:p>
    <w:p w14:paraId="295C9CF6" w14:textId="77777777" w:rsidR="00C12310" w:rsidRDefault="00C12310" w:rsidP="00C12310">
      <w:pPr>
        <w:pStyle w:val="references"/>
      </w:pPr>
      <w:r>
        <w:t xml:space="preserve">R. V. Chadnov and A. V. Skvortsov, “Convex hull algorithms review,” in Proc. 8th Russian-Korean Int. Symp. Sci. Technol. (KORUS), </w:t>
      </w:r>
      <w:r>
        <w:lastRenderedPageBreak/>
        <w:t>Tamsk, Russia, 2004, pp. 112–115, doi: 10.1109/KORUS.2004.1555560.</w:t>
      </w:r>
    </w:p>
    <w:p w14:paraId="60FE460F" w14:textId="77777777" w:rsidR="00C12310" w:rsidRDefault="00C12310" w:rsidP="00C12310">
      <w:pPr>
        <w:pStyle w:val="references"/>
      </w:pPr>
      <w:r>
        <w:t>P. Isola, J.-Y. Zhu, T. Zhou, and A. A. Efros, “Image-to-image translation with conditional adversarial networks,” in Proc. IEEE Conf. Comput. Vis. Pattern Recognit. (CVPR), Jul. 2017, pp. 5967–5976, doi: 10.1109/CVPR.2017.632.</w:t>
      </w:r>
    </w:p>
    <w:p w14:paraId="15D28C3D" w14:textId="77777777" w:rsidR="00C12310" w:rsidRDefault="00C12310" w:rsidP="00C12310">
      <w:pPr>
        <w:pStyle w:val="references"/>
      </w:pPr>
      <w:r>
        <w:t>A. L. Christman, E. Selvin, D. J. Margolis, G. S. Lazarus, and L. A. Garza, “Hemoglobin A1c predicts healing rate in diabetic wounds,” J. Invest. Dermatol., vol. 131, no. 10, pp. 2121–2127, Oct. 2011, doi: 10.1038/jid.2011.176.</w:t>
      </w:r>
    </w:p>
    <w:p w14:paraId="495AAB05" w14:textId="77777777" w:rsidR="00C12310" w:rsidRDefault="00C12310" w:rsidP="00C12310">
      <w:pPr>
        <w:pStyle w:val="references"/>
      </w:pPr>
      <w:r>
        <w:t>X.-L. Fu, H. Ding, W.-W. Miao, and H.-L. Chen, “Association between cigarette smoking and diabetic foot healing: A systematic review and meta-analysis,” Int. J. Lower Extrem. Wounds, vol. 17, no. 4, pp. 247–257, Dec. 2018, doi: 10.1177/1534734618809583.</w:t>
      </w:r>
    </w:p>
    <w:p w14:paraId="365FB4C3" w14:textId="77777777" w:rsidR="00C12310" w:rsidRDefault="00C12310" w:rsidP="00C12310">
      <w:pPr>
        <w:pStyle w:val="references"/>
      </w:pPr>
      <w:r>
        <w:t>P. Ghaly, J. Iliopoulos, and M. Ahmad, “The role of nutrition in wound healing: An overview,” Br. J. Nurs., vol. 30, no. 5, pp. S38–S42, Mar. 2021, doi: 10.12968/bjon.2021.30.5.S38.</w:t>
      </w:r>
    </w:p>
    <w:p w14:paraId="10A65D6E" w14:textId="77777777" w:rsidR="00C12310" w:rsidRDefault="00C12310" w:rsidP="00C12310">
      <w:pPr>
        <w:pStyle w:val="references"/>
      </w:pPr>
      <w:r>
        <w:t>Y. Nishio, Y. Tsuji, I. Kitano, and H. Terashi, “Influence of peripheral arterial disease on wound healing in heel pressure ulcers,” Kobe J. Med. Sci., vol. 67, no. 4, pp. E146–E154, Feb. 2022. [Online]. Available: https://www.ncbi.nlm.nih.gov/pmc/articles/PMC9677582/. [Accessed: 30-Jun-2025].</w:t>
      </w:r>
    </w:p>
    <w:p w14:paraId="595B0E77" w14:textId="77777777" w:rsidR="00C12310" w:rsidRDefault="00C12310" w:rsidP="00C12310">
      <w:pPr>
        <w:pStyle w:val="references"/>
      </w:pPr>
      <w:r>
        <w:t>S. Mahna, “DFUC - EfficientNet,” Kaggle, 2023. [Online]. Available: https://www.kaggle.com/code/sakshaymahna/dfuc-efficientnet/output. [Accessed: 26-Jun-2025].</w:t>
      </w:r>
    </w:p>
    <w:p w14:paraId="1546CC57" w14:textId="77777777" w:rsidR="00C12310" w:rsidRDefault="00C12310" w:rsidP="00C12310">
      <w:pPr>
        <w:pStyle w:val="references"/>
      </w:pPr>
      <w:r>
        <w:t>P. Mohan, “DFU Wagner's classification,” Kaggle Datasets, 2023. [Online]. Available: https://www.kaggle.com/datasets/purushomohan/dfu-wagners-classification. [Accessed: 26-Jun-2025].</w:t>
      </w:r>
    </w:p>
    <w:p w14:paraId="5819E8AA" w14:textId="77777777" w:rsidR="00C12310" w:rsidRDefault="00C12310" w:rsidP="00C12310">
      <w:pPr>
        <w:pStyle w:val="references"/>
      </w:pPr>
      <w:r>
        <w:t>N. Kaggle, “Automated wound segmentation using U-Net,” Kaggle, 2023. [Online]. Available: https://www.kaggle.com/code/nadeemkaggle123/automated-wound-segmentation-using-u-net/input. [Accessed: 26-Jun-2025].</w:t>
      </w:r>
    </w:p>
    <w:p w14:paraId="74FFB166" w14:textId="77777777" w:rsidR="00C12310" w:rsidRDefault="00C12310" w:rsidP="00C12310">
      <w:pPr>
        <w:pStyle w:val="references"/>
      </w:pPr>
      <w:r>
        <w:t>A. Fooz, “Diabetic foot ulcer detection using PyTorch,” Kaggle, 2023. [Online]. Available: https://www.kaggle.com/code/aqsamehfooz/diabetic-foot-ulcer-detection-using-pytorch. [Accessed: 26-Jun-2025].</w:t>
      </w:r>
    </w:p>
    <w:p w14:paraId="4AAA2528" w14:textId="77777777" w:rsidR="00C12310" w:rsidRDefault="00C12310" w:rsidP="00C12310">
      <w:pPr>
        <w:pStyle w:val="references"/>
      </w:pPr>
      <w:r>
        <w:t>A. Fooz, “GradCAM DFUC2021,” Kaggle, 2023. [Online]. Available: https://www.kaggle.com/code/aqsamehfooz/gradcam-dfuc2021. [Accessed: 26-Jun-2025].</w:t>
      </w:r>
    </w:p>
    <w:p w14:paraId="4E34221D" w14:textId="3C55BA9C" w:rsidR="00AE3A9E" w:rsidRDefault="00AE3A9E" w:rsidP="00AE3A9E">
      <w:pPr>
        <w:pStyle w:val="references"/>
      </w:pPr>
      <w:r w:rsidRPr="00AE3A9E">
        <w:t>A. T. Abu</w:t>
      </w:r>
      <w:r w:rsidRPr="00AE3A9E">
        <w:noBreakHyphen/>
        <w:t xml:space="preserve">Jassar, H. Attar, A. Amer, V. Lyashenko, V. Yevsieiev, and </w:t>
      </w:r>
      <w:r w:rsidRPr="00AE3A9E">
        <w:rPr>
          <w:b/>
          <w:bCs/>
        </w:rPr>
        <w:t>A. Solyman</w:t>
      </w:r>
      <w:r w:rsidRPr="00AE3A9E">
        <w:t xml:space="preserve">, “Remote Monitoring System of Patient Status in Social IoT Environments Using Amazon Web Services (AWS) Technologies and Smart Health Care,” </w:t>
      </w:r>
      <w:r w:rsidRPr="00AE3A9E">
        <w:rPr>
          <w:i/>
          <w:iCs/>
        </w:rPr>
        <w:t>International Journal of Crowd Science</w:t>
      </w:r>
      <w:r w:rsidRPr="00AE3A9E">
        <w:t xml:space="preserve">, vol. 8, 2024. </w:t>
      </w:r>
    </w:p>
    <w:p w14:paraId="5B5152E0" w14:textId="359FB331" w:rsidR="009303D9" w:rsidRDefault="00C12310" w:rsidP="00C12310">
      <w:pPr>
        <w:pStyle w:val="references"/>
      </w:pPr>
      <w:r>
        <w:t>F. Milletari, N. Navab, and S. Ahmadi, “V-Net: Fully convolutional neural networks for volumetric medical image segmentation,” in Proc. 4th Int. Conf. 3D Vis. (3DV), 2016, pp. 565–571, doi: 10.1109/3DV.2016.79.</w:t>
      </w:r>
    </w:p>
    <w:sectPr w:rsidR="009303D9" w:rsidSect="008B5031">
      <w:type w:val="continuous"/>
      <w:pgSz w:w="11906" w:h="16838" w:code="9"/>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9976A" w14:textId="77777777" w:rsidR="00E14894" w:rsidRDefault="00E14894" w:rsidP="001A3B3D">
      <w:r>
        <w:separator/>
      </w:r>
    </w:p>
  </w:endnote>
  <w:endnote w:type="continuationSeparator" w:id="0">
    <w:p w14:paraId="23E9626A" w14:textId="77777777" w:rsidR="00E14894" w:rsidRDefault="00E14894"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46E70" w14:textId="77777777"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726D4" w14:textId="77777777" w:rsidR="00E14894" w:rsidRDefault="00E14894" w:rsidP="001A3B3D">
      <w:r>
        <w:separator/>
      </w:r>
    </w:p>
  </w:footnote>
  <w:footnote w:type="continuationSeparator" w:id="0">
    <w:p w14:paraId="68B31A33" w14:textId="77777777" w:rsidR="00E14894" w:rsidRDefault="00E14894" w:rsidP="001A3B3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8DE772C"/>
    <w:lvl w:ilvl="0" w:tplc="461E39B8">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0E1A5B24"/>
    <w:lvl w:ilvl="0" w:tplc="E4D0A66A">
      <w:start w:val="1"/>
      <w:numFmt w:val="decimal"/>
      <w:pStyle w:val="figurecaption"/>
      <w:lvlText w:val="Fig. %1."/>
      <w:lvlJc w:val="left"/>
      <w:pPr>
        <w:ind w:left="3621" w:hanging="360"/>
      </w:pPr>
    </w:lvl>
    <w:lvl w:ilvl="1" w:tplc="04090019">
      <w:start w:val="1"/>
      <w:numFmt w:val="lowerLetter"/>
      <w:lvlText w:val="%2."/>
      <w:lvlJc w:val="left"/>
      <w:pPr>
        <w:tabs>
          <w:tab w:val="num" w:pos="3992"/>
        </w:tabs>
        <w:ind w:left="3992" w:hanging="360"/>
      </w:pPr>
      <w:rPr>
        <w:rFonts w:cs="Times New Roman"/>
      </w:rPr>
    </w:lvl>
    <w:lvl w:ilvl="2" w:tplc="0409001B">
      <w:start w:val="1"/>
      <w:numFmt w:val="lowerRoman"/>
      <w:lvlText w:val="%3."/>
      <w:lvlJc w:val="right"/>
      <w:pPr>
        <w:tabs>
          <w:tab w:val="num" w:pos="4712"/>
        </w:tabs>
        <w:ind w:left="4712" w:hanging="180"/>
      </w:pPr>
      <w:rPr>
        <w:rFonts w:cs="Times New Roman"/>
      </w:rPr>
    </w:lvl>
    <w:lvl w:ilvl="3" w:tplc="0409000F">
      <w:start w:val="1"/>
      <w:numFmt w:val="decimal"/>
      <w:lvlText w:val="%4."/>
      <w:lvlJc w:val="left"/>
      <w:pPr>
        <w:tabs>
          <w:tab w:val="num" w:pos="5432"/>
        </w:tabs>
        <w:ind w:left="5432" w:hanging="360"/>
      </w:pPr>
      <w:rPr>
        <w:rFonts w:cs="Times New Roman"/>
      </w:rPr>
    </w:lvl>
    <w:lvl w:ilvl="4" w:tplc="04090019">
      <w:start w:val="1"/>
      <w:numFmt w:val="lowerLetter"/>
      <w:lvlText w:val="%5."/>
      <w:lvlJc w:val="left"/>
      <w:pPr>
        <w:tabs>
          <w:tab w:val="num" w:pos="6152"/>
        </w:tabs>
        <w:ind w:left="6152" w:hanging="360"/>
      </w:pPr>
      <w:rPr>
        <w:rFonts w:cs="Times New Roman"/>
      </w:rPr>
    </w:lvl>
    <w:lvl w:ilvl="5" w:tplc="0409001B">
      <w:start w:val="1"/>
      <w:numFmt w:val="lowerRoman"/>
      <w:lvlText w:val="%6."/>
      <w:lvlJc w:val="right"/>
      <w:pPr>
        <w:tabs>
          <w:tab w:val="num" w:pos="6872"/>
        </w:tabs>
        <w:ind w:left="6872" w:hanging="180"/>
      </w:pPr>
      <w:rPr>
        <w:rFonts w:cs="Times New Roman"/>
      </w:rPr>
    </w:lvl>
    <w:lvl w:ilvl="6" w:tplc="0409000F">
      <w:start w:val="1"/>
      <w:numFmt w:val="decimal"/>
      <w:lvlText w:val="%7."/>
      <w:lvlJc w:val="left"/>
      <w:pPr>
        <w:tabs>
          <w:tab w:val="num" w:pos="7592"/>
        </w:tabs>
        <w:ind w:left="7592" w:hanging="360"/>
      </w:pPr>
      <w:rPr>
        <w:rFonts w:cs="Times New Roman"/>
      </w:rPr>
    </w:lvl>
    <w:lvl w:ilvl="7" w:tplc="04090019">
      <w:start w:val="1"/>
      <w:numFmt w:val="lowerLetter"/>
      <w:lvlText w:val="%8."/>
      <w:lvlJc w:val="left"/>
      <w:pPr>
        <w:tabs>
          <w:tab w:val="num" w:pos="8312"/>
        </w:tabs>
        <w:ind w:left="8312" w:hanging="360"/>
      </w:pPr>
      <w:rPr>
        <w:rFonts w:cs="Times New Roman"/>
      </w:rPr>
    </w:lvl>
    <w:lvl w:ilvl="8" w:tplc="0409001B">
      <w:start w:val="1"/>
      <w:numFmt w:val="lowerRoman"/>
      <w:lvlText w:val="%9."/>
      <w:lvlJc w:val="right"/>
      <w:pPr>
        <w:tabs>
          <w:tab w:val="num" w:pos="9032"/>
        </w:tabs>
        <w:ind w:left="9032"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6"/>
    <w:lvlOverride w:ilvl="0">
      <w:startOverride w:val="1"/>
    </w:lvlOverride>
    <w:lvlOverride w:ilvl="1">
      <w:startOverride w:val="5"/>
    </w:lvlOverride>
  </w:num>
  <w:num w:numId="26">
    <w:abstractNumId w:val="16"/>
  </w:num>
  <w:num w:numId="27">
    <w:abstractNumId w:val="16"/>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6"/>
  </w:num>
  <w:num w:numId="31">
    <w:abstractNumId w:val="16"/>
  </w:num>
  <w:num w:numId="32">
    <w:abstractNumId w:val="16"/>
  </w:num>
  <w:num w:numId="33">
    <w:abstractNumId w:val="16"/>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05745"/>
    <w:rsid w:val="0001321B"/>
    <w:rsid w:val="00014B69"/>
    <w:rsid w:val="00020C53"/>
    <w:rsid w:val="00023C02"/>
    <w:rsid w:val="00030C52"/>
    <w:rsid w:val="0004781E"/>
    <w:rsid w:val="000575EC"/>
    <w:rsid w:val="00061F4F"/>
    <w:rsid w:val="00067EEC"/>
    <w:rsid w:val="0007310A"/>
    <w:rsid w:val="000771FA"/>
    <w:rsid w:val="00086190"/>
    <w:rsid w:val="0008758A"/>
    <w:rsid w:val="000A79B8"/>
    <w:rsid w:val="000B07ED"/>
    <w:rsid w:val="000C1E68"/>
    <w:rsid w:val="000D0343"/>
    <w:rsid w:val="000D1843"/>
    <w:rsid w:val="000D1AD2"/>
    <w:rsid w:val="000D4998"/>
    <w:rsid w:val="000E1DAC"/>
    <w:rsid w:val="00103B17"/>
    <w:rsid w:val="0014260B"/>
    <w:rsid w:val="001470C8"/>
    <w:rsid w:val="00147190"/>
    <w:rsid w:val="0015648C"/>
    <w:rsid w:val="00156504"/>
    <w:rsid w:val="00165B91"/>
    <w:rsid w:val="001743B1"/>
    <w:rsid w:val="0017717B"/>
    <w:rsid w:val="00197C58"/>
    <w:rsid w:val="001A2EFD"/>
    <w:rsid w:val="001A3B3D"/>
    <w:rsid w:val="001B67DC"/>
    <w:rsid w:val="001C33BE"/>
    <w:rsid w:val="001D0C53"/>
    <w:rsid w:val="001D1C70"/>
    <w:rsid w:val="001E1157"/>
    <w:rsid w:val="001F4D51"/>
    <w:rsid w:val="00200D03"/>
    <w:rsid w:val="002232DB"/>
    <w:rsid w:val="00223A36"/>
    <w:rsid w:val="00224C8A"/>
    <w:rsid w:val="002254A9"/>
    <w:rsid w:val="00233D97"/>
    <w:rsid w:val="0023453F"/>
    <w:rsid w:val="002347A2"/>
    <w:rsid w:val="002364F4"/>
    <w:rsid w:val="0024658C"/>
    <w:rsid w:val="00246BAB"/>
    <w:rsid w:val="002638B3"/>
    <w:rsid w:val="00265E33"/>
    <w:rsid w:val="00271941"/>
    <w:rsid w:val="00273D2B"/>
    <w:rsid w:val="0028393C"/>
    <w:rsid w:val="002850E3"/>
    <w:rsid w:val="00293632"/>
    <w:rsid w:val="002A0305"/>
    <w:rsid w:val="002A1C08"/>
    <w:rsid w:val="002A440E"/>
    <w:rsid w:val="002A491D"/>
    <w:rsid w:val="002A757B"/>
    <w:rsid w:val="002D22EF"/>
    <w:rsid w:val="00337019"/>
    <w:rsid w:val="003375BA"/>
    <w:rsid w:val="00346599"/>
    <w:rsid w:val="00352B19"/>
    <w:rsid w:val="00354FCF"/>
    <w:rsid w:val="00360C2D"/>
    <w:rsid w:val="003620F0"/>
    <w:rsid w:val="00370801"/>
    <w:rsid w:val="0037612E"/>
    <w:rsid w:val="0037652C"/>
    <w:rsid w:val="003A045D"/>
    <w:rsid w:val="003A19E2"/>
    <w:rsid w:val="003B2B40"/>
    <w:rsid w:val="003B4E04"/>
    <w:rsid w:val="003B73DA"/>
    <w:rsid w:val="003C0BC7"/>
    <w:rsid w:val="003C2CF7"/>
    <w:rsid w:val="003F4FCD"/>
    <w:rsid w:val="003F5A08"/>
    <w:rsid w:val="00405E1A"/>
    <w:rsid w:val="00406144"/>
    <w:rsid w:val="00420716"/>
    <w:rsid w:val="004222FC"/>
    <w:rsid w:val="004325FB"/>
    <w:rsid w:val="0043275A"/>
    <w:rsid w:val="004409C9"/>
    <w:rsid w:val="004432BA"/>
    <w:rsid w:val="004436AE"/>
    <w:rsid w:val="0044407E"/>
    <w:rsid w:val="00447BB9"/>
    <w:rsid w:val="0046031D"/>
    <w:rsid w:val="00462339"/>
    <w:rsid w:val="00467B51"/>
    <w:rsid w:val="00472C3B"/>
    <w:rsid w:val="00473AC9"/>
    <w:rsid w:val="00486550"/>
    <w:rsid w:val="004A77A3"/>
    <w:rsid w:val="004B1915"/>
    <w:rsid w:val="004B57F7"/>
    <w:rsid w:val="004B59E6"/>
    <w:rsid w:val="004C70D5"/>
    <w:rsid w:val="004D0C64"/>
    <w:rsid w:val="004D72B5"/>
    <w:rsid w:val="004E4012"/>
    <w:rsid w:val="004F46D7"/>
    <w:rsid w:val="00503130"/>
    <w:rsid w:val="00503440"/>
    <w:rsid w:val="00505464"/>
    <w:rsid w:val="0053523B"/>
    <w:rsid w:val="0054270C"/>
    <w:rsid w:val="00545825"/>
    <w:rsid w:val="00551B7F"/>
    <w:rsid w:val="00557139"/>
    <w:rsid w:val="0056610F"/>
    <w:rsid w:val="00572BB6"/>
    <w:rsid w:val="00575BCA"/>
    <w:rsid w:val="0059635C"/>
    <w:rsid w:val="00596D80"/>
    <w:rsid w:val="005B0344"/>
    <w:rsid w:val="005B2832"/>
    <w:rsid w:val="005B520E"/>
    <w:rsid w:val="005D698D"/>
    <w:rsid w:val="005E0064"/>
    <w:rsid w:val="005E2800"/>
    <w:rsid w:val="005E2DC8"/>
    <w:rsid w:val="005E3263"/>
    <w:rsid w:val="005F38BD"/>
    <w:rsid w:val="00605825"/>
    <w:rsid w:val="00613691"/>
    <w:rsid w:val="00614B25"/>
    <w:rsid w:val="0062608D"/>
    <w:rsid w:val="00636810"/>
    <w:rsid w:val="00643557"/>
    <w:rsid w:val="006447EB"/>
    <w:rsid w:val="00645D22"/>
    <w:rsid w:val="00651A08"/>
    <w:rsid w:val="00653021"/>
    <w:rsid w:val="00654204"/>
    <w:rsid w:val="00670434"/>
    <w:rsid w:val="006729A8"/>
    <w:rsid w:val="00674971"/>
    <w:rsid w:val="00693677"/>
    <w:rsid w:val="0069439E"/>
    <w:rsid w:val="006A738D"/>
    <w:rsid w:val="006B4011"/>
    <w:rsid w:val="006B453E"/>
    <w:rsid w:val="006B6B66"/>
    <w:rsid w:val="006B70E9"/>
    <w:rsid w:val="006C2E3D"/>
    <w:rsid w:val="006C51C5"/>
    <w:rsid w:val="006E754E"/>
    <w:rsid w:val="006F6D3D"/>
    <w:rsid w:val="0070190F"/>
    <w:rsid w:val="00715BEA"/>
    <w:rsid w:val="00717C52"/>
    <w:rsid w:val="00735698"/>
    <w:rsid w:val="00740EEA"/>
    <w:rsid w:val="0074484E"/>
    <w:rsid w:val="0075021C"/>
    <w:rsid w:val="0075764D"/>
    <w:rsid w:val="00772AE5"/>
    <w:rsid w:val="00783AA1"/>
    <w:rsid w:val="0078588D"/>
    <w:rsid w:val="00794804"/>
    <w:rsid w:val="007B1F23"/>
    <w:rsid w:val="007B33F1"/>
    <w:rsid w:val="007B6DDA"/>
    <w:rsid w:val="007C0308"/>
    <w:rsid w:val="007C0CD8"/>
    <w:rsid w:val="007C21E0"/>
    <w:rsid w:val="007C2FF2"/>
    <w:rsid w:val="007C7B65"/>
    <w:rsid w:val="007D6232"/>
    <w:rsid w:val="007E766D"/>
    <w:rsid w:val="007F1F99"/>
    <w:rsid w:val="007F768F"/>
    <w:rsid w:val="0080314B"/>
    <w:rsid w:val="00804E1A"/>
    <w:rsid w:val="00804E65"/>
    <w:rsid w:val="0080791D"/>
    <w:rsid w:val="0081139E"/>
    <w:rsid w:val="00813F2F"/>
    <w:rsid w:val="0082728D"/>
    <w:rsid w:val="00836367"/>
    <w:rsid w:val="00843AC9"/>
    <w:rsid w:val="00852EEC"/>
    <w:rsid w:val="008601E2"/>
    <w:rsid w:val="00873603"/>
    <w:rsid w:val="0087537F"/>
    <w:rsid w:val="00887ACA"/>
    <w:rsid w:val="008A2C7D"/>
    <w:rsid w:val="008A6095"/>
    <w:rsid w:val="008A6570"/>
    <w:rsid w:val="008B340C"/>
    <w:rsid w:val="008B5031"/>
    <w:rsid w:val="008B6524"/>
    <w:rsid w:val="008C4B23"/>
    <w:rsid w:val="008D035E"/>
    <w:rsid w:val="008D1C17"/>
    <w:rsid w:val="008E3E7B"/>
    <w:rsid w:val="008F2127"/>
    <w:rsid w:val="008F4428"/>
    <w:rsid w:val="008F5BDE"/>
    <w:rsid w:val="008F6E2C"/>
    <w:rsid w:val="00902636"/>
    <w:rsid w:val="009034B1"/>
    <w:rsid w:val="009036B4"/>
    <w:rsid w:val="009173CD"/>
    <w:rsid w:val="009303D9"/>
    <w:rsid w:val="009309B5"/>
    <w:rsid w:val="00933C64"/>
    <w:rsid w:val="00936DDD"/>
    <w:rsid w:val="00964F74"/>
    <w:rsid w:val="00972203"/>
    <w:rsid w:val="00977AE1"/>
    <w:rsid w:val="0098020A"/>
    <w:rsid w:val="00982953"/>
    <w:rsid w:val="00983D14"/>
    <w:rsid w:val="00986350"/>
    <w:rsid w:val="009A68EB"/>
    <w:rsid w:val="009C11F6"/>
    <w:rsid w:val="009C2330"/>
    <w:rsid w:val="009C32B7"/>
    <w:rsid w:val="009C7053"/>
    <w:rsid w:val="009C7F23"/>
    <w:rsid w:val="009E09D3"/>
    <w:rsid w:val="009E58E4"/>
    <w:rsid w:val="009E6DA3"/>
    <w:rsid w:val="009F1D79"/>
    <w:rsid w:val="009F265C"/>
    <w:rsid w:val="009F582C"/>
    <w:rsid w:val="00A02A0D"/>
    <w:rsid w:val="00A059B3"/>
    <w:rsid w:val="00A16C03"/>
    <w:rsid w:val="00A20124"/>
    <w:rsid w:val="00A2198E"/>
    <w:rsid w:val="00A325EC"/>
    <w:rsid w:val="00A33E6E"/>
    <w:rsid w:val="00A45E54"/>
    <w:rsid w:val="00A46BEE"/>
    <w:rsid w:val="00A52AB2"/>
    <w:rsid w:val="00A54194"/>
    <w:rsid w:val="00A54B4E"/>
    <w:rsid w:val="00A56411"/>
    <w:rsid w:val="00A631DD"/>
    <w:rsid w:val="00A65418"/>
    <w:rsid w:val="00A72932"/>
    <w:rsid w:val="00A81DB7"/>
    <w:rsid w:val="00A83051"/>
    <w:rsid w:val="00AE1A55"/>
    <w:rsid w:val="00AE3409"/>
    <w:rsid w:val="00AE3A9E"/>
    <w:rsid w:val="00AE742F"/>
    <w:rsid w:val="00B01BAD"/>
    <w:rsid w:val="00B01EAF"/>
    <w:rsid w:val="00B11A60"/>
    <w:rsid w:val="00B22613"/>
    <w:rsid w:val="00B301B3"/>
    <w:rsid w:val="00B37C54"/>
    <w:rsid w:val="00B41DE6"/>
    <w:rsid w:val="00B42A1F"/>
    <w:rsid w:val="00B43732"/>
    <w:rsid w:val="00B44445"/>
    <w:rsid w:val="00B44A76"/>
    <w:rsid w:val="00B46682"/>
    <w:rsid w:val="00B623CD"/>
    <w:rsid w:val="00B768D1"/>
    <w:rsid w:val="00B8235D"/>
    <w:rsid w:val="00B914E8"/>
    <w:rsid w:val="00B9308D"/>
    <w:rsid w:val="00BA1025"/>
    <w:rsid w:val="00BC3420"/>
    <w:rsid w:val="00BC3FB7"/>
    <w:rsid w:val="00BD2AA3"/>
    <w:rsid w:val="00BD670B"/>
    <w:rsid w:val="00BE7D3C"/>
    <w:rsid w:val="00BF5F2E"/>
    <w:rsid w:val="00BF5FF6"/>
    <w:rsid w:val="00C0207F"/>
    <w:rsid w:val="00C03385"/>
    <w:rsid w:val="00C112A3"/>
    <w:rsid w:val="00C1225F"/>
    <w:rsid w:val="00C12310"/>
    <w:rsid w:val="00C16117"/>
    <w:rsid w:val="00C16800"/>
    <w:rsid w:val="00C3075A"/>
    <w:rsid w:val="00C30E3E"/>
    <w:rsid w:val="00C32E18"/>
    <w:rsid w:val="00C337B8"/>
    <w:rsid w:val="00C4558D"/>
    <w:rsid w:val="00C53A0B"/>
    <w:rsid w:val="00C6500A"/>
    <w:rsid w:val="00C6600F"/>
    <w:rsid w:val="00C661FA"/>
    <w:rsid w:val="00C807AA"/>
    <w:rsid w:val="00C8674C"/>
    <w:rsid w:val="00C9177B"/>
    <w:rsid w:val="00C919A4"/>
    <w:rsid w:val="00C97CF3"/>
    <w:rsid w:val="00CA13BD"/>
    <w:rsid w:val="00CA4392"/>
    <w:rsid w:val="00CA466E"/>
    <w:rsid w:val="00CA6D49"/>
    <w:rsid w:val="00CC005C"/>
    <w:rsid w:val="00CC0AE0"/>
    <w:rsid w:val="00CC1690"/>
    <w:rsid w:val="00CC25A6"/>
    <w:rsid w:val="00CC393F"/>
    <w:rsid w:val="00CC6B45"/>
    <w:rsid w:val="00CE70FF"/>
    <w:rsid w:val="00D00B0D"/>
    <w:rsid w:val="00D05717"/>
    <w:rsid w:val="00D2176E"/>
    <w:rsid w:val="00D36B2E"/>
    <w:rsid w:val="00D37C44"/>
    <w:rsid w:val="00D4351D"/>
    <w:rsid w:val="00D44710"/>
    <w:rsid w:val="00D52799"/>
    <w:rsid w:val="00D53A5F"/>
    <w:rsid w:val="00D632BE"/>
    <w:rsid w:val="00D67367"/>
    <w:rsid w:val="00D72ACD"/>
    <w:rsid w:val="00D72D06"/>
    <w:rsid w:val="00D7522C"/>
    <w:rsid w:val="00D7536F"/>
    <w:rsid w:val="00D76668"/>
    <w:rsid w:val="00D845E3"/>
    <w:rsid w:val="00D94DDA"/>
    <w:rsid w:val="00DA20E9"/>
    <w:rsid w:val="00DC7885"/>
    <w:rsid w:val="00DD7B51"/>
    <w:rsid w:val="00DF09A3"/>
    <w:rsid w:val="00DF26CD"/>
    <w:rsid w:val="00E07383"/>
    <w:rsid w:val="00E14894"/>
    <w:rsid w:val="00E165BC"/>
    <w:rsid w:val="00E200C4"/>
    <w:rsid w:val="00E2468B"/>
    <w:rsid w:val="00E25652"/>
    <w:rsid w:val="00E30A88"/>
    <w:rsid w:val="00E30F01"/>
    <w:rsid w:val="00E32184"/>
    <w:rsid w:val="00E37F30"/>
    <w:rsid w:val="00E437D9"/>
    <w:rsid w:val="00E54D30"/>
    <w:rsid w:val="00E60E42"/>
    <w:rsid w:val="00E61E12"/>
    <w:rsid w:val="00E64484"/>
    <w:rsid w:val="00E673CC"/>
    <w:rsid w:val="00E7596C"/>
    <w:rsid w:val="00E80076"/>
    <w:rsid w:val="00E86399"/>
    <w:rsid w:val="00E878F2"/>
    <w:rsid w:val="00EA6D46"/>
    <w:rsid w:val="00EB05B1"/>
    <w:rsid w:val="00EB1BB6"/>
    <w:rsid w:val="00ED0149"/>
    <w:rsid w:val="00EE0036"/>
    <w:rsid w:val="00EF7DE3"/>
    <w:rsid w:val="00F03103"/>
    <w:rsid w:val="00F143C5"/>
    <w:rsid w:val="00F14533"/>
    <w:rsid w:val="00F271DE"/>
    <w:rsid w:val="00F44D36"/>
    <w:rsid w:val="00F45B21"/>
    <w:rsid w:val="00F6073D"/>
    <w:rsid w:val="00F627DA"/>
    <w:rsid w:val="00F6512C"/>
    <w:rsid w:val="00F7288F"/>
    <w:rsid w:val="00F82A95"/>
    <w:rsid w:val="00F8305F"/>
    <w:rsid w:val="00F847A6"/>
    <w:rsid w:val="00F859BB"/>
    <w:rsid w:val="00F9441B"/>
    <w:rsid w:val="00F9665B"/>
    <w:rsid w:val="00F96ECF"/>
    <w:rsid w:val="00FA4C32"/>
    <w:rsid w:val="00FA6FC1"/>
    <w:rsid w:val="00FB78E3"/>
    <w:rsid w:val="00FC11DC"/>
    <w:rsid w:val="00FC23BB"/>
    <w:rsid w:val="00FC798A"/>
    <w:rsid w:val="00FD7884"/>
    <w:rsid w:val="00FE71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3CA97A"/>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B0D"/>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link w:val="Heading2Char"/>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qFormat/>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Heading5"/>
    <w:link w:val="HeaderChar"/>
    <w:rsid w:val="001A3B3D"/>
    <w:pPr>
      <w:tabs>
        <w:tab w:val="center" w:pos="4680"/>
        <w:tab w:val="right" w:pos="9360"/>
      </w:tabs>
    </w:pPr>
  </w:style>
  <w:style w:type="character" w:customStyle="1" w:styleId="HeaderChar">
    <w:name w:val="Header Char"/>
    <w:basedOn w:val="DefaultParagraphFont"/>
    <w:link w:val="Header"/>
    <w:rsid w:val="00067EEC"/>
    <w:rPr>
      <w:smallCaps/>
      <w:noProof/>
    </w:rPr>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NormalWeb">
    <w:name w:val="Normal (Web)"/>
    <w:basedOn w:val="Normal"/>
    <w:uiPriority w:val="99"/>
    <w:unhideWhenUsed/>
    <w:rsid w:val="00B42A1F"/>
    <w:pPr>
      <w:spacing w:before="100" w:beforeAutospacing="1" w:after="100" w:afterAutospacing="1"/>
      <w:jc w:val="left"/>
    </w:pPr>
    <w:rPr>
      <w:rFonts w:eastAsia="Times New Roman"/>
      <w:sz w:val="24"/>
      <w:szCs w:val="24"/>
    </w:rPr>
  </w:style>
  <w:style w:type="paragraph" w:styleId="Caption">
    <w:name w:val="caption"/>
    <w:basedOn w:val="figurecaption"/>
    <w:next w:val="Normal"/>
    <w:unhideWhenUsed/>
    <w:qFormat/>
    <w:rsid w:val="007E766D"/>
    <w:rPr>
      <w:i/>
      <w:iCs/>
      <w:color w:val="44546A" w:themeColor="text2"/>
      <w:sz w:val="18"/>
      <w:szCs w:val="18"/>
    </w:rPr>
  </w:style>
  <w:style w:type="paragraph" w:customStyle="1" w:styleId="Style1">
    <w:name w:val="Style1"/>
    <w:basedOn w:val="BodyText"/>
    <w:qFormat/>
    <w:rsid w:val="00B37C54"/>
    <w:pPr>
      <w:jc w:val="left"/>
    </w:pPr>
  </w:style>
  <w:style w:type="table" w:styleId="TableGrid">
    <w:name w:val="Table Grid"/>
    <w:basedOn w:val="TableNormal"/>
    <w:rsid w:val="00785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E60E4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60E4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E60E4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qFormat/>
    <w:rsid w:val="00572BB6"/>
  </w:style>
  <w:style w:type="table" w:customStyle="1" w:styleId="Style3">
    <w:name w:val="Style3"/>
    <w:basedOn w:val="TableNormal"/>
    <w:uiPriority w:val="99"/>
    <w:rsid w:val="00572BB6"/>
    <w:tblPr/>
  </w:style>
  <w:style w:type="table" w:styleId="TableGridLight">
    <w:name w:val="Grid Table Light"/>
    <w:basedOn w:val="TableNormal"/>
    <w:uiPriority w:val="40"/>
    <w:rsid w:val="00030C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30C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30C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rsid w:val="006C2E3D"/>
    <w:rPr>
      <w:color w:val="0563C1" w:themeColor="hyperlink"/>
      <w:u w:val="single"/>
    </w:rPr>
  </w:style>
  <w:style w:type="character" w:customStyle="1" w:styleId="UnresolvedMention">
    <w:name w:val="Unresolved Mention"/>
    <w:basedOn w:val="DefaultParagraphFont"/>
    <w:uiPriority w:val="99"/>
    <w:semiHidden/>
    <w:unhideWhenUsed/>
    <w:rsid w:val="006C2E3D"/>
    <w:rPr>
      <w:color w:val="605E5C"/>
      <w:shd w:val="clear" w:color="auto" w:fill="E1DFDD"/>
    </w:rPr>
  </w:style>
  <w:style w:type="character" w:styleId="PlaceholderText">
    <w:name w:val="Placeholder Text"/>
    <w:basedOn w:val="DefaultParagraphFont"/>
    <w:uiPriority w:val="99"/>
    <w:semiHidden/>
    <w:rsid w:val="006447EB"/>
    <w:rPr>
      <w:color w:val="666666"/>
    </w:rPr>
  </w:style>
  <w:style w:type="character" w:customStyle="1" w:styleId="Heading2Char">
    <w:name w:val="Heading 2 Char"/>
    <w:basedOn w:val="DefaultParagraphFont"/>
    <w:link w:val="Heading2"/>
    <w:rsid w:val="002A0305"/>
    <w:rPr>
      <w:i/>
      <w:i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3478">
      <w:bodyDiv w:val="1"/>
      <w:marLeft w:val="0"/>
      <w:marRight w:val="0"/>
      <w:marTop w:val="0"/>
      <w:marBottom w:val="0"/>
      <w:divBdr>
        <w:top w:val="none" w:sz="0" w:space="0" w:color="auto"/>
        <w:left w:val="none" w:sz="0" w:space="0" w:color="auto"/>
        <w:bottom w:val="none" w:sz="0" w:space="0" w:color="auto"/>
        <w:right w:val="none" w:sz="0" w:space="0" w:color="auto"/>
      </w:divBdr>
      <w:divsChild>
        <w:div w:id="540093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9542134">
      <w:bodyDiv w:val="1"/>
      <w:marLeft w:val="0"/>
      <w:marRight w:val="0"/>
      <w:marTop w:val="0"/>
      <w:marBottom w:val="0"/>
      <w:divBdr>
        <w:top w:val="none" w:sz="0" w:space="0" w:color="auto"/>
        <w:left w:val="none" w:sz="0" w:space="0" w:color="auto"/>
        <w:bottom w:val="none" w:sz="0" w:space="0" w:color="auto"/>
        <w:right w:val="none" w:sz="0" w:space="0" w:color="auto"/>
      </w:divBdr>
      <w:divsChild>
        <w:div w:id="1169172083">
          <w:marLeft w:val="0"/>
          <w:marRight w:val="0"/>
          <w:marTop w:val="0"/>
          <w:marBottom w:val="0"/>
          <w:divBdr>
            <w:top w:val="none" w:sz="0" w:space="0" w:color="auto"/>
            <w:left w:val="none" w:sz="0" w:space="0" w:color="auto"/>
            <w:bottom w:val="none" w:sz="0" w:space="0" w:color="auto"/>
            <w:right w:val="none" w:sz="0" w:space="0" w:color="auto"/>
          </w:divBdr>
          <w:divsChild>
            <w:div w:id="15877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6641">
      <w:bodyDiv w:val="1"/>
      <w:marLeft w:val="0"/>
      <w:marRight w:val="0"/>
      <w:marTop w:val="0"/>
      <w:marBottom w:val="0"/>
      <w:divBdr>
        <w:top w:val="none" w:sz="0" w:space="0" w:color="auto"/>
        <w:left w:val="none" w:sz="0" w:space="0" w:color="auto"/>
        <w:bottom w:val="none" w:sz="0" w:space="0" w:color="auto"/>
        <w:right w:val="none" w:sz="0" w:space="0" w:color="auto"/>
      </w:divBdr>
    </w:div>
    <w:div w:id="565607909">
      <w:bodyDiv w:val="1"/>
      <w:marLeft w:val="0"/>
      <w:marRight w:val="0"/>
      <w:marTop w:val="0"/>
      <w:marBottom w:val="0"/>
      <w:divBdr>
        <w:top w:val="none" w:sz="0" w:space="0" w:color="auto"/>
        <w:left w:val="none" w:sz="0" w:space="0" w:color="auto"/>
        <w:bottom w:val="none" w:sz="0" w:space="0" w:color="auto"/>
        <w:right w:val="none" w:sz="0" w:space="0" w:color="auto"/>
      </w:divBdr>
    </w:div>
    <w:div w:id="667057786">
      <w:bodyDiv w:val="1"/>
      <w:marLeft w:val="0"/>
      <w:marRight w:val="0"/>
      <w:marTop w:val="0"/>
      <w:marBottom w:val="0"/>
      <w:divBdr>
        <w:top w:val="none" w:sz="0" w:space="0" w:color="auto"/>
        <w:left w:val="none" w:sz="0" w:space="0" w:color="auto"/>
        <w:bottom w:val="none" w:sz="0" w:space="0" w:color="auto"/>
        <w:right w:val="none" w:sz="0" w:space="0" w:color="auto"/>
      </w:divBdr>
    </w:div>
    <w:div w:id="702167932">
      <w:bodyDiv w:val="1"/>
      <w:marLeft w:val="0"/>
      <w:marRight w:val="0"/>
      <w:marTop w:val="0"/>
      <w:marBottom w:val="0"/>
      <w:divBdr>
        <w:top w:val="none" w:sz="0" w:space="0" w:color="auto"/>
        <w:left w:val="none" w:sz="0" w:space="0" w:color="auto"/>
        <w:bottom w:val="none" w:sz="0" w:space="0" w:color="auto"/>
        <w:right w:val="none" w:sz="0" w:space="0" w:color="auto"/>
      </w:divBdr>
    </w:div>
    <w:div w:id="961417804">
      <w:bodyDiv w:val="1"/>
      <w:marLeft w:val="0"/>
      <w:marRight w:val="0"/>
      <w:marTop w:val="0"/>
      <w:marBottom w:val="0"/>
      <w:divBdr>
        <w:top w:val="none" w:sz="0" w:space="0" w:color="auto"/>
        <w:left w:val="none" w:sz="0" w:space="0" w:color="auto"/>
        <w:bottom w:val="none" w:sz="0" w:space="0" w:color="auto"/>
        <w:right w:val="none" w:sz="0" w:space="0" w:color="auto"/>
      </w:divBdr>
    </w:div>
    <w:div w:id="1009868811">
      <w:bodyDiv w:val="1"/>
      <w:marLeft w:val="0"/>
      <w:marRight w:val="0"/>
      <w:marTop w:val="0"/>
      <w:marBottom w:val="0"/>
      <w:divBdr>
        <w:top w:val="none" w:sz="0" w:space="0" w:color="auto"/>
        <w:left w:val="none" w:sz="0" w:space="0" w:color="auto"/>
        <w:bottom w:val="none" w:sz="0" w:space="0" w:color="auto"/>
        <w:right w:val="none" w:sz="0" w:space="0" w:color="auto"/>
      </w:divBdr>
    </w:div>
    <w:div w:id="1097671678">
      <w:bodyDiv w:val="1"/>
      <w:marLeft w:val="0"/>
      <w:marRight w:val="0"/>
      <w:marTop w:val="0"/>
      <w:marBottom w:val="0"/>
      <w:divBdr>
        <w:top w:val="none" w:sz="0" w:space="0" w:color="auto"/>
        <w:left w:val="none" w:sz="0" w:space="0" w:color="auto"/>
        <w:bottom w:val="none" w:sz="0" w:space="0" w:color="auto"/>
        <w:right w:val="none" w:sz="0" w:space="0" w:color="auto"/>
      </w:divBdr>
    </w:div>
    <w:div w:id="1251043423">
      <w:bodyDiv w:val="1"/>
      <w:marLeft w:val="0"/>
      <w:marRight w:val="0"/>
      <w:marTop w:val="0"/>
      <w:marBottom w:val="0"/>
      <w:divBdr>
        <w:top w:val="none" w:sz="0" w:space="0" w:color="auto"/>
        <w:left w:val="none" w:sz="0" w:space="0" w:color="auto"/>
        <w:bottom w:val="none" w:sz="0" w:space="0" w:color="auto"/>
        <w:right w:val="none" w:sz="0" w:space="0" w:color="auto"/>
      </w:divBdr>
    </w:div>
    <w:div w:id="1279681512">
      <w:bodyDiv w:val="1"/>
      <w:marLeft w:val="0"/>
      <w:marRight w:val="0"/>
      <w:marTop w:val="0"/>
      <w:marBottom w:val="0"/>
      <w:divBdr>
        <w:top w:val="none" w:sz="0" w:space="0" w:color="auto"/>
        <w:left w:val="none" w:sz="0" w:space="0" w:color="auto"/>
        <w:bottom w:val="none" w:sz="0" w:space="0" w:color="auto"/>
        <w:right w:val="none" w:sz="0" w:space="0" w:color="auto"/>
      </w:divBdr>
    </w:div>
    <w:div w:id="1279869385">
      <w:bodyDiv w:val="1"/>
      <w:marLeft w:val="0"/>
      <w:marRight w:val="0"/>
      <w:marTop w:val="0"/>
      <w:marBottom w:val="0"/>
      <w:divBdr>
        <w:top w:val="none" w:sz="0" w:space="0" w:color="auto"/>
        <w:left w:val="none" w:sz="0" w:space="0" w:color="auto"/>
        <w:bottom w:val="none" w:sz="0" w:space="0" w:color="auto"/>
        <w:right w:val="none" w:sz="0" w:space="0" w:color="auto"/>
      </w:divBdr>
    </w:div>
    <w:div w:id="1546021916">
      <w:bodyDiv w:val="1"/>
      <w:marLeft w:val="0"/>
      <w:marRight w:val="0"/>
      <w:marTop w:val="0"/>
      <w:marBottom w:val="0"/>
      <w:divBdr>
        <w:top w:val="none" w:sz="0" w:space="0" w:color="auto"/>
        <w:left w:val="none" w:sz="0" w:space="0" w:color="auto"/>
        <w:bottom w:val="none" w:sz="0" w:space="0" w:color="auto"/>
        <w:right w:val="none" w:sz="0" w:space="0" w:color="auto"/>
      </w:divBdr>
    </w:div>
    <w:div w:id="1761489162">
      <w:bodyDiv w:val="1"/>
      <w:marLeft w:val="0"/>
      <w:marRight w:val="0"/>
      <w:marTop w:val="0"/>
      <w:marBottom w:val="0"/>
      <w:divBdr>
        <w:top w:val="none" w:sz="0" w:space="0" w:color="auto"/>
        <w:left w:val="none" w:sz="0" w:space="0" w:color="auto"/>
        <w:bottom w:val="none" w:sz="0" w:space="0" w:color="auto"/>
        <w:right w:val="none" w:sz="0" w:space="0" w:color="auto"/>
      </w:divBdr>
    </w:div>
    <w:div w:id="1827237818">
      <w:bodyDiv w:val="1"/>
      <w:marLeft w:val="0"/>
      <w:marRight w:val="0"/>
      <w:marTop w:val="0"/>
      <w:marBottom w:val="0"/>
      <w:divBdr>
        <w:top w:val="none" w:sz="0" w:space="0" w:color="auto"/>
        <w:left w:val="none" w:sz="0" w:space="0" w:color="auto"/>
        <w:bottom w:val="none" w:sz="0" w:space="0" w:color="auto"/>
        <w:right w:val="none" w:sz="0" w:space="0" w:color="auto"/>
      </w:divBdr>
    </w:div>
    <w:div w:id="1905874487">
      <w:bodyDiv w:val="1"/>
      <w:marLeft w:val="0"/>
      <w:marRight w:val="0"/>
      <w:marTop w:val="0"/>
      <w:marBottom w:val="0"/>
      <w:divBdr>
        <w:top w:val="none" w:sz="0" w:space="0" w:color="auto"/>
        <w:left w:val="none" w:sz="0" w:space="0" w:color="auto"/>
        <w:bottom w:val="none" w:sz="0" w:space="0" w:color="auto"/>
        <w:right w:val="none" w:sz="0" w:space="0" w:color="auto"/>
      </w:divBdr>
    </w:div>
    <w:div w:id="2005470942">
      <w:bodyDiv w:val="1"/>
      <w:marLeft w:val="0"/>
      <w:marRight w:val="0"/>
      <w:marTop w:val="0"/>
      <w:marBottom w:val="0"/>
      <w:divBdr>
        <w:top w:val="none" w:sz="0" w:space="0" w:color="auto"/>
        <w:left w:val="none" w:sz="0" w:space="0" w:color="auto"/>
        <w:bottom w:val="none" w:sz="0" w:space="0" w:color="auto"/>
        <w:right w:val="none" w:sz="0" w:space="0" w:color="auto"/>
      </w:divBdr>
    </w:div>
    <w:div w:id="2072922301">
      <w:bodyDiv w:val="1"/>
      <w:marLeft w:val="0"/>
      <w:marRight w:val="0"/>
      <w:marTop w:val="0"/>
      <w:marBottom w:val="0"/>
      <w:divBdr>
        <w:top w:val="none" w:sz="0" w:space="0" w:color="auto"/>
        <w:left w:val="none" w:sz="0" w:space="0" w:color="auto"/>
        <w:bottom w:val="none" w:sz="0" w:space="0" w:color="auto"/>
        <w:right w:val="none" w:sz="0" w:space="0" w:color="auto"/>
      </w:divBdr>
    </w:div>
    <w:div w:id="213425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aldahdouh@jubilee.edu.jo" TargetMode="Externa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lmaalqasem6@gmail.com" TargetMode="External"/><Relationship Id="rId5" Type="http://schemas.openxmlformats.org/officeDocument/2006/relationships/webSettings" Target="webSettings.xml"/><Relationship Id="rId15" Type="http://schemas.openxmlformats.org/officeDocument/2006/relationships/image" Target="media/image3.gif"/><Relationship Id="rId10" Type="http://schemas.openxmlformats.org/officeDocument/2006/relationships/hyperlink" Target="mailto:sabujammaah@jubilee.edu.jo" TargetMode="Externa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yperlink" Target="mailto:tala.kamel09@gmail.com"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C6175-4F5C-4706-BFC1-660CD1ED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6559</Words>
  <Characters>37388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Khaled</cp:lastModifiedBy>
  <cp:revision>2</cp:revision>
  <cp:lastPrinted>2025-11-03T07:54:00Z</cp:lastPrinted>
  <dcterms:created xsi:type="dcterms:W3CDTF">2025-11-28T08:14:00Z</dcterms:created>
  <dcterms:modified xsi:type="dcterms:W3CDTF">2025-11-28T08:14:00Z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988a760d-3d6e-4abf-8f62-1f90730f26a6</vt:lpwstr>
  </property>
</Properties>
</file>