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purl.oclc.org/ooxml/officeDocument/relationships/extendedProperties" Target="docProps/app.xml"/><Relationship Id="rId2" Type="http://schemas.openxmlformats.org/package/2006/relationships/metadata/core-properties" Target="docProps/core.xml"/><Relationship Id="rId1" Type="http://purl.oclc.org/ooxml/officeDocument/relationships/officeDocument" Target="word/document.xml"/><Relationship Id="rId4" Type="http://purl.oclc.org/ooxml/officeDocument/relationships/customProperties" Target="docProps/custom.xml"/></Relationships>
</file>

<file path=word/document.xml><?xml version="1.0" encoding="utf-8"?>
<w:document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i="http://schemas.microsoft.com/office/word/2010/wordprocessingInk" xmlns:wne="http://schemas.microsoft.com/office/word/2006/wordml" mc:Ignorable="w14 w15 w16se w16cid w16 w16cex w16sdtdh wne wp14" w:conformance="strict">
  <w:body>
    <w:p w14:paraId="31BC6E45" w14:textId="627CCDBF" w:rsidR="009303D9" w:rsidRPr="008B6524" w:rsidRDefault="00635CDA" w:rsidP="008B6524">
      <w:pPr>
        <w:pStyle w:val="papertitle"/>
        <w:spacing w:before="5pt" w:beforeAutospacing="1" w:after="5pt" w:afterAutospacing="1"/>
        <w:rPr>
          <w:kern w:val="48"/>
        </w:rPr>
      </w:pPr>
      <w:r w:rsidRPr="00635CDA">
        <w:rPr>
          <w:kern w:val="48"/>
        </w:rPr>
        <w:t>Enhancing Security in Online Learning Platforms: Implementing IoT-Based Two-Factor Authentication for TOEFL ITP MOOCs</w:t>
      </w:r>
    </w:p>
    <w:p w14:paraId="24DF2CD4" w14:textId="5E6E5A06" w:rsidR="009303D9" w:rsidRDefault="009303D9" w:rsidP="008B6524">
      <w:pPr>
        <w:pStyle w:val="Author"/>
        <w:spacing w:before="5pt" w:beforeAutospacing="1" w:after="5pt" w:afterAutospacing="1"/>
        <w:rPr>
          <w:sz w:val="16"/>
          <w:szCs w:val="16"/>
        </w:rPr>
      </w:pPr>
    </w:p>
    <w:p w14:paraId="20C779BD" w14:textId="77777777" w:rsidR="00D7522C" w:rsidRDefault="00D7522C" w:rsidP="003B4E04">
      <w:pPr>
        <w:pStyle w:val="Author"/>
        <w:spacing w:before="5pt" w:beforeAutospacing="1" w:after="5pt" w:afterAutospacing="1" w:line="6pt" w:lineRule="auto"/>
        <w:rPr>
          <w:sz w:val="16"/>
          <w:szCs w:val="16"/>
        </w:rPr>
      </w:pPr>
    </w:p>
    <w:p w14:paraId="1F960E65" w14:textId="77777777" w:rsidR="00D7522C" w:rsidRPr="00CA4392" w:rsidRDefault="00D7522C" w:rsidP="00CA4392">
      <w:pPr>
        <w:pStyle w:val="Author"/>
        <w:spacing w:before="5pt" w:beforeAutospacing="1" w:after="5pt" w:afterAutospacing="1" w:line="6pt" w:lineRule="auto"/>
        <w:rPr>
          <w:sz w:val="16"/>
          <w:szCs w:val="16"/>
        </w:rPr>
        <w:sectPr w:rsidR="00D7522C" w:rsidRPr="00CA4392" w:rsidSect="003B4E04">
          <w:footerReference w:type="first" r:id="rId8"/>
          <w:pgSz w:w="595.30pt" w:h="841.90pt" w:code="9"/>
          <w:pgMar w:top="27pt" w:right="44.65pt" w:bottom="72pt" w:left="44.65pt" w:header="36pt" w:footer="36pt" w:gutter="0pt"/>
          <w:cols w:space="36pt"/>
          <w:titlePg/>
          <w:docGrid w:linePitch="360"/>
        </w:sectPr>
      </w:pPr>
    </w:p>
    <w:p w14:paraId="1AE2094C" w14:textId="01AF21E9" w:rsidR="002B40DD" w:rsidRDefault="002B40DD" w:rsidP="002B40DD">
      <w:pPr>
        <w:pStyle w:val="Author"/>
        <w:spacing w:before="5pt" w:beforeAutospacing="1"/>
        <w:rPr>
          <w:sz w:val="18"/>
          <w:szCs w:val="18"/>
        </w:rPr>
      </w:pPr>
      <w:r>
        <w:rPr>
          <w:sz w:val="18"/>
          <w:szCs w:val="18"/>
          <w:vertAlign w:val="superscript"/>
        </w:rPr>
        <w:t>1</w:t>
      </w:r>
      <w:r w:rsidRPr="00F847A6">
        <w:rPr>
          <w:sz w:val="18"/>
          <w:szCs w:val="18"/>
        </w:rPr>
        <w:t xml:space="preserve"> </w:t>
      </w:r>
      <w:r w:rsidRPr="002B40DD">
        <w:rPr>
          <w:sz w:val="18"/>
          <w:szCs w:val="18"/>
        </w:rPr>
        <w:t>Haris</w:t>
      </w:r>
      <w:r w:rsidRPr="00F847A6">
        <w:rPr>
          <w:sz w:val="18"/>
          <w:szCs w:val="18"/>
        </w:rPr>
        <w:t xml:space="preserve"> </w:t>
      </w:r>
      <w:r w:rsidRPr="00F847A6">
        <w:rPr>
          <w:sz w:val="18"/>
          <w:szCs w:val="18"/>
        </w:rPr>
        <w:br/>
      </w:r>
      <w:r w:rsidR="00657262" w:rsidRPr="00657262">
        <w:rPr>
          <w:sz w:val="18"/>
          <w:szCs w:val="18"/>
        </w:rPr>
        <w:t>Department of  Educational Technology</w:t>
      </w:r>
      <w:r w:rsidRPr="00F847A6">
        <w:rPr>
          <w:sz w:val="18"/>
          <w:szCs w:val="18"/>
        </w:rPr>
        <w:br/>
      </w:r>
      <w:r w:rsidR="00657262" w:rsidRPr="00657262">
        <w:rPr>
          <w:sz w:val="18"/>
          <w:szCs w:val="18"/>
        </w:rPr>
        <w:t>Jakarta State University</w:t>
      </w:r>
      <w:r w:rsidRPr="00F847A6">
        <w:rPr>
          <w:i/>
          <w:sz w:val="18"/>
          <w:szCs w:val="18"/>
        </w:rPr>
        <w:br/>
      </w:r>
      <w:r w:rsidR="00657262" w:rsidRPr="00657262">
        <w:rPr>
          <w:sz w:val="18"/>
          <w:szCs w:val="18"/>
        </w:rPr>
        <w:t>Jakarta, Indonesia</w:t>
      </w:r>
      <w:r w:rsidRPr="00F847A6">
        <w:rPr>
          <w:sz w:val="18"/>
          <w:szCs w:val="18"/>
        </w:rPr>
        <w:br/>
      </w:r>
      <w:r w:rsidR="005873A2" w:rsidRPr="005873A2">
        <w:rPr>
          <w:sz w:val="18"/>
          <w:szCs w:val="18"/>
        </w:rPr>
        <w:t>haris_9902921018@mhs.unj.ac.id https://orcid.org/0009-0000-0590-164X</w:t>
      </w:r>
    </w:p>
    <w:p w14:paraId="6C8B6A05" w14:textId="24F212CC" w:rsidR="002B40DD" w:rsidRPr="00F847A6" w:rsidRDefault="002B40DD" w:rsidP="002B40DD">
      <w:pPr>
        <w:pStyle w:val="Author"/>
        <w:spacing w:before="5pt" w:beforeAutospacing="1"/>
        <w:rPr>
          <w:sz w:val="18"/>
          <w:szCs w:val="18"/>
        </w:rPr>
      </w:pPr>
      <w:r>
        <w:rPr>
          <w:sz w:val="18"/>
          <w:szCs w:val="18"/>
        </w:rPr>
        <w:br/>
      </w:r>
      <w:r>
        <w:rPr>
          <w:sz w:val="18"/>
          <w:szCs w:val="18"/>
        </w:rPr>
        <w:br w:type="column"/>
      </w:r>
      <w:r>
        <w:rPr>
          <w:sz w:val="18"/>
          <w:szCs w:val="18"/>
          <w:vertAlign w:val="superscript"/>
        </w:rPr>
        <w:t xml:space="preserve"> 2</w:t>
      </w:r>
      <w:r w:rsidRPr="00F847A6">
        <w:rPr>
          <w:sz w:val="18"/>
          <w:szCs w:val="18"/>
        </w:rPr>
        <w:t xml:space="preserve"> </w:t>
      </w:r>
      <w:r w:rsidRPr="002B40DD">
        <w:rPr>
          <w:sz w:val="18"/>
          <w:szCs w:val="18"/>
        </w:rPr>
        <w:t>Basuki Wibawa</w:t>
      </w:r>
      <w:r w:rsidRPr="00F847A6">
        <w:rPr>
          <w:sz w:val="18"/>
          <w:szCs w:val="18"/>
        </w:rPr>
        <w:br/>
      </w:r>
      <w:r w:rsidR="00657262" w:rsidRPr="00657262">
        <w:rPr>
          <w:sz w:val="18"/>
          <w:szCs w:val="18"/>
        </w:rPr>
        <w:t>Department of  Educational Technology</w:t>
      </w:r>
      <w:r w:rsidRPr="00F847A6">
        <w:rPr>
          <w:sz w:val="18"/>
          <w:szCs w:val="18"/>
        </w:rPr>
        <w:br/>
      </w:r>
      <w:r w:rsidR="00657262" w:rsidRPr="00657262">
        <w:rPr>
          <w:sz w:val="18"/>
          <w:szCs w:val="18"/>
        </w:rPr>
        <w:t>Jakarta State University</w:t>
      </w:r>
      <w:r w:rsidRPr="00F847A6">
        <w:rPr>
          <w:i/>
          <w:sz w:val="18"/>
          <w:szCs w:val="18"/>
        </w:rPr>
        <w:br/>
      </w:r>
      <w:r w:rsidR="00657262" w:rsidRPr="00657262">
        <w:rPr>
          <w:sz w:val="18"/>
          <w:szCs w:val="18"/>
        </w:rPr>
        <w:t>Jakarta, Indonesia</w:t>
      </w:r>
      <w:r w:rsidRPr="00F847A6">
        <w:rPr>
          <w:sz w:val="18"/>
          <w:szCs w:val="18"/>
        </w:rPr>
        <w:br/>
      </w:r>
      <w:r w:rsidR="005873A2" w:rsidRPr="005873A2">
        <w:rPr>
          <w:sz w:val="18"/>
          <w:szCs w:val="18"/>
        </w:rPr>
        <w:t>bwibawa@unj.ac.id https://orcid.org/0000-0002-0290-1617</w:t>
      </w:r>
    </w:p>
    <w:p w14:paraId="3B6F319C" w14:textId="48269B92" w:rsidR="002B40DD" w:rsidRPr="00F847A6" w:rsidRDefault="003F40A8" w:rsidP="002B40DD">
      <w:pPr>
        <w:pStyle w:val="Author"/>
        <w:spacing w:before="5pt" w:beforeAutospacing="1"/>
        <w:rPr>
          <w:sz w:val="18"/>
          <w:szCs w:val="18"/>
        </w:rPr>
      </w:pPr>
      <w:r>
        <w:rPr>
          <w:sz w:val="18"/>
          <w:szCs w:val="18"/>
          <w:vertAlign w:val="superscript"/>
        </w:rPr>
        <w:t>4</w:t>
      </w:r>
      <w:r w:rsidRPr="00F847A6">
        <w:rPr>
          <w:sz w:val="18"/>
          <w:szCs w:val="18"/>
        </w:rPr>
        <w:t xml:space="preserve"> </w:t>
      </w:r>
      <w:r w:rsidRPr="002B40DD">
        <w:rPr>
          <w:sz w:val="18"/>
          <w:szCs w:val="18"/>
        </w:rPr>
        <w:t>Daryanto</w:t>
      </w:r>
      <w:r>
        <w:rPr>
          <w:sz w:val="18"/>
          <w:szCs w:val="18"/>
        </w:rPr>
        <w:br/>
      </w:r>
      <w:r w:rsidRPr="00657262">
        <w:rPr>
          <w:sz w:val="18"/>
          <w:szCs w:val="18"/>
        </w:rPr>
        <w:t xml:space="preserve">Department of  </w:t>
      </w:r>
      <w:r w:rsidRPr="003D1770">
        <w:rPr>
          <w:sz w:val="18"/>
          <w:szCs w:val="18"/>
        </w:rPr>
        <w:t>Teacher Professional Education</w:t>
      </w:r>
      <w:r w:rsidRPr="00F847A6">
        <w:rPr>
          <w:sz w:val="18"/>
          <w:szCs w:val="18"/>
        </w:rPr>
        <w:br/>
      </w:r>
      <w:r w:rsidRPr="00657262">
        <w:rPr>
          <w:sz w:val="18"/>
          <w:szCs w:val="18"/>
        </w:rPr>
        <w:t>Jakarta State University</w:t>
      </w:r>
      <w:r w:rsidRPr="00F847A6">
        <w:rPr>
          <w:i/>
          <w:sz w:val="18"/>
          <w:szCs w:val="18"/>
        </w:rPr>
        <w:br/>
      </w:r>
      <w:r w:rsidRPr="00657262">
        <w:rPr>
          <w:sz w:val="18"/>
          <w:szCs w:val="18"/>
        </w:rPr>
        <w:t>Jakarta, Indonesia</w:t>
      </w:r>
      <w:r w:rsidRPr="00F847A6">
        <w:rPr>
          <w:sz w:val="18"/>
          <w:szCs w:val="18"/>
        </w:rPr>
        <w:br/>
      </w:r>
      <w:r w:rsidRPr="005873A2">
        <w:rPr>
          <w:sz w:val="18"/>
          <w:szCs w:val="18"/>
        </w:rPr>
        <w:t>daryanto@unj.ac.id https://orcid.org/0000-0002-6961-1841</w:t>
      </w:r>
      <w:r w:rsidR="005873A2">
        <w:rPr>
          <w:sz w:val="18"/>
          <w:szCs w:val="18"/>
        </w:rPr>
        <w:t xml:space="preserve"> </w:t>
      </w:r>
      <w:r w:rsidR="002B40DD">
        <w:rPr>
          <w:sz w:val="18"/>
          <w:szCs w:val="18"/>
        </w:rPr>
        <w:br w:type="column"/>
      </w:r>
      <w:r w:rsidR="002B40DD">
        <w:rPr>
          <w:sz w:val="18"/>
          <w:szCs w:val="18"/>
          <w:vertAlign w:val="superscript"/>
        </w:rPr>
        <w:t xml:space="preserve"> 3</w:t>
      </w:r>
      <w:r w:rsidR="002B40DD" w:rsidRPr="00F847A6">
        <w:rPr>
          <w:sz w:val="18"/>
          <w:szCs w:val="18"/>
        </w:rPr>
        <w:t xml:space="preserve"> </w:t>
      </w:r>
      <w:r w:rsidR="002B40DD" w:rsidRPr="002B40DD">
        <w:rPr>
          <w:sz w:val="18"/>
          <w:szCs w:val="18"/>
        </w:rPr>
        <w:t>Moch. Sukardjo</w:t>
      </w:r>
      <w:r w:rsidR="002B40DD" w:rsidRPr="00F847A6">
        <w:rPr>
          <w:sz w:val="18"/>
          <w:szCs w:val="18"/>
        </w:rPr>
        <w:br/>
      </w:r>
      <w:r w:rsidR="00657262" w:rsidRPr="00657262">
        <w:rPr>
          <w:sz w:val="18"/>
          <w:szCs w:val="18"/>
        </w:rPr>
        <w:t>Department of  Educational Technology</w:t>
      </w:r>
      <w:r w:rsidR="002B40DD" w:rsidRPr="00F847A6">
        <w:rPr>
          <w:sz w:val="18"/>
          <w:szCs w:val="18"/>
        </w:rPr>
        <w:br/>
      </w:r>
      <w:r w:rsidR="00657262" w:rsidRPr="00657262">
        <w:rPr>
          <w:sz w:val="18"/>
          <w:szCs w:val="18"/>
        </w:rPr>
        <w:t>Jakarta State University</w:t>
      </w:r>
      <w:r w:rsidR="002B40DD" w:rsidRPr="00F847A6">
        <w:rPr>
          <w:i/>
          <w:sz w:val="18"/>
          <w:szCs w:val="18"/>
        </w:rPr>
        <w:br/>
      </w:r>
      <w:r w:rsidR="00657262" w:rsidRPr="00657262">
        <w:rPr>
          <w:sz w:val="18"/>
          <w:szCs w:val="18"/>
        </w:rPr>
        <w:t>Jakarta, Indonesia</w:t>
      </w:r>
      <w:r w:rsidR="002B40DD" w:rsidRPr="00F847A6">
        <w:rPr>
          <w:sz w:val="18"/>
          <w:szCs w:val="18"/>
        </w:rPr>
        <w:br/>
      </w:r>
      <w:r w:rsidR="005873A2" w:rsidRPr="005873A2">
        <w:rPr>
          <w:sz w:val="18"/>
          <w:szCs w:val="18"/>
        </w:rPr>
        <w:t>msoekardjo@unj.ac.id https://orcid.org/0000-0002-5393-7716</w:t>
      </w:r>
    </w:p>
    <w:p w14:paraId="33CF07D0" w14:textId="651A6066" w:rsidR="002B40DD" w:rsidRDefault="005873A2" w:rsidP="002B40DD">
      <w:pPr>
        <w:pStyle w:val="Author"/>
        <w:spacing w:before="5pt" w:beforeAutospacing="1"/>
      </w:pPr>
      <w:r>
        <w:rPr>
          <w:sz w:val="18"/>
          <w:szCs w:val="18"/>
        </w:rPr>
        <w:t xml:space="preserve"> </w:t>
      </w:r>
      <w:r w:rsidR="002B40DD">
        <w:t xml:space="preserve"> </w:t>
      </w:r>
    </w:p>
    <w:p w14:paraId="1CB5551B" w14:textId="77777777" w:rsidR="00261A22" w:rsidRDefault="00261A22" w:rsidP="002B40DD">
      <w:pPr>
        <w:pStyle w:val="Author"/>
        <w:spacing w:before="5pt" w:beforeAutospacing="1"/>
      </w:pPr>
    </w:p>
    <w:p w14:paraId="44C6FE3D" w14:textId="77777777" w:rsidR="00261A22" w:rsidRDefault="00261A22" w:rsidP="002B40DD">
      <w:pPr>
        <w:pStyle w:val="Author"/>
        <w:spacing w:before="5pt" w:beforeAutospacing="1"/>
      </w:pPr>
    </w:p>
    <w:p w14:paraId="1FCCE042" w14:textId="37463167" w:rsidR="001A3B3D" w:rsidRPr="00F847A6" w:rsidRDefault="001A3B3D" w:rsidP="007B6DDA">
      <w:pPr>
        <w:pStyle w:val="Author"/>
        <w:spacing w:before="5pt" w:beforeAutospacing="1"/>
        <w:rPr>
          <w:sz w:val="18"/>
          <w:szCs w:val="18"/>
        </w:rPr>
      </w:pPr>
    </w:p>
    <w:p w14:paraId="0A88E65D" w14:textId="15BF9130" w:rsidR="009303D9" w:rsidRPr="00261A22" w:rsidRDefault="009303D9" w:rsidP="00261A22">
      <w:pPr>
        <w:pStyle w:val="Author"/>
        <w:spacing w:before="5pt" w:beforeAutospacing="1"/>
        <w:rPr>
          <w:sz w:val="18"/>
          <w:szCs w:val="18"/>
        </w:rPr>
        <w:sectPr w:rsidR="009303D9" w:rsidRPr="00261A22" w:rsidSect="003B4E04">
          <w:type w:val="continuous"/>
          <w:pgSz w:w="595.30pt" w:h="841.90pt" w:code="9"/>
          <w:pgMar w:top="22.50pt" w:right="44.65pt" w:bottom="72pt" w:left="44.65pt" w:header="36pt" w:footer="36pt" w:gutter="0pt"/>
          <w:cols w:num="3" w:space="36pt"/>
          <w:docGrid w:linePitch="360"/>
        </w:sectPr>
      </w:pPr>
    </w:p>
    <w:p w14:paraId="40FA2D84" w14:textId="0E589C30" w:rsidR="004D72B5" w:rsidRDefault="009303D9" w:rsidP="00972203">
      <w:pPr>
        <w:pStyle w:val="Abstract"/>
        <w:rPr>
          <w:i/>
          <w:iCs/>
        </w:rPr>
      </w:pPr>
      <w:r>
        <w:rPr>
          <w:i/>
          <w:iCs/>
        </w:rPr>
        <w:t>Abstract</w:t>
      </w:r>
      <w:r>
        <w:t>—</w:t>
      </w:r>
      <w:r w:rsidR="002875B7" w:rsidRPr="002875B7">
        <w:t xml:space="preserve"> </w:t>
      </w:r>
      <w:r w:rsidR="00935016" w:rsidRPr="00935016">
        <w:t>In today’s highly connected digital era, security has become a crucial concern for online learning platforms, particularly in programs such as the TOEFL ITP (Test of English as a Foreign Language Institutional Testing Program) and Massive Open Online Courses (MOOCs). This study examines the use of Internet of Things (IoT) technology to strengthen security through two-factor authentication (2FA) on TOEFL ITP MOOCs platforms. IoT provides an advanced and efficient solution for securing user access by utilizing connected devices, such as smartphones and wearables, to verify user identity in real time. The research explores the architecture of IoT technology that facilitates 2FA integration, analyzing its advantages and challenges, and evaluating its impact on both security and user experience. By implementing IoT-based 2FA, the system protects personal data and prevents unauthorized access, ensuring that only authenticated users can access learning resources or participate in the TOEFL ITP exam. Furthermore, this study underscores how enhanced security through IoT can foster trust among users and encourage wider adoption of online learning technologies. The findings suggest that IoT-based 2FA not only bolsters security but also upholds academic integrity in an increasingly complex digital landscape.</w:t>
      </w:r>
    </w:p>
    <w:p w14:paraId="58B10678" w14:textId="4397AA4E" w:rsidR="009303D9" w:rsidRPr="004D72B5" w:rsidRDefault="004D72B5" w:rsidP="00972203">
      <w:pPr>
        <w:pStyle w:val="Keywords"/>
      </w:pPr>
      <w:r w:rsidRPr="004D72B5">
        <w:t>Keywords</w:t>
      </w:r>
      <w:r w:rsidR="002875B7">
        <w:t xml:space="preserve">: </w:t>
      </w:r>
      <w:r w:rsidR="002875B7" w:rsidRPr="002875B7">
        <w:t>IoT, Two-Factor Authentication, TOEFL ITP, MOOCs</w:t>
      </w:r>
    </w:p>
    <w:p w14:paraId="1A521F3C" w14:textId="4DE3136D" w:rsidR="009303D9" w:rsidRPr="00D632BE" w:rsidRDefault="009303D9" w:rsidP="006B6B66">
      <w:pPr>
        <w:pStyle w:val="Heading1"/>
      </w:pPr>
      <w:r w:rsidRPr="00D632BE">
        <w:t xml:space="preserve">Introduction </w:t>
      </w:r>
    </w:p>
    <w:p w14:paraId="025D9ED3" w14:textId="07BE8D43" w:rsidR="001D2439" w:rsidRDefault="001F549A" w:rsidP="00AC5164">
      <w:pPr>
        <w:pStyle w:val="BodyText"/>
      </w:pPr>
      <w:r w:rsidRPr="001F549A">
        <w:t>In today's globalized world, learning English is crucial for enhancing one's language skills</w:t>
      </w:r>
      <w:r w:rsidR="00D72FFC">
        <w:t xml:space="preserve"> </w:t>
      </w:r>
      <w:r w:rsidR="00D72FFC">
        <w:fldChar w:fldCharType="begin" w:fldLock="1"/>
      </w:r>
      <w:r w:rsidR="00F27AD0">
        <w:instrText>ADDIN CSL_CITATION {"citationItems":[{"id":"ITEM-1","itemData":{"DOI":"10.5958/2278-4853.2019.00001.6","abstract":"The twenty-first century has brought about tremendous changes in the lives of people. Changes are inevitable and these changes help people progress well in their respective fields. There is a need for everyone to acquire the latest trends and innovations taking place in this progressive and highly advancing world. In this modern era, people get their success in their specialized areas because they make use of the available resources of modern as well as innovative technologies. To make use of these technologies and apply their thoughts in a right way, there is a need for a common language to communicate with the people of other regions and countries in the world. To bridge this gap, English seems to be a good tool used for communication as it enjoys the status of an international language. English is the only language that is used in almost all the fields, such as science and technology, engineering, medicine, pharmacy, education, tourism, entertainment, information and technology, business, trade and commerce, the internet, employment, to name a few. As a language, English attains the global status and is used to serve various purposes. This paper discusses the importance of the English language and its application to various fields and finally, the benefits that people get from it in this modern era. This paper brings to light the importance of English and how English plays a significant role in the modern era. Moreover, the need to learn English language, due to its usage and importance, is comprehensively expounded. Finally, some important suggestions are given to the learners as well as the professionals to make use of the English language effectively in achieving extraordinary and amazing results in their attempts in all the fields.","author":[{"dropping-particle":"","family":"Noerhidayat","given":"Dandi Taufiq","non-dropping-particle":"","parse-names":false,"suffix":""}],"container-title":"Asian Journal of Multidimensional Research (AJMR)","id":"ITEM-1","issue":"1","issued":{"date-parts":[["2019"]]},"page":"7","title":"The importance of english in the modern era","type":"article-journal","volume":"8"},"uris":["http://www.mendeley.com/documents/?uuid=04f9a559-8cdc-4aaf-bd8a-cfeb7acb22e5"]}],"mendeley":{"formattedCitation":"[1]","plainTextFormattedCitation":"[1]","previouslyFormattedCitation":"[1]"},"properties":{"noteIndex":0},"schema":"https://github.com/citation-style-language/schema/raw/master/csl-citation.json"}</w:instrText>
      </w:r>
      <w:r w:rsidR="00D72FFC">
        <w:fldChar w:fldCharType="separate"/>
      </w:r>
      <w:r w:rsidR="00D72FFC" w:rsidRPr="00D72FFC">
        <w:rPr>
          <w:noProof/>
        </w:rPr>
        <w:t>[1]</w:t>
      </w:r>
      <w:r w:rsidR="00D72FFC">
        <w:fldChar w:fldCharType="end"/>
      </w:r>
      <w:r w:rsidR="001D2439" w:rsidRPr="001D2439">
        <w:t xml:space="preserve">. </w:t>
      </w:r>
      <w:r w:rsidRPr="001F549A">
        <w:t>Students recognize that proficiency in English is vital for their future success</w:t>
      </w:r>
      <w:r w:rsidR="00F55FBB">
        <w:t xml:space="preserve"> </w:t>
      </w:r>
      <w:r w:rsidR="00AC5164">
        <w:fldChar w:fldCharType="begin" w:fldLock="1"/>
      </w:r>
      <w:r w:rsidR="00AC5164">
        <w:instrText>ADDIN CSL_CITATION {"citationItems":[{"id":"ITEM-1","itemData":{"DOI":"10.35940/ijrte.B1141.0982S919","ISSN":"22773878","abstract":"Assessment is an important component of education especially in the context of the learning and teaching environment. In higher education, assessment is the heart of formal education. Nowadays, technology plays an important role in the assessment process. Therefore, using technology development has an impact on improving the assessment system. Focus on the using of electronic assessment (e-assessment) systems is increasingly developing at the higher education level. Technological developments have led to a shift in concepts and ways of assessing moving from face-to-face assessment to digital-based assessment, namely an end-to-end assessment process using ICT. E-assessment system is provides many benefits for the effectiveness and efficiency of learning in higher education for lecturers, students and institutions. Many e-assessment models are developed to meet various objectives, especially in the purpose of educational learning. However, there are many challenges in its process and application. This paper aims to provide an example of e-assessment system application, describe challenges in the use of e-assessment systems in higher education based on literature, journals and research results and provide recommendations on how to deal with all of these challenges so that the assessment objectives can be achieved. The method that used is to figure out and describe qualitatively. Overall conclusion is the e-assessment system has become one of the requirements in higher education with many models. There are still many questions for lecturers, students and institutions that pose challenges in the application of e-assessments related to validity and reliability, accuracy, fairness, security, infrastructure and human resources. Based on this fact then the recommendation of these challenges in the successful implementation of e-assessment in higher education are paying attention to the characteristics of e-assessment, designing assessments according the needs, and creating a complete and accessible assessment system for all.","author":[{"dropping-particle":"","family":"Wuisan","given":"Pingkan Imelda","non-dropping-particle":"","parse-names":false,"suffix":""},{"dropping-particle":"","family":"Wibawa","given":"Basuki","non-dropping-particle":"","parse-names":false,"suffix":""}],"container-title":"International Journal of Recent Technology and Engineering","id":"ITEM-1","issue":"2 Special Issue 9","issued":{"date-parts":[["2019"]]},"page":"673-678","title":"Using electronic assessment system in higher education: Challenges and solutions for lectures, students and institutions","type":"article-journal","volume":"8"},"uris":["http://www.mendeley.com/documents/?uuid=4ce0c76b-c518-4cdc-bdab-ec7a6d26793c"]}],"mendeley":{"formattedCitation":"[2]","plainTextFormattedCitation":"[2]","previouslyFormattedCitation":"[2]"},"properties":{"noteIndex":0},"schema":"https://github.com/citation-style-language/schema/raw/master/csl-citation.json"}</w:instrText>
      </w:r>
      <w:r w:rsidR="00AC5164">
        <w:fldChar w:fldCharType="separate"/>
      </w:r>
      <w:r w:rsidR="00AC5164" w:rsidRPr="00AC5164">
        <w:rPr>
          <w:noProof/>
        </w:rPr>
        <w:t>[2]</w:t>
      </w:r>
      <w:r w:rsidR="00AC5164">
        <w:fldChar w:fldCharType="end"/>
      </w:r>
      <w:r w:rsidR="00F55FBB" w:rsidRPr="00F55FBB">
        <w:t xml:space="preserve">. </w:t>
      </w:r>
      <w:r w:rsidRPr="001F549A">
        <w:t>To improve learning outcomes, incorporating technology into English education is essential</w:t>
      </w:r>
      <w:r w:rsidR="00AC5164">
        <w:t xml:space="preserve"> </w:t>
      </w:r>
      <w:r w:rsidR="00AC5164">
        <w:fldChar w:fldCharType="begin" w:fldLock="1"/>
      </w:r>
      <w:r w:rsidR="00AC5164">
        <w:instrText>ADDIN CSL_CITATION {"citationItems":[{"id":"ITEM-1","itemData":{"ISSN":"22011323","abstract":"The development of the global tourism industry is rapidly making the importance of English communication skills a priority in the tourism workplace. State Polytechnic of Lampung has provided English subjects 1, 2, and 3 for its students. Unfortunately, the implementation does not give a significant contribution to improve students' English communication skills. The English instructional materials do not fulfil students' needs and stakeholders' needs inspiring a review of English instructional materials through a new concept of developing English material for tourism with a brain-based approach. The brain-based learning approach has a significant contribution to how instructional English learning was designed to achieve the effectiveness of learning results. This paper aims to present a new concept of developing an electronic module or e-module of English for tourism based on the brain-based learning approach. The development of this e-module applies the research and development (R&amp;D) model of Dick and Carrey and Hardiman Meriale Model. The result of this paper is a concept of developing an e-module of English for tourism with a brain-based learning approach that focuses on four skills of English for communication namely speaking, listening, reading and writing skills.","author":[{"dropping-particle":"","family":"Rahman","given":"Anwar","non-dropping-particle":"","parse-names":false,"suffix":""},{"dropping-particle":"","family":"Wibawa","given":"Basuki","non-dropping-particle":"","parse-names":false,"suffix":""},{"dropping-particle":"","family":"Sumantri","given":"Syarif","non-dropping-particle":"","parse-names":false,"suffix":""}],"container-title":"International Journal of Innovation, Creativity and Change","id":"ITEM-1","issue":"2","issued":{"date-parts":[["2019"]]},"page":"29-47","title":"Developing e-module of English for tourism based on brain-based learning approach at state polytechnic of Lampung","type":"article-journal","volume":"6"},"uris":["http://www.mendeley.com/documents/?uuid=62ee2eec-7168-4f63-9143-46bed96b0de8"]}],"mendeley":{"formattedCitation":"[3]","plainTextFormattedCitation":"[3]","previouslyFormattedCitation":"[3]"},"properties":{"noteIndex":0},"schema":"https://github.com/citation-style-language/schema/raw/master/csl-citation.json"}</w:instrText>
      </w:r>
      <w:r w:rsidR="00AC5164">
        <w:fldChar w:fldCharType="separate"/>
      </w:r>
      <w:r w:rsidR="00AC5164" w:rsidRPr="00AC5164">
        <w:rPr>
          <w:noProof/>
        </w:rPr>
        <w:t>[3]</w:t>
      </w:r>
      <w:r w:rsidR="00AC5164">
        <w:fldChar w:fldCharType="end"/>
      </w:r>
      <w:r w:rsidR="00F55FBB" w:rsidRPr="00F55FBB">
        <w:t xml:space="preserve">, </w:t>
      </w:r>
      <w:r w:rsidR="0004378D" w:rsidRPr="0004378D">
        <w:t xml:space="preserve">as well </w:t>
      </w:r>
      <w:r w:rsidR="00F50E0D">
        <w:t xml:space="preserve"> </w:t>
      </w:r>
      <w:r w:rsidR="0004378D" w:rsidRPr="0004378D">
        <w:t xml:space="preserve">as </w:t>
      </w:r>
      <w:r w:rsidR="00F50E0D">
        <w:t xml:space="preserve">  </w:t>
      </w:r>
      <w:r w:rsidR="0004378D" w:rsidRPr="0004378D">
        <w:t>implementing e-assessment systems for evaluating student progress</w:t>
      </w:r>
      <w:r w:rsidR="00AC5164">
        <w:t xml:space="preserve"> </w:t>
      </w:r>
      <w:r w:rsidR="00AC5164">
        <w:fldChar w:fldCharType="begin" w:fldLock="1"/>
      </w:r>
      <w:r w:rsidR="00AC5164">
        <w:instrText>ADDIN CSL_CITATION {"citationItems":[{"id":"ITEM-1","itemData":{"ISSN":"22076360","abstract":"This preliminary qualitative research aims to evaluate the necessity for an English Community-Learning Program (PPKBI / Program Pembelajaran Komunitas Bahasa Inggris) in Sukawangi Village, West Java. This free-of-charge learning program is unique because not only it applies an eclectic memory techniques in order to make learning to be meaningful and memory enhancing but also the combination of in-door and out-door learning settings. Subjects were students of grade VII, VIII and IX of SMP N 3 Sukawangi. Data of the program were obtained through recorded interviews to all stakeholders of the program, including students, school English teacher, principal and parents and a field observation of English lessons in the school. Data validation was conducted by triangulation method. The CIPP model evaluation instrument revealed the similarities of the result obtained from different sources, so that it can be concluded that such English program is needed and the CIPP model evaluation instrument is suitable for doing evaluation on the program.","author":[{"dropping-particle":"","family":"Putra","given":"Yovan Pino","non-dropping-particle":"","parse-names":false,"suffix":""},{"dropping-particle":"","family":"Wibawa","given":"Basuki","non-dropping-particle":"","parse-names":false,"suffix":""},{"dropping-particle":"","family":"Rusmono","given":"","non-dropping-particle":"","parse-names":false,"suffix":""},{"dropping-particle":"","family":"Dancey","given":"Natalie Marie","non-dropping-particle":"","parse-names":false,"suffix":""},{"dropping-particle":"","family":"Brookes","given":"Claudia","non-dropping-particle":"","parse-names":false,"suffix":""},{"dropping-particle":"","family":"Almayah","given":"Senia","non-dropping-particle":"","parse-names":false,"suffix":""},{"dropping-particle":"","family":"Sudrajat","given":"Yayan","non-dropping-particle":"","parse-names":false,"suffix":""}],"container-title":"International Journal of Advanced Science and Technology","id":"ITEM-1","issue":"4 Special Issue","issued":{"date-parts":[["2020"]]},"page":"1684-1693","title":"The implementation of cipp evaluation model on a memory-enhanced english learning program","type":"article-journal","volume":"29"},"uris":["http://www.mendeley.com/documents/?uuid=991afd08-a960-4e18-8bdd-0c28e6e899e7"]}],"mendeley":{"formattedCitation":"[4]","plainTextFormattedCitation":"[4]"},"properties":{"noteIndex":0},"schema":"https://github.com/citation-style-language/schema/raw/master/csl-citation.json"}</w:instrText>
      </w:r>
      <w:r w:rsidR="00AC5164">
        <w:fldChar w:fldCharType="separate"/>
      </w:r>
      <w:r w:rsidR="00AC5164" w:rsidRPr="00AC5164">
        <w:rPr>
          <w:noProof/>
        </w:rPr>
        <w:t>[4]</w:t>
      </w:r>
      <w:r w:rsidR="00AC5164">
        <w:fldChar w:fldCharType="end"/>
      </w:r>
      <w:r w:rsidR="00F55FBB" w:rsidRPr="00F55FBB">
        <w:t>.</w:t>
      </w:r>
      <w:r w:rsidR="00AC5164">
        <w:t xml:space="preserve"> </w:t>
      </w:r>
      <w:r w:rsidR="00A54B4D" w:rsidRPr="00A54B4D">
        <w:t>Achieving a high score on the TOEFL ITP (Test of English as a Foreign Language Institutional Testing Program) has become particularly important, as it is now a requirement for completing Master's (S2) and Doctoral (S3) studies. Consequently, students must undergo rigorous preparation for the TOEFL ITP test.</w:t>
      </w:r>
      <w:r w:rsidR="001D2439" w:rsidRPr="001D2439">
        <w:t xml:space="preserve"> </w:t>
      </w:r>
    </w:p>
    <w:p w14:paraId="2600BA6A" w14:textId="3E532278" w:rsidR="001D2439" w:rsidRDefault="006D69BF" w:rsidP="00E7596C">
      <w:pPr>
        <w:pStyle w:val="BodyText"/>
      </w:pPr>
      <w:r w:rsidRPr="006D69BF">
        <w:t>The TOEFL ITP consists of three sections: listening comprehension, structure and written expression, and reading comprehension</w:t>
      </w:r>
      <w:r w:rsidR="001D2439">
        <w:t xml:space="preserve"> </w:t>
      </w:r>
      <w:r w:rsidR="001D2439">
        <w:fldChar w:fldCharType="begin" w:fldLock="1"/>
      </w:r>
      <w:r w:rsidR="00AC5164">
        <w:instrText>ADDIN CSL_CITATION {"citationItems":[{"id":"ITEM-1","itemData":{"author":[{"dropping-particle":"","family":"ETS","given":"","non-dropping-particle":"","parse-names":false,"suffix":""}],"id":"ITEM-1","issued":{"date-parts":[["2014"]]},"number-of-pages":"2","title":"Official guide to the TOEFL ITP Test","type":"book"},"uris":["http://www.mendeley.com/documents/?uuid=76c6f1e5-2a6c-4c77-adbf-d59814d5bd34"]}],"mendeley":{"formattedCitation":"[5]","plainTextFormattedCitation":"[5]","previouslyFormattedCitation":"[4]"},"properties":{"noteIndex":0},"schema":"https://github.com/citation-style-language/schema/raw/master/csl-citation.json"}</w:instrText>
      </w:r>
      <w:r w:rsidR="001D2439">
        <w:fldChar w:fldCharType="separate"/>
      </w:r>
      <w:r w:rsidR="00AC5164" w:rsidRPr="00AC5164">
        <w:rPr>
          <w:noProof/>
        </w:rPr>
        <w:t>[5]</w:t>
      </w:r>
      <w:r w:rsidR="001D2439">
        <w:fldChar w:fldCharType="end"/>
      </w:r>
      <w:r w:rsidR="001D2439">
        <w:t xml:space="preserve">. </w:t>
      </w:r>
      <w:r w:rsidR="00FA4614" w:rsidRPr="00FA4614">
        <w:t>Adequate preparation, particularly in listening comprehension, requires consistent practice with relevant questions</w:t>
      </w:r>
      <w:r w:rsidR="00820DE2">
        <w:t xml:space="preserve"> </w:t>
      </w:r>
      <w:r w:rsidR="00820DE2">
        <w:fldChar w:fldCharType="begin" w:fldLock="1"/>
      </w:r>
      <w:r w:rsidR="00AC5164">
        <w:instrText>ADDIN CSL_CITATION {"citationItems":[{"id":"ITEM-1","itemData":{"abstract":"This article discusses various approaches to assessing listening skills, which are crucial for TOEFL ITP","author":[{"dropping-particle":"","family":"Buck","given":"G","non-dropping-particle":"","parse-names":false,"suffix":""}],"id":"ITEM-1","issued":{"date-parts":[["2001"]]},"title":"Assessing Listening Cambridge: Cambridge University","type":"article-journal"},"uris":["http://www.mendeley.com/documents/?uuid=1b97c380-1ac7-482e-84ad-d362a84b9e05"]}],"mendeley":{"formattedCitation":"[6]","plainTextFormattedCitation":"[6]","previouslyFormattedCitation":"[5]"},"properties":{"noteIndex":0},"schema":"https://github.com/citation-style-language/schema/raw/master/csl-citation.json"}</w:instrText>
      </w:r>
      <w:r w:rsidR="00820DE2">
        <w:fldChar w:fldCharType="separate"/>
      </w:r>
      <w:r w:rsidR="00AC5164" w:rsidRPr="00AC5164">
        <w:rPr>
          <w:noProof/>
        </w:rPr>
        <w:t>[6]</w:t>
      </w:r>
      <w:r w:rsidR="00820DE2">
        <w:fldChar w:fldCharType="end"/>
      </w:r>
      <w:r w:rsidR="00426453">
        <w:t>.</w:t>
      </w:r>
    </w:p>
    <w:p w14:paraId="56B7FCC7" w14:textId="7AAD66EF" w:rsidR="003071B9" w:rsidRDefault="009962E0" w:rsidP="00E7596C">
      <w:pPr>
        <w:pStyle w:val="BodyText"/>
      </w:pPr>
      <w:r w:rsidRPr="009962E0">
        <w:t>As communication and education in today's digital world increasingly rely on connectivity, ensuring the security of online platforms is more critical than ever. This is especially true for educational initiatives that depend on the internet for content delivery and assessment, such as Massive Open Online Courses (MOOCs) and the TOEFL ITP (Test of English as a Foreign Language Institutional Testing Program). While online learning has significantly expanded access to education, it has also introduced serious security risks, including unauthorized access, data breaches, and academic dishonesty.</w:t>
      </w:r>
    </w:p>
    <w:p w14:paraId="39583244" w14:textId="78CF1F1E" w:rsidR="003071B9" w:rsidRDefault="00A05A24" w:rsidP="00E7596C">
      <w:pPr>
        <w:pStyle w:val="BodyText"/>
      </w:pPr>
      <w:r w:rsidRPr="00A05A24">
        <w:t>To address these challenges, modern security measures must be implemented. This study explores how two-factor authentication (2FA) combined with the Internet of Things (IoT) can enhance the security of TOEFL ITP and MOOCs platforms. IoT, with its network of interconnected devices, offers an intelligent and efficient way to secure user access. By leveraging wearables, smartphones, and other connected devices, IoT enables real-time identity verification, ensuring that only authorized individuals can access sensitive learning materials or participate in tests.</w:t>
      </w:r>
    </w:p>
    <w:p w14:paraId="4F37F509" w14:textId="667135A3" w:rsidR="0057665E" w:rsidRDefault="00FC4497" w:rsidP="00E7596C">
      <w:pPr>
        <w:pStyle w:val="BodyText"/>
      </w:pPr>
      <w:r w:rsidRPr="00FC4497">
        <w:t>This report examines the technological architecture that enables IoT-based 2FA integration and provides a comprehensive analysis of its benefits, drawbacks, and overall impact on security and user experience. Key objectives include safeguarding personal information, preventing unauthorized access, and maintaining the integrity of the educational process. Additionally, the study explores how enhanced security through IoT can increase user trust, thereby encouraging greater adoption of online learning tools.</w:t>
      </w:r>
    </w:p>
    <w:p w14:paraId="4A9D0002" w14:textId="4B2C4797" w:rsidR="0057665E" w:rsidRDefault="00FC56EA" w:rsidP="00E7596C">
      <w:pPr>
        <w:pStyle w:val="BodyText"/>
      </w:pPr>
      <w:r w:rsidRPr="00FC56EA">
        <w:lastRenderedPageBreak/>
        <w:t>The findings suggest that IoT-enabled 2FA not only strengthens security measures but also upholds academic integrity in an increasingly complex digital environment. As security concerns become more prevalent, this approach helps maintain the legitimacy and reliability of online education by ensuring that only verified users can access learning platforms and exams.</w:t>
      </w:r>
    </w:p>
    <w:p w14:paraId="14F027B9" w14:textId="77777777" w:rsidR="00200D7F" w:rsidRPr="00200D7F" w:rsidRDefault="00200D7F" w:rsidP="00200D7F">
      <w:pPr>
        <w:ind w:firstLine="14.40pt"/>
        <w:jc w:val="both"/>
        <w:rPr>
          <w:spacing w:val="-1"/>
          <w:lang w:val="x-none" w:eastAsia="x-none"/>
        </w:rPr>
      </w:pPr>
      <w:r w:rsidRPr="00200D7F">
        <w:rPr>
          <w:spacing w:val="-1"/>
          <w:lang w:val="x-none" w:eastAsia="x-none"/>
        </w:rPr>
        <w:t>This research emphasizes the importance of robust security in online learning, particularly for programs like TOEFL ITP and MOOCs. It demonstrates how connected devices, such as smartphones and wearables, can be used for real-time identity authentication through the integration of IoT and 2FA. The primary innovation of this study lies in the application of IoT technology to enhance online learning security for TOEFL ITP and MOOCs.</w:t>
      </w:r>
    </w:p>
    <w:p w14:paraId="5B84FB04" w14:textId="7DAE84E7" w:rsidR="009303D9" w:rsidRPr="005B520E" w:rsidRDefault="009303D9" w:rsidP="00E7596C">
      <w:pPr>
        <w:pStyle w:val="BodyText"/>
      </w:pPr>
    </w:p>
    <w:p w14:paraId="179EA777" w14:textId="6A40E51A" w:rsidR="009303D9" w:rsidRPr="006B6B66" w:rsidRDefault="005B4B43" w:rsidP="006B6B66">
      <w:pPr>
        <w:pStyle w:val="Heading1"/>
      </w:pPr>
      <w:r w:rsidRPr="005B4B43">
        <w:t>CONCEPT OVERVIEW</w:t>
      </w:r>
    </w:p>
    <w:p w14:paraId="3C8B3FFF" w14:textId="7A116808" w:rsidR="009303D9" w:rsidRDefault="0055669D" w:rsidP="00ED0149">
      <w:pPr>
        <w:pStyle w:val="Heading2"/>
      </w:pPr>
      <w:r>
        <w:t>Massive Open Online Courses (MOOCs)</w:t>
      </w:r>
    </w:p>
    <w:p w14:paraId="4522E337" w14:textId="18FB66CE" w:rsidR="009303D9" w:rsidRDefault="00D6744F" w:rsidP="00E7596C">
      <w:pPr>
        <w:pStyle w:val="BodyText"/>
      </w:pPr>
      <w:r w:rsidRPr="00D6744F">
        <w:t>Massive Open Online Courses (MOOCs) are a groundbreaking innovation in education, democratizing access for millions of individuals globally. Despite some drawbacks, their flexibility, affordability, and accessibility make them invaluable for skill development and lifelong learning in the digital era</w:t>
      </w:r>
      <w:r w:rsidR="00F27AD0">
        <w:t xml:space="preserve"> </w:t>
      </w:r>
      <w:r w:rsidR="00F27AD0">
        <w:fldChar w:fldCharType="begin" w:fldLock="1"/>
      </w:r>
      <w:r w:rsidR="00AC5164">
        <w:instrText>ADDIN CSL_CITATION {"citationItems":[{"id":"ITEM-1","itemData":{"DOI":"10.2399/yod.17.001","ISSN":"2146796X","abstract":"Background: Recent studies with positron emission tomography have shown that in patients with recent acute ischemic stroke and bilateral carotid artery disease, ipsilateral carotids exhibit higher inflammatory activation. Microwave Radiometry (MWR) indirectly evaluates the inflammatory status of internal tissues, while the absence of radiation allows repetitive measurements. The aim of the present study was to investigate the role of local inflammation in the prediction of the culprit carotid arteries in patients with recent ischemic stroke. Methods: Consecutive patients with recent acute ischemic stroke due to large artery atherosclerosis were included in the study. Subjects with history of atrial fibrillation were excluded. Patients with bilateral carotid plaques underwent both MWR and carotid ultrasound evaluation within 24 hours from symptoms onset. During ultrasound study, maximum plaque thickness (MPT) was determined in each carotid artery. Temperature difference (ΔT) by MWR was assigned as maximal temperature along the carotid artery minus minimum. Culprit were defined the carotid arteries ipsilateral to cerebral ischemia. Patients with lacunar infarcts or transient ischemic attacks were excluded. The following models for culprit carotid artery prediction were considered and were compared with the use of Harrel's c-statistic: traditional risk factors (TRF - sex, age, smoking, dyslipidemia, arterial hypertension, diabetes mellitus and family history) plus MPT, b)TRF plus ΔT and c) TRF plus MPT plus ΔT. Results: One hundred carotid arteries from fifty patients were finally evaluated. Culprit carotid plaques had higher ΔT compared to nonculprit (0.93±0.58 versus 0.58±0.35°C, respectively, p&lt;0.001). Regarding the predictive capacity of the various models for the culprit carotid artery identification, the models TRF plus MPT and TRF plus ΔT showed similar c-statistic values (0.691, 95% CI 0.588-0.794, p&lt;0.001 vs 0.747, 95% CI 0.644-0.850, p&lt;0.001, respectively, pdiff.=0.36). On the contrary the model TRF plus MPT plus ΔT showed the highest c-statistic value (0.768, 95% CI 0.666-0.870, p&lt;0.001, pdiff=0.05). Conclusions: The evaluation with MWR of functional carotid artery characteristics could significantly contribute to culprit carotid artery identification in patients with recent ischemic stroke due to large artery atherosclerosis.","author":[{"dropping-particle":"","family":"Pilli","given":"Olga","non-dropping-particle":"","parse-names":false,"suffix":""},{"dropping-particle":"","family":"Admiraal","given":"Wilfried","non-dropping-particle":"","parse-names":false,"suffix":""}],"container-title":"Yuksekogretim Dergisi","id":"ITEM-1","issue":"1","issued":{"date-parts":[["2017"]]},"page":"46-71","title":"Students' Learning Outcomes in Massive Open Online Courses (MOOCs): Some Suggestions for Course Design","type":"article-journal","volume":"7"},"uris":["http://www.mendeley.com/documents/?uuid=63c0e902-5e96-4683-9688-4db4ef40b350"]}],"mendeley":{"formattedCitation":"[7]","plainTextFormattedCitation":"[7]","previouslyFormattedCitation":"[6]"},"properties":{"noteIndex":0},"schema":"https://github.com/citation-style-language/schema/raw/master/csl-citation.json"}</w:instrText>
      </w:r>
      <w:r w:rsidR="00F27AD0">
        <w:fldChar w:fldCharType="separate"/>
      </w:r>
      <w:r w:rsidR="00AC5164" w:rsidRPr="00AC5164">
        <w:rPr>
          <w:noProof/>
        </w:rPr>
        <w:t>[7]</w:t>
      </w:r>
      <w:r w:rsidR="00F27AD0">
        <w:fldChar w:fldCharType="end"/>
      </w:r>
      <w:r w:rsidR="00F27AD0">
        <w:fldChar w:fldCharType="begin" w:fldLock="1"/>
      </w:r>
      <w:r w:rsidR="00AC5164">
        <w:instrText>ADDIN CSL_CITATION {"citationItems":[{"id":"ITEM-1","itemData":{"DOI":"10.1109/SYSCO.2016.7831336","ISBN":"9781509049264","author":[{"dropping-particle":"","family":"Hassani","given":"Asma","non-dropping-particle":"","parse-names":false,"suffix":""},{"dropping-particle":"","family":"Ghanouchi","given":"Sonia Ayachi","non-dropping-particle":"","parse-names":false,"suffix":""}],"container-title":"Proceedings - 2016 3rd International Conference on Systems of Collaboration, SysCo 2016","id":"ITEM-1","issued":{"date-parts":[["2017"]]},"title":"Modeling of a collaborative learning process in the context of MOOCs","type":"article-journal"},"uris":["http://www.mendeley.com/documents/?uuid=74d866aa-a347-484b-b61c-7e114a89f48e"]}],"mendeley":{"formattedCitation":"[8]","plainTextFormattedCitation":"[8]","previouslyFormattedCitation":"[7]"},"properties":{"noteIndex":0},"schema":"https://github.com/citation-style-language/schema/raw/master/csl-citation.json"}</w:instrText>
      </w:r>
      <w:r w:rsidR="00F27AD0">
        <w:fldChar w:fldCharType="separate"/>
      </w:r>
      <w:r w:rsidR="00AC5164" w:rsidRPr="00AC5164">
        <w:rPr>
          <w:noProof/>
        </w:rPr>
        <w:t>[8]</w:t>
      </w:r>
      <w:r w:rsidR="00F27AD0">
        <w:fldChar w:fldCharType="end"/>
      </w:r>
      <w:r w:rsidR="002765A4">
        <w:t>.</w:t>
      </w:r>
    </w:p>
    <w:p w14:paraId="7A56F058" w14:textId="04BB03CC" w:rsidR="00322C70" w:rsidRDefault="00D6744F" w:rsidP="00E7596C">
      <w:pPr>
        <w:pStyle w:val="BodyText"/>
      </w:pPr>
      <w:r w:rsidRPr="00D6744F">
        <w:t>MOOCs are typically offered at no cost or a reduced fee, aiming to reach a large, diverse student population. Their primary mission is to provide flexible, easily accessible education, often from prestigious universities and organizations, to anyone with an internet connection. Platforms like Coursera, edX, and Udacity offer MOOCs on a wide range of subjects, including professional development, technology, humanities, and sciences.</w:t>
      </w:r>
    </w:p>
    <w:p w14:paraId="590EB8E1" w14:textId="5CC821C8" w:rsidR="00624253" w:rsidRDefault="009A4DC1" w:rsidP="00E7596C">
      <w:pPr>
        <w:pStyle w:val="BodyText"/>
      </w:pPr>
      <w:r w:rsidRPr="009A4DC1">
        <w:t>Key characteristics of MOOCs</w:t>
      </w:r>
      <w:r w:rsidR="00C32BB9">
        <w:t xml:space="preserve"> </w:t>
      </w:r>
      <w:r w:rsidR="00C32BB9">
        <w:fldChar w:fldCharType="begin" w:fldLock="1"/>
      </w:r>
      <w:r w:rsidR="00AC5164">
        <w:instrText>ADDIN CSL_CITATION {"citationItems":[{"id":"ITEM-1","itemData":{"DOI":"10.1016/j.compedu.2014.08.005","ISSN":"03601315","abstract":"We present an analysis of instructional design quality of 76 randomly selected Massive Open Online Courses (MOOCs). The quality of MOOCs was determined from first principles of instruction, using a course survey instrument. Two types of MOOCs (xMOOCs and cMOOCs) were analysed and their instructional design quality was assessed and compared. We found that the majority of MOOCs scored poorly on most instructional design principles. However, most MOOCs scored highly on organisation and presentation of course material. The results indicate that although most MOOCs are well-packaged, their instructional design quality is low. We outline implications for practice and ideas for future research.","author":[{"dropping-particle":"","family":"Margaryan","given":"Anoush","non-dropping-particle":"","parse-names":false,"suffix":""},{"dropping-particle":"","family":"Bianco","given":"Manuela","non-dropping-particle":"","parse-names":false,"suffix":""},{"dropping-particle":"","family":"Littlejohn","given":"Allison","non-dropping-particle":"","parse-names":false,"suffix":""}],"container-title":"Computers and Education","id":"ITEM-1","issued":{"date-parts":[["2015"]]},"page":"77-83","title":"Instructional quality of Massive Open Online Courses (MOOCs)","type":"article-journal","volume":"80"},"uris":["http://www.mendeley.com/documents/?uuid=e7f523da-437b-4800-be9c-f17141049b2f"]}],"mendeley":{"formattedCitation":"[9]","plainTextFormattedCitation":"[9]","previouslyFormattedCitation":"[8]"},"properties":{"noteIndex":0},"schema":"https://github.com/citation-style-language/schema/raw/master/csl-citation.json"}</w:instrText>
      </w:r>
      <w:r w:rsidR="00C32BB9">
        <w:fldChar w:fldCharType="separate"/>
      </w:r>
      <w:r w:rsidR="00AC5164" w:rsidRPr="00AC5164">
        <w:rPr>
          <w:noProof/>
        </w:rPr>
        <w:t>[9]</w:t>
      </w:r>
      <w:r w:rsidR="00C32BB9">
        <w:fldChar w:fldCharType="end"/>
      </w:r>
      <w:r w:rsidR="00C32BB9">
        <w:fldChar w:fldCharType="begin" w:fldLock="1"/>
      </w:r>
      <w:r w:rsidR="00AC5164">
        <w:instrText>ADDIN CSL_CITATION {"citationItems":[{"id":"ITEM-1","itemData":{"DOI":"10.1016/j.edurev.2014.05.001","ISSN":"1747938X","abstract":"Massive open online courses (MOOCs) are among the latest e-learning initiative to attain widespread popularity among many universities. In this paper, a review of the current published literature focusing on the use of MOOCs by instructors or students was conducted. Our primary goal in doing this is to summarize the accumulated state of knowledge concerning the main motivations and challenges of using MOOCs, as well as to identify issues that have yet to be fully addressed or resolved. Our findings suggest four reasons why students sign up for MOOCs: the desire to learn about a new topic or to extend current knowledge, they were curious about MOOCs, for personal challenge, and the desire to collect as many completion certificates as possible. Up to 90% drop out due to reasons including a lack of incentive, failure to understand the content material and having no one to turn to for help, and having other priorities to fulfill. Findings suggest three main reasons why instructors wish to teach MOOCs: being motivated by a sense of intrigue, the desire to gain some personal (egoistic) rewards, or a sense of altruism. Four key challenges of teaching MOOCs are also surfaced: difficulty in evaluating students' work, having a sense of speaking into a vacuum due to the absence of student immediate feedback, being burdened by the heavy demands of time and money, and encountering a lack of student participation in online forums. We conclude by discussing two issues that have yet to be fully resolved - the quality of MOOC education, and the assessment of student work. © 2014.","author":[{"dropping-particle":"","family":"Hew","given":"Khe Foon","non-dropping-particle":"","parse-names":false,"suffix":""},{"dropping-particle":"","family":"Cheung","given":"Wing Sum","non-dropping-particle":"","parse-names":false,"suffix":""}],"container-title":"Educational Research Review","id":"ITEM-1","issued":{"date-parts":[["2014"]]},"page":"45-58","title":"Students' and instructors' use of massive open online courses (MOOCs): Motivations and challenges","type":"article-journal","volume":"12"},"uris":["http://www.mendeley.com/documents/?uuid=03c385ff-cf9a-405c-8a52-5b264b27fd11"]}],"mendeley":{"formattedCitation":"[10]","plainTextFormattedCitation":"[10]","previouslyFormattedCitation":"[9]"},"properties":{"noteIndex":0},"schema":"https://github.com/citation-style-language/schema/raw/master/csl-citation.json"}</w:instrText>
      </w:r>
      <w:r w:rsidR="00C32BB9">
        <w:fldChar w:fldCharType="separate"/>
      </w:r>
      <w:r w:rsidR="00AC5164" w:rsidRPr="00AC5164">
        <w:rPr>
          <w:noProof/>
        </w:rPr>
        <w:t>[10]</w:t>
      </w:r>
      <w:r w:rsidR="00C32BB9">
        <w:fldChar w:fldCharType="end"/>
      </w:r>
      <w:r w:rsidR="00624253" w:rsidRPr="00624253">
        <w:t xml:space="preserve"> </w:t>
      </w:r>
      <w:r w:rsidRPr="009A4DC1">
        <w:t>include: 1) Open Enrollment: MOOCs are accessible to learners of all backgrounds, without official admission requirements; 2) Interactive and Engaging: They often feature readings, video lectures, quizzes, peer assessments, and discussion forums for interaction between students and instructors; 3) Self-paced Learning: Many MOOCs allow students, working professionals, and lifelong learners to progress at their own pace; 4) Certificates: While auditing MOOCs is usually free, some platforms offer paid certificates of completion, enhancing learners’ professional credentials.</w:t>
      </w:r>
    </w:p>
    <w:p w14:paraId="3DB8D673" w14:textId="77777777" w:rsidR="002765A4" w:rsidRPr="005B520E" w:rsidRDefault="002765A4" w:rsidP="00E7596C">
      <w:pPr>
        <w:pStyle w:val="BodyText"/>
      </w:pPr>
    </w:p>
    <w:p w14:paraId="66739D0E" w14:textId="1224DBCD" w:rsidR="009303D9" w:rsidRPr="005B520E" w:rsidRDefault="0055669D" w:rsidP="00ED0149">
      <w:pPr>
        <w:pStyle w:val="Heading2"/>
      </w:pPr>
      <w:r w:rsidRPr="0055669D">
        <w:t>Internet of Things (IoT)</w:t>
      </w:r>
    </w:p>
    <w:p w14:paraId="7C5D0763" w14:textId="02939D1E" w:rsidR="009303D9" w:rsidRDefault="00183EEA" w:rsidP="00E7596C">
      <w:pPr>
        <w:pStyle w:val="BodyText"/>
      </w:pPr>
      <w:r w:rsidRPr="00183EEA">
        <w:t>The Internet of Things (IoT) refers to a network of physical objects ("things") connected through sensors, smart devices, and other technologies that allow these objects to exchange data and communicate with other devices and systems over the internet. The concept behind IoT is to transform ordinary objects into "smart" devices by enabling them to collect, exchange, and process data in real time, securely and continuously.</w:t>
      </w:r>
    </w:p>
    <w:p w14:paraId="169F5117" w14:textId="02F1A8D6" w:rsidR="004E1B80" w:rsidRDefault="00183EEA" w:rsidP="00E7596C">
      <w:pPr>
        <w:pStyle w:val="BodyText"/>
      </w:pPr>
      <w:r w:rsidRPr="00183EEA">
        <w:t>IoT has revolutionized the way common objects collect and share data, marking a significant paradigm shift</w:t>
      </w:r>
      <w:r w:rsidR="004E1B80" w:rsidRPr="004E1B80">
        <w:t xml:space="preserve"> </w:t>
      </w:r>
      <w:r w:rsidR="004E1B80">
        <w:fldChar w:fldCharType="begin" w:fldLock="1"/>
      </w:r>
      <w:r w:rsidR="00AC5164">
        <w:instrText>ADDIN CSL_CITATION {"citationItems":[{"id":"ITEM-1","itemData":{"DOI":"10.3390/info12020087","ISSN":"20782489","abstract":"In recent years, the growing number of devices connected to the internet has increased significantly. These devices can interact with the external environment and with human beings through a wide range of sensors that, perceiving reality through the digitization of some parameters of interest, can provide an enormous amount of data. All this data is then shared on the network with other devices and with different applications and infrastructures. This dynamic and ever-changing world underlies the Internet of Things (IoT) paradigm. To date, countless applications based on IoT have been developed; think of Smart Cities, smart roads, and smart industries. This article analyzes the current architectures, technologies, protocols, and applications that characterize the paradigm.","author":[{"dropping-particle":"","family":"Lombardi","given":"Marco","non-dropping-particle":"","parse-names":false,"suffix":""},{"dropping-particle":"","family":"Pascale","given":"Francesco","non-dropping-particle":"","parse-names":false,"suffix":""},{"dropping-particle":"","family":"Santaniello","given":"Domenico","non-dropping-particle":"","parse-names":false,"suffix":""}],"container-title":"Information (Switzerland)","id":"ITEM-1","issue":"2","issued":{"date-parts":[["2021"]]},"page":"1-21","title":"Internet of things: A general overview between architectures, protocols and applications","type":"article-journal","volume":"12"},"uris":["http://www.mendeley.com/documents/?uuid=f6c527a5-d0fd-430c-9be0-b33198e07d73"]}],"mendeley":{"formattedCitation":"[11]","plainTextFormattedCitation":"[11]","previouslyFormattedCitation":"[10]"},"properties":{"noteIndex":0},"schema":"https://github.com/citation-style-language/schema/raw/master/csl-citation.json"}</w:instrText>
      </w:r>
      <w:r w:rsidR="004E1B80">
        <w:fldChar w:fldCharType="separate"/>
      </w:r>
      <w:r w:rsidR="00AC5164" w:rsidRPr="00AC5164">
        <w:rPr>
          <w:noProof/>
        </w:rPr>
        <w:t>[11]</w:t>
      </w:r>
      <w:r w:rsidR="004E1B80">
        <w:fldChar w:fldCharType="end"/>
      </w:r>
      <w:r w:rsidR="004E1B80" w:rsidRPr="004E1B80">
        <w:t xml:space="preserve">. </w:t>
      </w:r>
      <w:r w:rsidR="002027C1" w:rsidRPr="002027C1">
        <w:t xml:space="preserve">This technology has a profound impact on various industries, including manufacturing, healthcare, education, and smart cities. IoT began with simple RFID tags and has since evolved into complex systems incorporating artificial intelligence </w:t>
      </w:r>
      <w:r w:rsidR="002027C1" w:rsidRPr="002027C1">
        <w:t>(AI), cloud computing, and advanced sensors. Key advancements, such as the development of IPv6 (which allowed a vast number of devices to connect to the internet) and the introduction of 5G and other wireless communication technologies, have been instrumental in this evolution.</w:t>
      </w:r>
    </w:p>
    <w:p w14:paraId="0E7C4CEC" w14:textId="16C61005" w:rsidR="00306DEF" w:rsidRDefault="001421C3" w:rsidP="00E7596C">
      <w:pPr>
        <w:pStyle w:val="BodyText"/>
      </w:pPr>
      <w:r w:rsidRPr="001421C3">
        <w:t>The IoT field is vast and dynamic, encompassing a wide range of technologies and applications. Its essential components include logic, data collection, sensors, actuators, and user interfaces. Sensors and actuators are the physical elements responsible for gathering and processing data. Device-to-device communication is enabled by networks like Wi-Fi, cellular, and LoRaWAN</w:t>
      </w:r>
      <w:r w:rsidR="00306DEF" w:rsidRPr="00306DEF">
        <w:t xml:space="preserve"> </w:t>
      </w:r>
      <w:r w:rsidR="00123538">
        <w:fldChar w:fldCharType="begin" w:fldLock="1"/>
      </w:r>
      <w:r w:rsidR="00AC5164">
        <w:instrText>ADDIN CSL_CITATION {"citationItems":[{"id":"ITEM-1","itemData":{"DOI":"10.32604/jiot.2022.026170","ISSN":"2579-0099","abstract":"This review discusses the integration of Wireless Sensor Networks (WSNs) with IoT. It covers the applications, challenges, and future directions of WSNs in IoT, emphasizing the importance of connectivity and data management in IoT applications.","author":[{"dropping-particle":"","family":"Singh","given":"Amarjit","non-dropping-particle":"","parse-names":false,"suffix":""}],"container-title":"Journal on Internet of Things","id":"ITEM-1","issue":"2","issued":{"date-parts":[["2022"]]},"page":"69-73","title":"A Review about Wireless Sensor Networks and the Internet of Things","type":"article-journal","volume":"4"},"uris":["http://www.mendeley.com/documents/?uuid=fa857a66-a7f9-45e6-a946-2508fdcc1afc"]}],"mendeley":{"formattedCitation":"[12]","plainTextFormattedCitation":"[12]","previouslyFormattedCitation":"[11]"},"properties":{"noteIndex":0},"schema":"https://github.com/citation-style-language/schema/raw/master/csl-citation.json"}</w:instrText>
      </w:r>
      <w:r w:rsidR="00123538">
        <w:fldChar w:fldCharType="separate"/>
      </w:r>
      <w:r w:rsidR="00AC5164" w:rsidRPr="00AC5164">
        <w:rPr>
          <w:noProof/>
        </w:rPr>
        <w:t>[12]</w:t>
      </w:r>
      <w:r w:rsidR="00123538">
        <w:fldChar w:fldCharType="end"/>
      </w:r>
      <w:r w:rsidR="00306DEF" w:rsidRPr="00306DEF">
        <w:t xml:space="preserve">. </w:t>
      </w:r>
      <w:r w:rsidRPr="001421C3">
        <w:t>Large-scale data processing and analysis are typically handled by cloud or edge computing platforms. Lastly, accessible user interfaces, such as web browsers or mobile apps, allow individuals to interact with and control IoT systems.</w:t>
      </w:r>
    </w:p>
    <w:p w14:paraId="43E1593B" w14:textId="46DAEF69" w:rsidR="00306DEF" w:rsidRDefault="00A474D5" w:rsidP="00E7596C">
      <w:pPr>
        <w:pStyle w:val="BodyText"/>
      </w:pPr>
      <w:r w:rsidRPr="00A474D5">
        <w:t>IoT technology has broad applications across multiple industries. In healthcare, IoT can improve patient care by tracking vital signs in real time and alerting healthcare providers to any issues, potentially reducing hospital admissions. In industrial settings, IoT enables predictive maintenance, where sensors monitor machine conditions and schedule repairs only when necessary. At home, IoT devices such as smart lighting, security systems, and thermostats enhance comfort and security</w:t>
      </w:r>
      <w:r w:rsidR="00306DEF" w:rsidRPr="00306DEF">
        <w:t xml:space="preserve"> </w:t>
      </w:r>
      <w:r w:rsidR="00D33066">
        <w:fldChar w:fldCharType="begin" w:fldLock="1"/>
      </w:r>
      <w:r w:rsidR="00AC5164">
        <w:instrText>ADDIN CSL_CITATION {"citationItems":[{"id":"ITEM-1","itemData":{"DOI":"10.3390/s22030995","ISSN":"14248220","PMID":"35161740","abstract":"The Internet of Things (IoT) is an extensive network of heterogeneous devices that provides an array of innovative applications and services. IoT networks enable the integration of data and services to seamlessly interconnect the cyber and physical systems. However, the heterogeneity of devices, underlying technologies and lack of standardization pose critical challenges in this domain. On account of these challenges, this research article aims to provide a comprehensive overview of the enabling technologies and standards that build up the IoT technology stack. First, a layered architecture approach is presented where the state-of-the-art research and open challenges are discussed at every layer. Next, this research article focuses on the role of middleware platforms in IoT application development and integration. Furthermore, this article addresses the open challenges and provides comprehensive steps towards IoT stack optimization. Finally, the interfacing of Fog/Edge Networks to IoT technology stack is thoroughly investigated by discussing the current research and open challenges in this domain. The main scope of this study is to provide a comprehensive review into IoT technology (the horizontal fabric), the associated middleware and networks required to build future proof applications (the vertical markets).","author":[{"dropping-particle":"","family":"Ali","given":"Omer","non-dropping-particle":"","parse-names":false,"suffix":""},{"dropping-particle":"","family":"Ishak","given":"Mohamad Khairi","non-dropping-particle":"","parse-names":false,"suffix":""},{"dropping-particle":"","family":"Bhatti","given":"Muhammad Kamran Liaquat","non-dropping-particle":"","parse-names":false,"suffix":""},{"dropping-particle":"","family":"Khan","given":"Imran","non-dropping-particle":"","parse-names":false,"suffix":""},{"dropping-particle":"Il","family":"Kim","given":"Ki","non-dropping-particle":"","parse-names":false,"suffix":""}],"container-title":"Sensors","id":"ITEM-1","issue":"3","issued":{"date-parts":[["2022"]]},"page":"1-43","title":"A Comprehensive Review of Internet of Things: Technology Stack, Middlewares, and Fog/Edge Computing Interface","type":"article-journal","volume":"22"},"uris":["http://www.mendeley.com/documents/?uuid=f23cc77c-8a8a-4f96-b2e7-1aa375beb743"]}],"mendeley":{"formattedCitation":"[13]","plainTextFormattedCitation":"[13]","previouslyFormattedCitation":"[12]"},"properties":{"noteIndex":0},"schema":"https://github.com/citation-style-language/schema/raw/master/csl-citation.json"}</w:instrText>
      </w:r>
      <w:r w:rsidR="00D33066">
        <w:fldChar w:fldCharType="separate"/>
      </w:r>
      <w:r w:rsidR="00AC5164" w:rsidRPr="00AC5164">
        <w:rPr>
          <w:noProof/>
        </w:rPr>
        <w:t>[13]</w:t>
      </w:r>
      <w:r w:rsidR="00D33066">
        <w:fldChar w:fldCharType="end"/>
      </w:r>
      <w:r w:rsidR="00306DEF" w:rsidRPr="00306DEF">
        <w:t>.</w:t>
      </w:r>
    </w:p>
    <w:p w14:paraId="02906F45" w14:textId="63ABD784" w:rsidR="00306DEF" w:rsidRDefault="000A525E" w:rsidP="00E7596C">
      <w:pPr>
        <w:pStyle w:val="BodyText"/>
      </w:pPr>
      <w:r w:rsidRPr="000A525E">
        <w:t>The benefits of IoT are extensive. It increases productivity, improves decision-making through data-driven insights, enhances operational efficiency, and boosts customer satisfaction. For example, in agriculture, IoT sensors can monitor soil conditions and optimize crop production, leading to higher yields and better soil preservation. In transportation, IoT improves logistics and inventory management by enabling real-time tracking of workers and cargo, reducing costs, and speeding up delivery times.</w:t>
      </w:r>
    </w:p>
    <w:p w14:paraId="4ACB1268" w14:textId="77777777" w:rsidR="002542ED" w:rsidRDefault="002542ED" w:rsidP="00E7596C">
      <w:pPr>
        <w:pStyle w:val="BodyText"/>
      </w:pPr>
    </w:p>
    <w:p w14:paraId="62D5184F" w14:textId="65C8A8DF" w:rsidR="00A02FCD" w:rsidRPr="005B520E" w:rsidRDefault="00A02FCD" w:rsidP="00A02FCD">
      <w:pPr>
        <w:pStyle w:val="Heading2"/>
      </w:pPr>
      <w:r w:rsidRPr="00A02FCD">
        <w:t>Two-Factor Authentication (2FA)</w:t>
      </w:r>
    </w:p>
    <w:p w14:paraId="24127F52" w14:textId="4520CB10" w:rsidR="00A02FCD" w:rsidRDefault="002542ED" w:rsidP="00A02FCD">
      <w:pPr>
        <w:pStyle w:val="BodyText"/>
      </w:pPr>
      <w:r w:rsidRPr="002542ED">
        <w:t xml:space="preserve">Two-Factor Authentication (2FA) is a security process in which the user provides two distinct authentication factors to verify their identity </w:t>
      </w:r>
      <w:r w:rsidR="000825F9">
        <w:t xml:space="preserve"> </w:t>
      </w:r>
      <w:r w:rsidR="000825F9">
        <w:fldChar w:fldCharType="begin" w:fldLock="1"/>
      </w:r>
      <w:r w:rsidR="00AC5164">
        <w:instrText>ADDIN CSL_CITATION {"citationItems":[{"id":"ITEM-1","itemData":{"ISBN":"1285964020","abstract":"Delivering up-to-the-minute coverage, COMPUTER SECURITY AND PENETRATION TESTING, Second Edition offers readers of all backgrounds and experience levels a well-researched and engaging introduction to the fascinating realm of network security. Spotlighting the latest threats and vulnerabilities, this cutting-edge text is packed with real-world examples that showcase today’s most important and relevant security topics. It addresses how and why people attack computers and networks--equipping readers with the knowledge and techniques to successfully combat hackers. This edition also includes new emphasis on ethics and legal issues. The world of information security is changing every day - readers are provided with a clear differentiation between hacking myths and hacking facts. Straightforward in its approach, this comprehensive resource teaches the skills needed to go from hoping a system is secure to knowing that it is.Important Notice: Media content referenced within the product description or the product text may not be available in the ebook version.","author":[{"dropping-particle":"","family":"Basta","given":"Alfred","non-dropping-particle":"","parse-names":false,"suffix":""},{"dropping-particle":"","family":"Basta","given":"Nadine","non-dropping-particle":"","parse-names":false,"suffix":""},{"dropping-particle":"","family":"Brown","given":"Mary","non-dropping-particle":"","parse-names":false,"suffix":""}],"id":"ITEM-1","issued":{"date-parts":[["2013"]]},"number-of-pages":"512","publisher":"Stamford, Connecticut : Cengage Learning","title":"Computer Security and Penetration Testing","type":"book"},"uris":["http://www.mendeley.com/documents/?uuid=62849566-3fc7-4b82-a097-1b19d58e5702"]}],"mendeley":{"formattedCitation":"[14]","plainTextFormattedCitation":"[14]","previouslyFormattedCitation":"[13]"},"properties":{"noteIndex":0},"schema":"https://github.com/citation-style-language/schema/raw/master/csl-citation.json"}</w:instrText>
      </w:r>
      <w:r w:rsidR="000825F9">
        <w:fldChar w:fldCharType="separate"/>
      </w:r>
      <w:r w:rsidR="00AC5164" w:rsidRPr="00AC5164">
        <w:rPr>
          <w:noProof/>
        </w:rPr>
        <w:t>[14]</w:t>
      </w:r>
      <w:r w:rsidR="000825F9">
        <w:fldChar w:fldCharType="end"/>
      </w:r>
      <w:r w:rsidR="006F74AF" w:rsidRPr="006F74AF">
        <w:t>.</w:t>
      </w:r>
      <w:r w:rsidR="009521AD">
        <w:t xml:space="preserve"> </w:t>
      </w:r>
      <w:r w:rsidRPr="002542ED">
        <w:t>By adding an extra layer of security, 2FA significantly enhances protection against unauthorized access to a user’s account or sensitive data. Unlike standard single-factor authentication, which typically relies on something the user knows (such as a password), 2FA requires an additional factor. This additional factor can be something the user has (like a smartphone) or something they are (such as a fingerprint).</w:t>
      </w:r>
    </w:p>
    <w:p w14:paraId="7319A370" w14:textId="6116668B" w:rsidR="000C0EBD" w:rsidRDefault="00AF188B" w:rsidP="00A02FCD">
      <w:pPr>
        <w:pStyle w:val="BodyText"/>
      </w:pPr>
      <w:r w:rsidRPr="00AF188B">
        <w:t>Two-Factor Authentication (2FA) consists of several main components</w:t>
      </w:r>
      <w:r>
        <w:t>:</w:t>
      </w:r>
      <w:r w:rsidR="000C0EBD" w:rsidRPr="000C0EBD">
        <w:t xml:space="preserve"> 1) </w:t>
      </w:r>
      <w:r w:rsidRPr="00AF188B">
        <w:t>Something You Know: This is typically a password or PIN and serves as the first line of defense</w:t>
      </w:r>
      <w:r w:rsidR="006030B4">
        <w:t>;</w:t>
      </w:r>
      <w:r w:rsidR="000C0EBD" w:rsidRPr="000C0EBD">
        <w:t xml:space="preserve"> 2) </w:t>
      </w:r>
      <w:r w:rsidRPr="00AF188B">
        <w:t>Something You Own: This includes a tangible object that generates a time-sensitive code, such as a smart card, hardware token, or smartphone</w:t>
      </w:r>
      <w:r w:rsidR="006030B4">
        <w:t>;</w:t>
      </w:r>
      <w:r w:rsidR="000C0EBD" w:rsidRPr="000C0EBD">
        <w:t xml:space="preserve"> 3) </w:t>
      </w:r>
      <w:r w:rsidRPr="00AF188B">
        <w:t>Something You Are: This type of verification uses biometrics, such as retinal scans, fingerprints, or facial recognition</w:t>
      </w:r>
      <w:r w:rsidR="00152A88">
        <w:t xml:space="preserve"> </w:t>
      </w:r>
      <w:r w:rsidR="00306FD3">
        <w:fldChar w:fldCharType="begin" w:fldLock="1"/>
      </w:r>
      <w:r w:rsidR="00AC5164">
        <w:instrText>ADDIN CSL_CITATION {"citationItems":[{"id":"ITEM-1","itemData":{"author":[{"dropping-particle":"","family":"Saxena, N., &amp; Clark","given":"J.","non-dropping-particle":"","parse-names":false,"suffix":""}],"container-title":"International Journal of Information Security","id":"ITEM-1","issued":{"date-parts":[["2016"]]},"page":"15(4), 269-276.","title":"Security and Usability Challenges of Two-Factor Authentication and Beyond","type":"article-journal"},"uris":["http://www.mendeley.com/documents/?uuid=5319f65b-dd73-4bcd-9a1d-bc7a7da7c3db"]}],"mendeley":{"formattedCitation":"[15]","plainTextFormattedCitation":"[15]","previouslyFormattedCitation":"[14]"},"properties":{"noteIndex":0},"schema":"https://github.com/citation-style-language/schema/raw/master/csl-citation.json"}</w:instrText>
      </w:r>
      <w:r w:rsidR="00306FD3">
        <w:fldChar w:fldCharType="separate"/>
      </w:r>
      <w:r w:rsidR="00AC5164" w:rsidRPr="00AC5164">
        <w:rPr>
          <w:noProof/>
        </w:rPr>
        <w:t>[15]</w:t>
      </w:r>
      <w:r w:rsidR="00306FD3">
        <w:fldChar w:fldCharType="end"/>
      </w:r>
      <w:r w:rsidR="00306FD3">
        <w:t>.</w:t>
      </w:r>
    </w:p>
    <w:p w14:paraId="1AB31263" w14:textId="77777777" w:rsidR="00A02FCD" w:rsidRDefault="00A02FCD" w:rsidP="00E7596C">
      <w:pPr>
        <w:pStyle w:val="BodyText"/>
      </w:pPr>
    </w:p>
    <w:p w14:paraId="74AB207D" w14:textId="5AB80008" w:rsidR="00A02FCD" w:rsidRPr="005B520E" w:rsidRDefault="00A02FCD" w:rsidP="00A02FCD">
      <w:pPr>
        <w:pStyle w:val="Heading2"/>
      </w:pPr>
      <w:r>
        <w:t xml:space="preserve">IoT-Based </w:t>
      </w:r>
      <w:r w:rsidRPr="00A02FCD">
        <w:t xml:space="preserve">Two-Factor Authentication </w:t>
      </w:r>
    </w:p>
    <w:p w14:paraId="640A41FC" w14:textId="6AE3A789" w:rsidR="00A02FCD" w:rsidRDefault="001276CA" w:rsidP="00A02FCD">
      <w:pPr>
        <w:pStyle w:val="BodyText"/>
      </w:pPr>
      <w:r w:rsidRPr="001276CA">
        <w:t xml:space="preserve">IoT-Based Two-Factor Authentication (2FA) is a security feature that leverages the Internet of Things (IoT) to provide an additional layer of protection for user authentication. It ensures that even if one authentication factor is compromised, </w:t>
      </w:r>
      <w:r w:rsidRPr="001276CA">
        <w:lastRenderedPageBreak/>
        <w:t>unauthorized access is still prevented by combining something the user knows (such as a password) with something the user owns (an IoT device).</w:t>
      </w:r>
    </w:p>
    <w:p w14:paraId="1B1859E6" w14:textId="140BE151" w:rsidR="00002EDB" w:rsidRDefault="00002EDB" w:rsidP="00A02FCD">
      <w:pPr>
        <w:pStyle w:val="BodyText"/>
      </w:pPr>
      <w:r>
        <w:t>Advantages</w:t>
      </w:r>
      <w:r w:rsidRPr="00002EDB">
        <w:t xml:space="preserve"> of IoT-Based 2FA: 1) </w:t>
      </w:r>
      <w:r w:rsidR="00884313" w:rsidRPr="00884313">
        <w:t>Enhanced Security: By adding an extra layer of authentication, IoT-based 2FA significantly reduces the risk of unauthorized access</w:t>
      </w:r>
      <w:r w:rsidRPr="00002EDB">
        <w:t xml:space="preserve">; 2) </w:t>
      </w:r>
      <w:r w:rsidR="00A20F30" w:rsidRPr="00A20F30">
        <w:t>User Convenience: IoT devices, such as wearables, are often readily accessible to users, making the authentication process simple and intuitive</w:t>
      </w:r>
      <w:r w:rsidRPr="00002EDB">
        <w:t xml:space="preserve">; 3) </w:t>
      </w:r>
      <w:r w:rsidR="003D6DD3" w:rsidRPr="003D6DD3">
        <w:t>Real-Time Verification: IoT devices offer real-time authentication, ensuring immediate response to any access attempt</w:t>
      </w:r>
      <w:r w:rsidRPr="00002EDB">
        <w:t>.</w:t>
      </w:r>
    </w:p>
    <w:p w14:paraId="17F150FC" w14:textId="599EB563" w:rsidR="009303D9" w:rsidRDefault="0009779E" w:rsidP="006B6B66">
      <w:pPr>
        <w:pStyle w:val="Heading1"/>
      </w:pPr>
      <w:r w:rsidRPr="0009779E">
        <w:t>METHODOLOGY</w:t>
      </w:r>
    </w:p>
    <w:p w14:paraId="1F51E40A" w14:textId="77777777" w:rsidR="004C6D36" w:rsidRDefault="004C6D36" w:rsidP="00DB5E68">
      <w:pPr>
        <w:pStyle w:val="BodyText"/>
      </w:pPr>
      <w:r w:rsidRPr="004C6D36">
        <w:t>This paper investigates the application of Internet of Things (IoT)-based Two-Factor Authentication (2FA) on the TOEFL ITP (Test of English as a Foreign Language Institutional Testing Program) and Massive Open Online Courses (MOOCs) platforms using a mixed-methods approach. The research instruments included achievement tests and interview guidelines, which were validated by three experts. Instrument reliability was tested on a sample of 30 postgraduate students from the Postgraduate Program at Indraprasta PGRI University, Jakarta.</w:t>
      </w:r>
    </w:p>
    <w:p w14:paraId="2B8D4A3A" w14:textId="5760C771" w:rsidR="00FF1FEE" w:rsidRDefault="004C6D36" w:rsidP="004C6D36">
      <w:pPr>
        <w:pStyle w:val="BodyText"/>
        <w:rPr>
          <w:lang w:val="en-US"/>
        </w:rPr>
      </w:pPr>
      <w:r w:rsidRPr="004C6D36">
        <w:t>The methodology consists of the following steps:</w:t>
      </w:r>
      <w:r>
        <w:t xml:space="preserve"> </w:t>
      </w:r>
      <w:r w:rsidR="00737BB4" w:rsidRPr="00737BB4">
        <w:rPr>
          <w:lang w:val="en-US"/>
        </w:rPr>
        <w:t>Literature Review</w:t>
      </w:r>
      <w:r w:rsidR="00737BB4">
        <w:rPr>
          <w:lang w:val="en-US"/>
        </w:rPr>
        <w:t xml:space="preserve">: </w:t>
      </w:r>
      <w:r w:rsidR="00737BB4" w:rsidRPr="00737BB4">
        <w:rPr>
          <w:lang w:val="en-US"/>
        </w:rPr>
        <w:t>To determine the essential elements of IoT-based 2FA systems, their technological framework, and their use in online learning settings, a thorough literature research was carried out. Academic articles, technical reports, and case studies on 2FA, IoT, and online education security are some of the sources.</w:t>
      </w:r>
    </w:p>
    <w:p w14:paraId="12B05D99" w14:textId="5E427124" w:rsidR="00737BB4" w:rsidRDefault="00F766DE" w:rsidP="00DB5E68">
      <w:pPr>
        <w:pStyle w:val="BodyText"/>
        <w:rPr>
          <w:lang w:val="en-US"/>
        </w:rPr>
      </w:pPr>
      <w:r w:rsidRPr="00F766DE">
        <w:rPr>
          <w:lang w:val="en-US"/>
        </w:rPr>
        <w:t>System Design and Architecture Analysis: A conceptual model for an IoT-based 2FA system for the TOEFL ITP and MOOCs platforms was designed. This process involved identifying the required hardware (e.g., smartphones and wearables) and software (e.g., authentication servers and cloud services) necessary to implement the 2FA solution.</w:t>
      </w:r>
      <w:r w:rsidR="00737BB4">
        <w:rPr>
          <w:lang w:val="en-US"/>
        </w:rPr>
        <w:t xml:space="preserve"> </w:t>
      </w:r>
    </w:p>
    <w:p w14:paraId="6FE844B2" w14:textId="28777C87" w:rsidR="00737BB4" w:rsidRDefault="005D420D" w:rsidP="00DB5E68">
      <w:pPr>
        <w:pStyle w:val="BodyText"/>
        <w:rPr>
          <w:lang w:val="en-US"/>
        </w:rPr>
      </w:pPr>
      <w:r w:rsidRPr="005D420D">
        <w:rPr>
          <w:lang w:val="en-US"/>
        </w:rPr>
        <w:t>IoT Architecture Examination: The IoT technology architecture was thoroughly analyzed to determine how various components interact to provide secure user access. The focus was on how IoT devices integrate with data flow, communication protocols, and authentication servers to enable real-time identity verification.</w:t>
      </w:r>
    </w:p>
    <w:p w14:paraId="1BABD1CC" w14:textId="5E90B11E" w:rsidR="00A948AF" w:rsidRDefault="00B16F48" w:rsidP="00DB5E68">
      <w:pPr>
        <w:pStyle w:val="BodyText"/>
        <w:rPr>
          <w:lang w:val="en-US"/>
        </w:rPr>
      </w:pPr>
      <w:r w:rsidRPr="00B16F48">
        <w:rPr>
          <w:lang w:val="en-US"/>
        </w:rPr>
        <w:t>This methodology provides a structured approach to evaluating the implementation of the IoT-based 2FA system, aiming to enhance the security of the learning platform while ensuring a positive user experience.</w:t>
      </w:r>
    </w:p>
    <w:p w14:paraId="6245B90B" w14:textId="43748817" w:rsidR="00385086" w:rsidRDefault="00385086" w:rsidP="00D85463">
      <w:pPr>
        <w:pStyle w:val="BodyText"/>
        <w:ind w:firstLine="0pt"/>
        <w:jc w:val="center"/>
        <w:rPr>
          <w:lang w:val="en-US"/>
        </w:rPr>
      </w:pPr>
      <w:r>
        <w:rPr>
          <w:noProof/>
        </w:rPr>
        <w:drawing>
          <wp:inline distT="0" distB="0" distL="0" distR="0" wp14:anchorId="6895AD4D" wp14:editId="283E0CE6">
            <wp:extent cx="2584938" cy="1786508"/>
            <wp:effectExtent l="0" t="0" r="6350" b="4445"/>
            <wp:docPr id="1654131554" name="Picture 1"/>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1654131554" name=""/>
                    <pic:cNvPicPr/>
                  </pic:nvPicPr>
                  <pic:blipFill>
                    <a:blip r:embed="rId9"/>
                    <a:stretch>
                      <a:fillRect/>
                    </a:stretch>
                  </pic:blipFill>
                  <pic:spPr>
                    <a:xfrm>
                      <a:off x="0" y="0"/>
                      <a:ext cx="2584938" cy="1786508"/>
                    </a:xfrm>
                    <a:prstGeom prst="rect">
                      <a:avLst/>
                    </a:prstGeom>
                  </pic:spPr>
                </pic:pic>
              </a:graphicData>
            </a:graphic>
          </wp:inline>
        </w:drawing>
      </w:r>
    </w:p>
    <w:p w14:paraId="444731BE" w14:textId="11BB0514" w:rsidR="00385086" w:rsidRDefault="00385086" w:rsidP="00F3442A">
      <w:pPr>
        <w:pStyle w:val="BodyText"/>
        <w:ind w:firstLine="0pt"/>
        <w:jc w:val="center"/>
        <w:rPr>
          <w:lang w:val="en-US"/>
        </w:rPr>
      </w:pPr>
      <w:r>
        <w:rPr>
          <w:lang w:val="en-US"/>
        </w:rPr>
        <w:t>Figure 1. Software Architecture IoT TOEFL MOOC</w:t>
      </w:r>
    </w:p>
    <w:p w14:paraId="442621BC" w14:textId="77777777" w:rsidR="006D002E" w:rsidRDefault="006D002E" w:rsidP="006D002E">
      <w:pPr>
        <w:pStyle w:val="BodyText"/>
        <w:ind w:firstLine="0pt"/>
        <w:rPr>
          <w:lang w:val="en-US"/>
        </w:rPr>
      </w:pPr>
    </w:p>
    <w:p w14:paraId="5D2DD83B" w14:textId="74FF60FD" w:rsidR="009303D9" w:rsidRDefault="00B25B3B" w:rsidP="006B6B66">
      <w:pPr>
        <w:pStyle w:val="Heading1"/>
      </w:pPr>
      <w:r w:rsidRPr="00B25B3B">
        <w:t>RESULTS AND DISCUSSION</w:t>
      </w:r>
    </w:p>
    <w:p w14:paraId="550E2495" w14:textId="6D8182B8" w:rsidR="009303D9" w:rsidRDefault="00F4092B" w:rsidP="00ED0149">
      <w:pPr>
        <w:pStyle w:val="Heading2"/>
      </w:pPr>
      <w:r>
        <w:t xml:space="preserve">Interface of IoT </w:t>
      </w:r>
      <w:r w:rsidR="00905718">
        <w:t xml:space="preserve">TOEFL </w:t>
      </w:r>
      <w:r>
        <w:t xml:space="preserve">MOOCs </w:t>
      </w:r>
    </w:p>
    <w:p w14:paraId="1A9E45B8" w14:textId="311C1748" w:rsidR="009303D9" w:rsidRDefault="00E61292" w:rsidP="00E7596C">
      <w:pPr>
        <w:pStyle w:val="BodyText"/>
      </w:pPr>
      <w:r w:rsidRPr="00E61292">
        <w:t>The user interface of the IoT TOEFL MOOCs application consists of two key components: an interface on the web application and an interface on the IoT 2FA device.</w:t>
      </w:r>
    </w:p>
    <w:p w14:paraId="18D00854" w14:textId="3108B0C9" w:rsidR="006C5975" w:rsidRDefault="0002141B" w:rsidP="0002141B">
      <w:pPr>
        <w:pStyle w:val="BodyText"/>
        <w:ind w:firstLine="0pt"/>
      </w:pPr>
      <w:r>
        <w:rPr>
          <w:noProof/>
        </w:rPr>
        <w:drawing>
          <wp:inline distT="0" distB="0" distL="0" distR="0" wp14:anchorId="3572D288" wp14:editId="27E6FB77">
            <wp:extent cx="3089910" cy="1553210"/>
            <wp:effectExtent l="0" t="0" r="0" b="8890"/>
            <wp:docPr id="395562985" name="Picture 1"/>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395562985" name=""/>
                    <pic:cNvPicPr/>
                  </pic:nvPicPr>
                  <pic:blipFill>
                    <a:blip r:embed="rId10"/>
                    <a:stretch>
                      <a:fillRect/>
                    </a:stretch>
                  </pic:blipFill>
                  <pic:spPr>
                    <a:xfrm>
                      <a:off x="0" y="0"/>
                      <a:ext cx="3089910" cy="1553210"/>
                    </a:xfrm>
                    <a:prstGeom prst="rect">
                      <a:avLst/>
                    </a:prstGeom>
                  </pic:spPr>
                </pic:pic>
              </a:graphicData>
            </a:graphic>
          </wp:inline>
        </w:drawing>
      </w:r>
    </w:p>
    <w:p w14:paraId="3EFD9D5B" w14:textId="08574035" w:rsidR="006C5975" w:rsidRPr="005B520E" w:rsidRDefault="006C5975" w:rsidP="0002141B">
      <w:pPr>
        <w:pStyle w:val="BodyText"/>
        <w:jc w:val="center"/>
      </w:pPr>
      <w:r>
        <w:t xml:space="preserve">Figure </w:t>
      </w:r>
      <w:r w:rsidR="00F97AD7">
        <w:t>2</w:t>
      </w:r>
      <w:r>
        <w:t xml:space="preserve">. </w:t>
      </w:r>
      <w:r w:rsidR="0002141B">
        <w:t>Login Form</w:t>
      </w:r>
    </w:p>
    <w:p w14:paraId="2083709F" w14:textId="7582671F" w:rsidR="0002141B" w:rsidRDefault="00C47F85" w:rsidP="0019428F">
      <w:pPr>
        <w:pStyle w:val="Heading3"/>
        <w:numPr>
          <w:ilvl w:val="0"/>
          <w:numId w:val="0"/>
        </w:numPr>
        <w:ind w:firstLine="14.20pt"/>
        <w:rPr>
          <w:i w:val="0"/>
          <w:iCs w:val="0"/>
        </w:rPr>
      </w:pPr>
      <w:r w:rsidRPr="00C47F85">
        <w:rPr>
          <w:i w:val="0"/>
          <w:iCs w:val="0"/>
        </w:rPr>
        <w:t>To access the learning materials and exams in the IoT TOEFL MOOCs application, users must enter their username, password, and a captcha. Upon successfully logging in, a Two-Factor Authentication (2FA) form will appear.</w:t>
      </w:r>
    </w:p>
    <w:p w14:paraId="2E7C2E40" w14:textId="5945881D" w:rsidR="0002141B" w:rsidRPr="0002141B" w:rsidRDefault="0002141B" w:rsidP="0002141B">
      <w:r>
        <w:rPr>
          <w:noProof/>
        </w:rPr>
        <w:drawing>
          <wp:inline distT="0" distB="0" distL="0" distR="0" wp14:anchorId="5B83A0D1" wp14:editId="477353B9">
            <wp:extent cx="3089910" cy="1541145"/>
            <wp:effectExtent l="0" t="0" r="0" b="1905"/>
            <wp:docPr id="1205834323" name="Picture 1"/>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1205834323" name=""/>
                    <pic:cNvPicPr/>
                  </pic:nvPicPr>
                  <pic:blipFill>
                    <a:blip r:embed="rId11"/>
                    <a:stretch>
                      <a:fillRect/>
                    </a:stretch>
                  </pic:blipFill>
                  <pic:spPr>
                    <a:xfrm>
                      <a:off x="0" y="0"/>
                      <a:ext cx="3089910" cy="1541145"/>
                    </a:xfrm>
                    <a:prstGeom prst="rect">
                      <a:avLst/>
                    </a:prstGeom>
                  </pic:spPr>
                </pic:pic>
              </a:graphicData>
            </a:graphic>
          </wp:inline>
        </w:drawing>
      </w:r>
    </w:p>
    <w:p w14:paraId="6E666E94" w14:textId="5A91583F" w:rsidR="0002141B" w:rsidRDefault="0002141B" w:rsidP="0002141B">
      <w:r>
        <w:t xml:space="preserve">Figure </w:t>
      </w:r>
      <w:r w:rsidR="00F97AD7">
        <w:t>3</w:t>
      </w:r>
      <w:r>
        <w:t xml:space="preserve">. </w:t>
      </w:r>
      <w:bookmarkStart w:id="0" w:name="_Hlk176030453"/>
      <w:r w:rsidR="00C60F45" w:rsidRPr="00C60F45">
        <w:t>Two-Factor Authentication Form</w:t>
      </w:r>
    </w:p>
    <w:bookmarkEnd w:id="0"/>
    <w:p w14:paraId="3E02F37F" w14:textId="77777777" w:rsidR="0019428F" w:rsidRDefault="0019428F" w:rsidP="0002141B">
      <w:pPr>
        <w:pStyle w:val="Heading3"/>
        <w:numPr>
          <w:ilvl w:val="0"/>
          <w:numId w:val="0"/>
        </w:numPr>
        <w:rPr>
          <w:i w:val="0"/>
          <w:iCs w:val="0"/>
        </w:rPr>
      </w:pPr>
    </w:p>
    <w:p w14:paraId="0C90AC55" w14:textId="1C9C94BE" w:rsidR="00164A30" w:rsidRDefault="009610D5" w:rsidP="0019428F">
      <w:pPr>
        <w:pStyle w:val="Heading3"/>
        <w:numPr>
          <w:ilvl w:val="0"/>
          <w:numId w:val="0"/>
        </w:numPr>
        <w:ind w:firstLine="14.20pt"/>
        <w:rPr>
          <w:i w:val="0"/>
          <w:iCs w:val="0"/>
        </w:rPr>
      </w:pPr>
      <w:r w:rsidRPr="009610D5">
        <w:rPr>
          <w:i w:val="0"/>
          <w:iCs w:val="0"/>
        </w:rPr>
        <w:t>To generate the token required for 2FA, users must activate the IoT 2FA device.</w:t>
      </w:r>
    </w:p>
    <w:p w14:paraId="49FF1EA4" w14:textId="6F683A47" w:rsidR="0002141B" w:rsidRDefault="0002141B" w:rsidP="0002141B">
      <w:pPr>
        <w:pStyle w:val="Heading3"/>
        <w:numPr>
          <w:ilvl w:val="0"/>
          <w:numId w:val="0"/>
        </w:numPr>
        <w:rPr>
          <w:i w:val="0"/>
          <w:iCs w:val="0"/>
        </w:rPr>
      </w:pPr>
      <w:r>
        <w:rPr>
          <w:i w:val="0"/>
          <w:iCs w:val="0"/>
        </w:rPr>
        <w:t xml:space="preserve"> </w:t>
      </w:r>
    </w:p>
    <w:p w14:paraId="44E77710" w14:textId="7B038412" w:rsidR="0002141B" w:rsidRDefault="004A7F44" w:rsidP="0002141B">
      <w:r>
        <w:rPr>
          <w:noProof/>
        </w:rPr>
        <w:drawing>
          <wp:inline distT="0" distB="0" distL="0" distR="0" wp14:anchorId="151F496A" wp14:editId="569C6BC6">
            <wp:extent cx="2112180" cy="2872740"/>
            <wp:effectExtent l="0" t="0" r="2540" b="3810"/>
            <wp:docPr id="522986752" name="Picture 1"/>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26787" cy="2892607"/>
                    </a:xfrm>
                    <a:prstGeom prst="rect">
                      <a:avLst/>
                    </a:prstGeom>
                    <a:noFill/>
                    <a:ln>
                      <a:noFill/>
                    </a:ln>
                  </pic:spPr>
                </pic:pic>
              </a:graphicData>
            </a:graphic>
          </wp:inline>
        </w:drawing>
      </w:r>
    </w:p>
    <w:p w14:paraId="0F72EEA1" w14:textId="77777777" w:rsidR="00164A30" w:rsidRPr="0002141B" w:rsidRDefault="00164A30" w:rsidP="0002141B"/>
    <w:p w14:paraId="5BFFB9C6" w14:textId="720F59AF" w:rsidR="0002141B" w:rsidRDefault="0002141B" w:rsidP="0002141B">
      <w:r>
        <w:t xml:space="preserve">Figure </w:t>
      </w:r>
      <w:r w:rsidR="00F97AD7">
        <w:t>4</w:t>
      </w:r>
      <w:r>
        <w:t xml:space="preserve">. </w:t>
      </w:r>
      <w:r w:rsidR="009610D5" w:rsidRPr="009610D5">
        <w:t>IoT 2FA Device</w:t>
      </w:r>
    </w:p>
    <w:p w14:paraId="49CD72CA" w14:textId="77777777" w:rsidR="00164A30" w:rsidRPr="0002141B" w:rsidRDefault="00164A30" w:rsidP="0002141B"/>
    <w:p w14:paraId="5B24185C" w14:textId="27B606B2" w:rsidR="0002141B" w:rsidRDefault="00FA3D1E" w:rsidP="00FA3D1E">
      <w:pPr>
        <w:pStyle w:val="Heading3"/>
        <w:numPr>
          <w:ilvl w:val="0"/>
          <w:numId w:val="0"/>
        </w:numPr>
        <w:ind w:firstLine="14.20pt"/>
        <w:rPr>
          <w:i w:val="0"/>
          <w:iCs w:val="0"/>
        </w:rPr>
      </w:pPr>
      <w:r w:rsidRPr="00FA3D1E">
        <w:rPr>
          <w:i w:val="0"/>
          <w:iCs w:val="0"/>
        </w:rPr>
        <w:t>Once the text "TOEFL MOOCs" appears on the IoT 2FA device, users should press the Touch button on the device to proceed.</w:t>
      </w:r>
    </w:p>
    <w:p w14:paraId="1DA8F392" w14:textId="77777777" w:rsidR="004A7F44" w:rsidRDefault="004A7F44" w:rsidP="004A7F44"/>
    <w:p w14:paraId="544FBBEF" w14:textId="1572B072" w:rsidR="004A7F44" w:rsidRDefault="00704DE8" w:rsidP="004A7F44">
      <w:r>
        <w:rPr>
          <w:noProof/>
        </w:rPr>
        <w:drawing>
          <wp:inline distT="0" distB="0" distL="0" distR="0" wp14:anchorId="46248022" wp14:editId="449A46EE">
            <wp:extent cx="2025796" cy="2659380"/>
            <wp:effectExtent l="0" t="0" r="0" b="7620"/>
            <wp:docPr id="1536034915" name="Picture 2"/>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40631" cy="2678855"/>
                    </a:xfrm>
                    <a:prstGeom prst="rect">
                      <a:avLst/>
                    </a:prstGeom>
                    <a:noFill/>
                    <a:ln>
                      <a:noFill/>
                    </a:ln>
                  </pic:spPr>
                </pic:pic>
              </a:graphicData>
            </a:graphic>
          </wp:inline>
        </w:drawing>
      </w:r>
    </w:p>
    <w:p w14:paraId="003E59CE" w14:textId="77777777" w:rsidR="00E86C7D" w:rsidRDefault="00E86C7D" w:rsidP="004A7F44"/>
    <w:p w14:paraId="6E22E12E" w14:textId="34BA2A5F" w:rsidR="004A7F44" w:rsidRPr="004A7F44" w:rsidRDefault="004A7F44" w:rsidP="004A7F44">
      <w:r>
        <w:t xml:space="preserve">Figure </w:t>
      </w:r>
      <w:r w:rsidR="00F97AD7">
        <w:t>5</w:t>
      </w:r>
      <w:r>
        <w:t xml:space="preserve">. </w:t>
      </w:r>
      <w:r w:rsidR="00234B36" w:rsidRPr="00234B36">
        <w:t>Token and Session in IoT 2FA</w:t>
      </w:r>
    </w:p>
    <w:p w14:paraId="7768CF5A" w14:textId="77777777" w:rsidR="004A7F44" w:rsidRPr="004A7F44" w:rsidRDefault="004A7F44" w:rsidP="004A7F44"/>
    <w:p w14:paraId="4187D102" w14:textId="7F0881A7" w:rsidR="00704DE8" w:rsidRDefault="00A467BB" w:rsidP="00A467BB">
      <w:pPr>
        <w:pStyle w:val="Heading3"/>
        <w:numPr>
          <w:ilvl w:val="0"/>
          <w:numId w:val="0"/>
        </w:numPr>
        <w:ind w:firstLine="14.20pt"/>
        <w:rPr>
          <w:i w:val="0"/>
          <w:iCs w:val="0"/>
        </w:rPr>
      </w:pPr>
      <w:r w:rsidRPr="00A467BB">
        <w:rPr>
          <w:i w:val="0"/>
          <w:iCs w:val="0"/>
        </w:rPr>
        <w:t>After receiving the token from the IoT 2FA device, the user must enter it into the 2FA form on the web application. If the token is valid, the IoT TOEFL MOOCs application dashboard will be displayed.</w:t>
      </w:r>
    </w:p>
    <w:p w14:paraId="4B7AC90E" w14:textId="77777777" w:rsidR="001C7257" w:rsidRDefault="001C7257" w:rsidP="001C7257"/>
    <w:p w14:paraId="4ACDF0A9" w14:textId="00A08E5F" w:rsidR="001C7257" w:rsidRDefault="00B471B5" w:rsidP="001C7257">
      <w:r>
        <w:rPr>
          <w:noProof/>
        </w:rPr>
        <w:drawing>
          <wp:inline distT="0" distB="0" distL="0" distR="0" wp14:anchorId="2A829354" wp14:editId="5E45BFE5">
            <wp:extent cx="3089910" cy="1012190"/>
            <wp:effectExtent l="0" t="0" r="0" b="0"/>
            <wp:docPr id="1117471366" name="Picture 1"/>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1117471366" name=""/>
                    <pic:cNvPicPr/>
                  </pic:nvPicPr>
                  <pic:blipFill>
                    <a:blip r:embed="rId14"/>
                    <a:stretch>
                      <a:fillRect/>
                    </a:stretch>
                  </pic:blipFill>
                  <pic:spPr>
                    <a:xfrm>
                      <a:off x="0" y="0"/>
                      <a:ext cx="3089910" cy="1012190"/>
                    </a:xfrm>
                    <a:prstGeom prst="rect">
                      <a:avLst/>
                    </a:prstGeom>
                  </pic:spPr>
                </pic:pic>
              </a:graphicData>
            </a:graphic>
          </wp:inline>
        </w:drawing>
      </w:r>
    </w:p>
    <w:p w14:paraId="07A7C385" w14:textId="77777777" w:rsidR="00427FCC" w:rsidRDefault="00427FCC" w:rsidP="001C7257"/>
    <w:p w14:paraId="068B2577" w14:textId="7F6BFA73" w:rsidR="001C7257" w:rsidRPr="001C7257" w:rsidRDefault="001C7257" w:rsidP="001C7257">
      <w:r>
        <w:t xml:space="preserve">Figure </w:t>
      </w:r>
      <w:r w:rsidR="00F97AD7">
        <w:t>6</w:t>
      </w:r>
      <w:r>
        <w:t xml:space="preserve">. </w:t>
      </w:r>
      <w:r w:rsidR="005046F9" w:rsidRPr="005046F9">
        <w:t>IoT TOEFL MOOCs Dashboard</w:t>
      </w:r>
    </w:p>
    <w:p w14:paraId="11772825" w14:textId="77777777" w:rsidR="001C7257" w:rsidRPr="001C7257" w:rsidRDefault="001C7257" w:rsidP="001C7257"/>
    <w:p w14:paraId="03AB48CB" w14:textId="6EC60D33" w:rsidR="00B471B5" w:rsidRDefault="009924BC" w:rsidP="009924BC">
      <w:pPr>
        <w:pStyle w:val="Heading3"/>
        <w:numPr>
          <w:ilvl w:val="0"/>
          <w:numId w:val="0"/>
        </w:numPr>
        <w:ind w:firstLine="14.20pt"/>
        <w:rPr>
          <w:i w:val="0"/>
          <w:iCs w:val="0"/>
        </w:rPr>
      </w:pPr>
      <w:r w:rsidRPr="009924BC">
        <w:rPr>
          <w:i w:val="0"/>
          <w:iCs w:val="0"/>
        </w:rPr>
        <w:t>To begin studying, users should select TOEFL ITP Preparation from the dashboard.</w:t>
      </w:r>
    </w:p>
    <w:p w14:paraId="066D1DED" w14:textId="77777777" w:rsidR="00B471B5" w:rsidRPr="00B471B5" w:rsidRDefault="00B471B5" w:rsidP="00B471B5"/>
    <w:p w14:paraId="163E103D" w14:textId="63E2531F" w:rsidR="00B471B5" w:rsidRDefault="00B471B5" w:rsidP="00B471B5">
      <w:r>
        <w:rPr>
          <w:noProof/>
        </w:rPr>
        <w:drawing>
          <wp:inline distT="0" distB="0" distL="0" distR="0" wp14:anchorId="7C9BC258" wp14:editId="58998266">
            <wp:extent cx="3089910" cy="1451610"/>
            <wp:effectExtent l="0" t="0" r="0" b="0"/>
            <wp:docPr id="776103577" name="Picture 1"/>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776103577" name=""/>
                    <pic:cNvPicPr/>
                  </pic:nvPicPr>
                  <pic:blipFill>
                    <a:blip r:embed="rId15"/>
                    <a:stretch>
                      <a:fillRect/>
                    </a:stretch>
                  </pic:blipFill>
                  <pic:spPr>
                    <a:xfrm>
                      <a:off x="0" y="0"/>
                      <a:ext cx="3089910" cy="1451610"/>
                    </a:xfrm>
                    <a:prstGeom prst="rect">
                      <a:avLst/>
                    </a:prstGeom>
                  </pic:spPr>
                </pic:pic>
              </a:graphicData>
            </a:graphic>
          </wp:inline>
        </w:drawing>
      </w:r>
    </w:p>
    <w:p w14:paraId="6A96F238" w14:textId="191F307F" w:rsidR="00B471B5" w:rsidRDefault="00B471B5" w:rsidP="00B471B5">
      <w:r>
        <w:t xml:space="preserve">Figure </w:t>
      </w:r>
      <w:r w:rsidR="00F97AD7">
        <w:t>7</w:t>
      </w:r>
      <w:r>
        <w:t>. TOEFL ITP Preparation</w:t>
      </w:r>
    </w:p>
    <w:p w14:paraId="3B48EFDB" w14:textId="77777777" w:rsidR="00B471B5" w:rsidRDefault="00B471B5" w:rsidP="00B471B5"/>
    <w:p w14:paraId="6069FEA2" w14:textId="4DAE2D59" w:rsidR="00B471B5" w:rsidRDefault="00D1562A" w:rsidP="00AC2879">
      <w:pPr>
        <w:ind w:firstLine="14.20pt"/>
        <w:jc w:val="both"/>
      </w:pPr>
      <w:r w:rsidRPr="00D1562A">
        <w:t>For example, when a user selects Class Meeting 01, a list of learning materials will be displayed. Users must access each material, and a thumbs-up icon will appear once the material is marked as studied.</w:t>
      </w:r>
    </w:p>
    <w:p w14:paraId="2E9FBA55" w14:textId="77777777" w:rsidR="00B471B5" w:rsidRDefault="00B471B5" w:rsidP="00B471B5">
      <w:pPr>
        <w:jc w:val="both"/>
      </w:pPr>
    </w:p>
    <w:p w14:paraId="0D4AAE54" w14:textId="71777BDF" w:rsidR="00B471B5" w:rsidRDefault="00B471B5" w:rsidP="00B471B5">
      <w:r>
        <w:rPr>
          <w:noProof/>
        </w:rPr>
        <w:drawing>
          <wp:inline distT="0" distB="0" distL="0" distR="0" wp14:anchorId="0FD80144" wp14:editId="32FAFEB3">
            <wp:extent cx="3089910" cy="532130"/>
            <wp:effectExtent l="0" t="0" r="0" b="1270"/>
            <wp:docPr id="444144422" name="Picture 1"/>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444144422" name=""/>
                    <pic:cNvPicPr/>
                  </pic:nvPicPr>
                  <pic:blipFill>
                    <a:blip r:embed="rId16"/>
                    <a:stretch>
                      <a:fillRect/>
                    </a:stretch>
                  </pic:blipFill>
                  <pic:spPr>
                    <a:xfrm>
                      <a:off x="0" y="0"/>
                      <a:ext cx="3089910" cy="532130"/>
                    </a:xfrm>
                    <a:prstGeom prst="rect">
                      <a:avLst/>
                    </a:prstGeom>
                  </pic:spPr>
                </pic:pic>
              </a:graphicData>
            </a:graphic>
          </wp:inline>
        </w:drawing>
      </w:r>
    </w:p>
    <w:p w14:paraId="73A05DC0" w14:textId="23411497" w:rsidR="00B471B5" w:rsidRPr="00B471B5" w:rsidRDefault="00B471B5" w:rsidP="00B471B5">
      <w:r>
        <w:t xml:space="preserve">Figure </w:t>
      </w:r>
      <w:r w:rsidR="00F97AD7">
        <w:t>8</w:t>
      </w:r>
      <w:r>
        <w:t xml:space="preserve">. </w:t>
      </w:r>
      <w:r w:rsidR="00164A30" w:rsidRPr="00164A30">
        <w:t>TOEFL ITP Preparation Class</w:t>
      </w:r>
    </w:p>
    <w:p w14:paraId="3E060950" w14:textId="77777777" w:rsidR="00B471B5" w:rsidRDefault="00B471B5" w:rsidP="0002141B">
      <w:pPr>
        <w:pStyle w:val="Heading3"/>
        <w:numPr>
          <w:ilvl w:val="0"/>
          <w:numId w:val="0"/>
        </w:numPr>
      </w:pPr>
    </w:p>
    <w:p w14:paraId="04BB0DB0" w14:textId="0D1C1A3E" w:rsidR="000530DA" w:rsidRDefault="0019428F" w:rsidP="00421BD1">
      <w:pPr>
        <w:pStyle w:val="Heading3"/>
        <w:numPr>
          <w:ilvl w:val="0"/>
          <w:numId w:val="0"/>
        </w:numPr>
        <w:ind w:firstLine="14.20pt"/>
        <w:rPr>
          <w:i w:val="0"/>
          <w:iCs w:val="0"/>
        </w:rPr>
      </w:pPr>
      <w:r w:rsidRPr="0019428F">
        <w:rPr>
          <w:i w:val="0"/>
          <w:iCs w:val="0"/>
        </w:rPr>
        <w:t>In addition to the TOEFL ITP Preparation class, the platform also offers a TOEFL ITP Prediction exam. To access the exam, users need to enter the registered session ID, which can be obtained from the IoT 2FA device by pressing the Touch button.</w:t>
      </w:r>
    </w:p>
    <w:p w14:paraId="143EDBBE" w14:textId="77777777" w:rsidR="00097F2A" w:rsidRPr="00097F2A" w:rsidRDefault="00097F2A" w:rsidP="00097F2A"/>
    <w:p w14:paraId="497BEACD" w14:textId="11C29674" w:rsidR="000530DA" w:rsidRDefault="00097F2A" w:rsidP="000530DA">
      <w:r>
        <w:rPr>
          <w:noProof/>
        </w:rPr>
        <w:drawing>
          <wp:inline distT="0" distB="0" distL="0" distR="0" wp14:anchorId="7112A67F" wp14:editId="24F6AA46">
            <wp:extent cx="2933700" cy="1598282"/>
            <wp:effectExtent l="0" t="0" r="0" b="2540"/>
            <wp:docPr id="1589685012" name="Picture 1"/>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1589685012" name=""/>
                    <pic:cNvPicPr/>
                  </pic:nvPicPr>
                  <pic:blipFill>
                    <a:blip r:embed="rId17"/>
                    <a:stretch>
                      <a:fillRect/>
                    </a:stretch>
                  </pic:blipFill>
                  <pic:spPr>
                    <a:xfrm>
                      <a:off x="0" y="0"/>
                      <a:ext cx="2938427" cy="1600857"/>
                    </a:xfrm>
                    <a:prstGeom prst="rect">
                      <a:avLst/>
                    </a:prstGeom>
                  </pic:spPr>
                </pic:pic>
              </a:graphicData>
            </a:graphic>
          </wp:inline>
        </w:drawing>
      </w:r>
    </w:p>
    <w:p w14:paraId="412D4CD7" w14:textId="4126A3C1" w:rsidR="00097F2A" w:rsidRPr="000530DA" w:rsidRDefault="00097F2A" w:rsidP="000530DA">
      <w:r>
        <w:t xml:space="preserve">Figure </w:t>
      </w:r>
      <w:r w:rsidR="00F97AD7">
        <w:t>9</w:t>
      </w:r>
      <w:r>
        <w:t xml:space="preserve">. </w:t>
      </w:r>
      <w:r w:rsidR="00E02CD0" w:rsidRPr="00E02CD0">
        <w:t>Exam Session Start Form</w:t>
      </w:r>
    </w:p>
    <w:p w14:paraId="49E135CC" w14:textId="77777777" w:rsidR="000530DA" w:rsidRDefault="000530DA" w:rsidP="0002141B">
      <w:pPr>
        <w:pStyle w:val="Heading3"/>
        <w:numPr>
          <w:ilvl w:val="0"/>
          <w:numId w:val="0"/>
        </w:numPr>
        <w:rPr>
          <w:i w:val="0"/>
          <w:iCs w:val="0"/>
        </w:rPr>
      </w:pPr>
    </w:p>
    <w:p w14:paraId="0A08ED73" w14:textId="3EC7AC6C" w:rsidR="00013953" w:rsidRDefault="00E02CD0" w:rsidP="00E02CD0">
      <w:pPr>
        <w:ind w:firstLine="14.20pt"/>
        <w:jc w:val="both"/>
      </w:pPr>
      <w:r w:rsidRPr="00E02CD0">
        <w:t>Users should input the session ID from Row 2 on the IoT 2FA device display.</w:t>
      </w:r>
    </w:p>
    <w:p w14:paraId="27ECF183" w14:textId="77777777" w:rsidR="00013953" w:rsidRDefault="00013953" w:rsidP="00013953">
      <w:pPr>
        <w:jc w:val="both"/>
      </w:pPr>
    </w:p>
    <w:p w14:paraId="56161EF0" w14:textId="60362511" w:rsidR="00013953" w:rsidRDefault="00AC3BB2" w:rsidP="00AC3BB2">
      <w:r>
        <w:rPr>
          <w:noProof/>
        </w:rPr>
        <w:drawing>
          <wp:inline distT="0" distB="0" distL="0" distR="0" wp14:anchorId="4BD039C0" wp14:editId="210CB0DA">
            <wp:extent cx="1747053" cy="1311190"/>
            <wp:effectExtent l="8573" t="0" r="0" b="0"/>
            <wp:docPr id="1307250269" name="Picture 3"/>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16200000">
                      <a:off x="0" y="0"/>
                      <a:ext cx="1751700" cy="1314677"/>
                    </a:xfrm>
                    <a:prstGeom prst="rect">
                      <a:avLst/>
                    </a:prstGeom>
                    <a:noFill/>
                    <a:ln>
                      <a:noFill/>
                    </a:ln>
                  </pic:spPr>
                </pic:pic>
              </a:graphicData>
            </a:graphic>
          </wp:inline>
        </w:drawing>
      </w:r>
    </w:p>
    <w:p w14:paraId="59F08B5A" w14:textId="77777777" w:rsidR="00C47E61" w:rsidRDefault="00C47E61" w:rsidP="00AC3BB2"/>
    <w:p w14:paraId="5A901EC2" w14:textId="37AC5426" w:rsidR="00013953" w:rsidRPr="00013953" w:rsidRDefault="00013953" w:rsidP="00013953">
      <w:r>
        <w:t xml:space="preserve">Figure </w:t>
      </w:r>
      <w:r w:rsidR="00F97AD7">
        <w:t>10</w:t>
      </w:r>
      <w:r>
        <w:t xml:space="preserve">. </w:t>
      </w:r>
      <w:r w:rsidR="00BF49A4" w:rsidRPr="00BF49A4">
        <w:t>IoT 2FA Session Exam</w:t>
      </w:r>
    </w:p>
    <w:p w14:paraId="3D39F309" w14:textId="77777777" w:rsidR="000530DA" w:rsidRDefault="000530DA" w:rsidP="0002141B">
      <w:pPr>
        <w:pStyle w:val="Heading3"/>
        <w:numPr>
          <w:ilvl w:val="0"/>
          <w:numId w:val="0"/>
        </w:numPr>
        <w:rPr>
          <w:i w:val="0"/>
          <w:iCs w:val="0"/>
        </w:rPr>
      </w:pPr>
    </w:p>
    <w:p w14:paraId="76C48DC6" w14:textId="29A448AF" w:rsidR="00A64580" w:rsidRDefault="006B2A06" w:rsidP="00F016FC">
      <w:pPr>
        <w:pStyle w:val="Heading3"/>
        <w:numPr>
          <w:ilvl w:val="0"/>
          <w:numId w:val="0"/>
        </w:numPr>
        <w:ind w:firstLine="14.20pt"/>
        <w:rPr>
          <w:i w:val="0"/>
          <w:iCs w:val="0"/>
        </w:rPr>
      </w:pPr>
      <w:r w:rsidRPr="006B2A06">
        <w:rPr>
          <w:i w:val="0"/>
          <w:iCs w:val="0"/>
        </w:rPr>
        <w:t>Once the session ID is validated, the TOEFL ITP Exam will be displayed. The exam consists of three sections:</w:t>
      </w:r>
      <w:r w:rsidR="008859FB" w:rsidRPr="008859FB">
        <w:rPr>
          <w:i w:val="0"/>
          <w:iCs w:val="0"/>
        </w:rPr>
        <w:t xml:space="preserve"> </w:t>
      </w:r>
      <w:r w:rsidRPr="006B2A06">
        <w:rPr>
          <w:i w:val="0"/>
          <w:iCs w:val="0"/>
        </w:rPr>
        <w:t>50 Listening Comprehension questions</w:t>
      </w:r>
      <w:r>
        <w:rPr>
          <w:i w:val="0"/>
          <w:iCs w:val="0"/>
        </w:rPr>
        <w:t>,</w:t>
      </w:r>
      <w:r w:rsidRPr="006B2A06">
        <w:t xml:space="preserve"> </w:t>
      </w:r>
      <w:r w:rsidRPr="006B2A06">
        <w:rPr>
          <w:i w:val="0"/>
          <w:iCs w:val="0"/>
        </w:rPr>
        <w:t>40 Structure and Written Expression questions</w:t>
      </w:r>
      <w:r>
        <w:rPr>
          <w:i w:val="0"/>
          <w:iCs w:val="0"/>
        </w:rPr>
        <w:t xml:space="preserve">, and  </w:t>
      </w:r>
      <w:r w:rsidR="00F016FC" w:rsidRPr="00F016FC">
        <w:rPr>
          <w:i w:val="0"/>
          <w:iCs w:val="0"/>
        </w:rPr>
        <w:t>50 Reading Comprehension questions</w:t>
      </w:r>
      <w:r w:rsidR="008859FB" w:rsidRPr="008859FB">
        <w:rPr>
          <w:i w:val="0"/>
          <w:iCs w:val="0"/>
        </w:rPr>
        <w:t>.</w:t>
      </w:r>
    </w:p>
    <w:p w14:paraId="7E8F7ECA" w14:textId="6D7FDCAA" w:rsidR="00B471B5" w:rsidRDefault="00B471B5" w:rsidP="0002141B">
      <w:pPr>
        <w:pStyle w:val="Heading3"/>
        <w:numPr>
          <w:ilvl w:val="0"/>
          <w:numId w:val="0"/>
        </w:numPr>
        <w:rPr>
          <w:i w:val="0"/>
          <w:iCs w:val="0"/>
        </w:rPr>
      </w:pPr>
    </w:p>
    <w:p w14:paraId="240D589F" w14:textId="0890AB49" w:rsidR="00980115" w:rsidRDefault="00980115" w:rsidP="00980115">
      <w:r>
        <w:rPr>
          <w:noProof/>
        </w:rPr>
        <w:drawing>
          <wp:inline distT="0" distB="0" distL="0" distR="0" wp14:anchorId="3107D534" wp14:editId="3DDC110D">
            <wp:extent cx="3089910" cy="1689735"/>
            <wp:effectExtent l="0" t="0" r="0" b="5715"/>
            <wp:docPr id="1614644033" name="Picture 1"/>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1614644033" name=""/>
                    <pic:cNvPicPr/>
                  </pic:nvPicPr>
                  <pic:blipFill>
                    <a:blip r:embed="rId19"/>
                    <a:stretch>
                      <a:fillRect/>
                    </a:stretch>
                  </pic:blipFill>
                  <pic:spPr>
                    <a:xfrm>
                      <a:off x="0" y="0"/>
                      <a:ext cx="3089910" cy="1689735"/>
                    </a:xfrm>
                    <a:prstGeom prst="rect">
                      <a:avLst/>
                    </a:prstGeom>
                  </pic:spPr>
                </pic:pic>
              </a:graphicData>
            </a:graphic>
          </wp:inline>
        </w:drawing>
      </w:r>
    </w:p>
    <w:p w14:paraId="372CD26C" w14:textId="41A45703" w:rsidR="00980115" w:rsidRPr="00980115" w:rsidRDefault="00980115" w:rsidP="00980115">
      <w:r>
        <w:t>Figure 1</w:t>
      </w:r>
      <w:r w:rsidR="00F97AD7">
        <w:t>1</w:t>
      </w:r>
      <w:r>
        <w:t xml:space="preserve">. </w:t>
      </w:r>
      <w:r w:rsidR="009F7283" w:rsidRPr="009F7283">
        <w:t>Listening Comprehension Test</w:t>
      </w:r>
    </w:p>
    <w:p w14:paraId="62974C15" w14:textId="77777777" w:rsidR="00980115" w:rsidRPr="00980115" w:rsidRDefault="00980115" w:rsidP="00980115"/>
    <w:p w14:paraId="51B8C6A7" w14:textId="741F5D75" w:rsidR="00980115" w:rsidRDefault="002C7810" w:rsidP="00EC7C85">
      <w:pPr>
        <w:ind w:firstLine="14.20pt"/>
        <w:jc w:val="both"/>
      </w:pPr>
      <w:r w:rsidRPr="002C7810">
        <w:t>After completing all the exam sections, the TOEFL ITP score will be displayed. The results will include the total score along with a breakdown of the number of correct answers in each section: Listening Comprehension, Structure and Written Expression, and Reading Comprehension.</w:t>
      </w:r>
    </w:p>
    <w:p w14:paraId="05E05112" w14:textId="77777777" w:rsidR="00A64580" w:rsidRDefault="00A64580" w:rsidP="00A64580">
      <w:pPr>
        <w:jc w:val="both"/>
      </w:pPr>
    </w:p>
    <w:p w14:paraId="788621F1" w14:textId="438863BD" w:rsidR="00980115" w:rsidRDefault="00A64580" w:rsidP="00980115">
      <w:r>
        <w:rPr>
          <w:noProof/>
        </w:rPr>
        <w:drawing>
          <wp:inline distT="0" distB="0" distL="0" distR="0" wp14:anchorId="62671663" wp14:editId="2C4FD400">
            <wp:extent cx="3089910" cy="1707515"/>
            <wp:effectExtent l="0" t="0" r="0" b="6985"/>
            <wp:docPr id="1140816190" name="Picture 1"/>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1140816190" name=""/>
                    <pic:cNvPicPr/>
                  </pic:nvPicPr>
                  <pic:blipFill>
                    <a:blip r:embed="rId20"/>
                    <a:stretch>
                      <a:fillRect/>
                    </a:stretch>
                  </pic:blipFill>
                  <pic:spPr>
                    <a:xfrm>
                      <a:off x="0" y="0"/>
                      <a:ext cx="3089910" cy="1707515"/>
                    </a:xfrm>
                    <a:prstGeom prst="rect">
                      <a:avLst/>
                    </a:prstGeom>
                  </pic:spPr>
                </pic:pic>
              </a:graphicData>
            </a:graphic>
          </wp:inline>
        </w:drawing>
      </w:r>
    </w:p>
    <w:p w14:paraId="67864A53" w14:textId="1E2F4DE0" w:rsidR="00980115" w:rsidRDefault="00980115" w:rsidP="00980115">
      <w:r>
        <w:t>Figure 1</w:t>
      </w:r>
      <w:r w:rsidR="008F45BE">
        <w:t>2</w:t>
      </w:r>
      <w:r>
        <w:t xml:space="preserve">. </w:t>
      </w:r>
      <w:r w:rsidR="00C05754" w:rsidRPr="00C05754">
        <w:t>TOEFL ITP Exam Results</w:t>
      </w:r>
    </w:p>
    <w:p w14:paraId="3EB2220F" w14:textId="77777777" w:rsidR="00980115" w:rsidRDefault="00980115" w:rsidP="00980115">
      <w:pPr>
        <w:rPr>
          <w:i/>
          <w:iCs/>
        </w:rPr>
      </w:pPr>
    </w:p>
    <w:p w14:paraId="2C9D9C55" w14:textId="39776242" w:rsidR="0096259A" w:rsidRDefault="0096259A" w:rsidP="0096259A">
      <w:pPr>
        <w:pStyle w:val="Heading1"/>
      </w:pPr>
      <w:r w:rsidRPr="0096259A">
        <w:t>CONCLUSION</w:t>
      </w:r>
    </w:p>
    <w:p w14:paraId="51BBCC68" w14:textId="51D76BE8" w:rsidR="0096259A" w:rsidRDefault="00EA0AFF" w:rsidP="0096259A">
      <w:pPr>
        <w:pStyle w:val="BodyText"/>
      </w:pPr>
      <w:r w:rsidRPr="00EA0AFF">
        <w:t>The security of online learning platforms, such as TOEFL ITP and MOOCs, has become increasingly critical in today’s connected digital age. This study demonstrates how implementing IoT-based Two-Factor Authentication (2FA) significantly enhances security by utilizing wearables, smartphones, and other connected devices to verify user identities in real time. By integrating IoT technology into the authentication process, the system ensures that only authenticated users can access educational resources and take exams, while simultaneously safeguarding personal data and preventing unauthorized access. This additional layer of protection is essential for maintaining academic integrity and building user trust, both of which are crucial for the continued growth and adoption of online learning technologies.</w:t>
      </w:r>
    </w:p>
    <w:p w14:paraId="3ACD1EB4" w14:textId="2946712A" w:rsidR="00754473" w:rsidRPr="005B520E" w:rsidRDefault="00EA0AFF" w:rsidP="0096259A">
      <w:pPr>
        <w:pStyle w:val="BodyText"/>
      </w:pPr>
      <w:r w:rsidRPr="00EA0AFF">
        <w:t>As IoT technology continues to evolve, the sophistication of IoT-based 2FA systems is expected to increase. Future research may explore the integration of advanced biometric sensors and AI-driven analytics into IoT devices to further improve the accuracy and reliability of user verification. Additionally, addressing security vulnerabilities in IoT devices themselves will be vital to ensuring the overall resilience of the 2FA system. For IoT-based security solutions to achieve widespread adoption, it will also be necessary to develop standardized protocols that ensure interoperability across various IoT platforms and devices. Ultimately, ongoing advancements in authentication and IoT technologies will pave the way for more secure and convenient virtual learning environments, advancing education worldwide in the digital age.</w:t>
      </w:r>
    </w:p>
    <w:p w14:paraId="6C54798D" w14:textId="4DD8930C" w:rsidR="0080791D" w:rsidRPr="005B520E" w:rsidRDefault="0080791D" w:rsidP="00E7596C">
      <w:pPr>
        <w:pStyle w:val="BodyText"/>
      </w:pPr>
    </w:p>
    <w:p w14:paraId="7FC814EC" w14:textId="179DC359" w:rsidR="0080791D" w:rsidRDefault="0080791D" w:rsidP="0080791D">
      <w:pPr>
        <w:pStyle w:val="Heading5"/>
      </w:pPr>
      <w:r w:rsidRPr="005B520E">
        <w:t>Acknowledgment</w:t>
      </w:r>
    </w:p>
    <w:p w14:paraId="39D7A7EF" w14:textId="3C439B9D" w:rsidR="00575BCA" w:rsidRDefault="000B206C" w:rsidP="00836367">
      <w:pPr>
        <w:pStyle w:val="BodyText"/>
      </w:pPr>
      <w:r w:rsidRPr="000B206C">
        <w:t>This research was supported by a grant from the Directorate General of Higher Education (DIKTI), Indonesia. We extend our sincere gratitude to DIKTI for their financial assistance and unwavering support, which made this study possible. Their commitment to advancing education and technology research in Indonesia has been instrumental to our work. We also wish to thank the institutions and individuals who contributed to the success of this research.</w:t>
      </w:r>
    </w:p>
    <w:p w14:paraId="21523B97" w14:textId="77777777" w:rsidR="009303D9" w:rsidRDefault="009303D9" w:rsidP="00A059B3">
      <w:pPr>
        <w:pStyle w:val="Heading5"/>
      </w:pPr>
      <w:r w:rsidRPr="005B520E">
        <w:t>References</w:t>
      </w:r>
    </w:p>
    <w:p w14:paraId="10911AF4" w14:textId="61AFD855" w:rsidR="009B407F" w:rsidRPr="000C155A" w:rsidRDefault="009B407F" w:rsidP="00BD4D7F">
      <w:pPr>
        <w:ind w:start="21.30pt" w:hanging="21.30pt"/>
        <w:jc w:val="start"/>
        <w:rPr>
          <w:sz w:val="16"/>
          <w:szCs w:val="16"/>
        </w:rPr>
      </w:pPr>
    </w:p>
    <w:p w14:paraId="6C5E7548" w14:textId="21BEA1B6" w:rsidR="00AC5164" w:rsidRPr="00AC5164" w:rsidRDefault="0005088E" w:rsidP="009477F4">
      <w:pPr>
        <w:widowControl w:val="0"/>
        <w:autoSpaceDE w:val="0"/>
        <w:autoSpaceDN w:val="0"/>
        <w:adjustRightInd w:val="0"/>
        <w:ind w:start="14.20pt" w:hanging="14.20pt"/>
        <w:jc w:val="start"/>
        <w:rPr>
          <w:noProof/>
          <w:sz w:val="16"/>
          <w:szCs w:val="24"/>
        </w:rPr>
      </w:pPr>
      <w:r w:rsidRPr="0005088E">
        <w:rPr>
          <w:sz w:val="16"/>
          <w:szCs w:val="16"/>
        </w:rPr>
        <w:fldChar w:fldCharType="begin" w:fldLock="1"/>
      </w:r>
      <w:r w:rsidRPr="0005088E">
        <w:rPr>
          <w:sz w:val="16"/>
          <w:szCs w:val="16"/>
        </w:rPr>
        <w:instrText xml:space="preserve">ADDIN Mendeley Bibliography CSL_BIBLIOGRAPHY </w:instrText>
      </w:r>
      <w:r w:rsidRPr="0005088E">
        <w:rPr>
          <w:sz w:val="16"/>
          <w:szCs w:val="16"/>
        </w:rPr>
        <w:fldChar w:fldCharType="separate"/>
      </w:r>
      <w:r w:rsidR="00AC5164" w:rsidRPr="00AC5164">
        <w:rPr>
          <w:noProof/>
          <w:sz w:val="16"/>
          <w:szCs w:val="24"/>
        </w:rPr>
        <w:t>[1]</w:t>
      </w:r>
      <w:r w:rsidR="00AC5164" w:rsidRPr="00AC5164">
        <w:rPr>
          <w:noProof/>
          <w:sz w:val="16"/>
          <w:szCs w:val="24"/>
        </w:rPr>
        <w:tab/>
        <w:t xml:space="preserve">D. T. Noerhidayat, “The importance of english in the modern era,” </w:t>
      </w:r>
      <w:r w:rsidR="00AC5164" w:rsidRPr="00AC5164">
        <w:rPr>
          <w:i/>
          <w:iCs/>
          <w:noProof/>
          <w:sz w:val="16"/>
          <w:szCs w:val="24"/>
        </w:rPr>
        <w:t>Asian J. Multidimens. Res.</w:t>
      </w:r>
      <w:r w:rsidR="00AC5164" w:rsidRPr="00AC5164">
        <w:rPr>
          <w:noProof/>
          <w:sz w:val="16"/>
          <w:szCs w:val="24"/>
        </w:rPr>
        <w:t>, vol. 8, no. 1, p. 7, 2019, doi: 10.5958/2278-4853.2019.00001.6.</w:t>
      </w:r>
    </w:p>
    <w:p w14:paraId="7EC64609" w14:textId="77777777" w:rsidR="00AC5164" w:rsidRPr="00AC5164" w:rsidRDefault="00AC5164" w:rsidP="009477F4">
      <w:pPr>
        <w:widowControl w:val="0"/>
        <w:autoSpaceDE w:val="0"/>
        <w:autoSpaceDN w:val="0"/>
        <w:adjustRightInd w:val="0"/>
        <w:ind w:start="14.20pt" w:hanging="14.20pt"/>
        <w:jc w:val="start"/>
        <w:rPr>
          <w:noProof/>
          <w:sz w:val="16"/>
          <w:szCs w:val="24"/>
        </w:rPr>
      </w:pPr>
      <w:r w:rsidRPr="00AC5164">
        <w:rPr>
          <w:noProof/>
          <w:sz w:val="16"/>
          <w:szCs w:val="24"/>
        </w:rPr>
        <w:t>[2]</w:t>
      </w:r>
      <w:r w:rsidRPr="00AC5164">
        <w:rPr>
          <w:noProof/>
          <w:sz w:val="16"/>
          <w:szCs w:val="24"/>
        </w:rPr>
        <w:tab/>
        <w:t xml:space="preserve">P. I. Wuisan and B. Wibawa, “Using electronic assessment system in higher education: Challenges and solutions for lectures, students and institutions,” </w:t>
      </w:r>
      <w:r w:rsidRPr="00AC5164">
        <w:rPr>
          <w:i/>
          <w:iCs/>
          <w:noProof/>
          <w:sz w:val="16"/>
          <w:szCs w:val="24"/>
        </w:rPr>
        <w:t>Int. J. Recent Technol. Eng.</w:t>
      </w:r>
      <w:r w:rsidRPr="00AC5164">
        <w:rPr>
          <w:noProof/>
          <w:sz w:val="16"/>
          <w:szCs w:val="24"/>
        </w:rPr>
        <w:t>, vol. 8, no. 2 Special Issue 9, pp. 673–678, 2019, doi: 10.35940/ijrte.B1141.0982S919.</w:t>
      </w:r>
    </w:p>
    <w:p w14:paraId="1779C347" w14:textId="77777777" w:rsidR="00AC5164" w:rsidRPr="00AC5164" w:rsidRDefault="00AC5164" w:rsidP="009477F4">
      <w:pPr>
        <w:widowControl w:val="0"/>
        <w:autoSpaceDE w:val="0"/>
        <w:autoSpaceDN w:val="0"/>
        <w:adjustRightInd w:val="0"/>
        <w:ind w:start="14.20pt" w:hanging="14.20pt"/>
        <w:jc w:val="start"/>
        <w:rPr>
          <w:noProof/>
          <w:sz w:val="16"/>
          <w:szCs w:val="24"/>
        </w:rPr>
      </w:pPr>
      <w:r w:rsidRPr="00AC5164">
        <w:rPr>
          <w:noProof/>
          <w:sz w:val="16"/>
          <w:szCs w:val="24"/>
        </w:rPr>
        <w:t>[3]</w:t>
      </w:r>
      <w:r w:rsidRPr="00AC5164">
        <w:rPr>
          <w:noProof/>
          <w:sz w:val="16"/>
          <w:szCs w:val="24"/>
        </w:rPr>
        <w:tab/>
        <w:t xml:space="preserve">A. Rahman, B. Wibawa, and S. Sumantri, “Developing e-module of English for tourism based on brain-based learning approach at state polytechnic of Lampung,” </w:t>
      </w:r>
      <w:r w:rsidRPr="00AC5164">
        <w:rPr>
          <w:i/>
          <w:iCs/>
          <w:noProof/>
          <w:sz w:val="16"/>
          <w:szCs w:val="24"/>
        </w:rPr>
        <w:t>Int. J. Innov. Creat. Chang.</w:t>
      </w:r>
      <w:r w:rsidRPr="00AC5164">
        <w:rPr>
          <w:noProof/>
          <w:sz w:val="16"/>
          <w:szCs w:val="24"/>
        </w:rPr>
        <w:t>, vol. 6, no. 2, pp. 29–47, 2019.</w:t>
      </w:r>
    </w:p>
    <w:p w14:paraId="354545F2" w14:textId="77777777" w:rsidR="00AC5164" w:rsidRPr="00AC5164" w:rsidRDefault="00AC5164" w:rsidP="009477F4">
      <w:pPr>
        <w:widowControl w:val="0"/>
        <w:autoSpaceDE w:val="0"/>
        <w:autoSpaceDN w:val="0"/>
        <w:adjustRightInd w:val="0"/>
        <w:ind w:start="14.20pt" w:hanging="14.20pt"/>
        <w:jc w:val="start"/>
        <w:rPr>
          <w:noProof/>
          <w:sz w:val="16"/>
          <w:szCs w:val="24"/>
        </w:rPr>
      </w:pPr>
      <w:r w:rsidRPr="00AC5164">
        <w:rPr>
          <w:noProof/>
          <w:sz w:val="16"/>
          <w:szCs w:val="24"/>
        </w:rPr>
        <w:t>[4]</w:t>
      </w:r>
      <w:r w:rsidRPr="00AC5164">
        <w:rPr>
          <w:noProof/>
          <w:sz w:val="16"/>
          <w:szCs w:val="24"/>
        </w:rPr>
        <w:tab/>
        <w:t xml:space="preserve">Y. P. Putra </w:t>
      </w:r>
      <w:r w:rsidRPr="00AC5164">
        <w:rPr>
          <w:i/>
          <w:iCs/>
          <w:noProof/>
          <w:sz w:val="16"/>
          <w:szCs w:val="24"/>
        </w:rPr>
        <w:t>et al.</w:t>
      </w:r>
      <w:r w:rsidRPr="00AC5164">
        <w:rPr>
          <w:noProof/>
          <w:sz w:val="16"/>
          <w:szCs w:val="24"/>
        </w:rPr>
        <w:t xml:space="preserve">, “The implementation of cipp evaluation model on a memory-enhanced english learning program,” </w:t>
      </w:r>
      <w:r w:rsidRPr="00AC5164">
        <w:rPr>
          <w:i/>
          <w:iCs/>
          <w:noProof/>
          <w:sz w:val="16"/>
          <w:szCs w:val="24"/>
        </w:rPr>
        <w:t>Int. J. Adv. Sci. Technol.</w:t>
      </w:r>
      <w:r w:rsidRPr="00AC5164">
        <w:rPr>
          <w:noProof/>
          <w:sz w:val="16"/>
          <w:szCs w:val="24"/>
        </w:rPr>
        <w:t>, vol. 29, no. 4 Special Issue, pp. 1684–1693, 2020.</w:t>
      </w:r>
    </w:p>
    <w:p w14:paraId="3D9935DF" w14:textId="77777777" w:rsidR="00AC5164" w:rsidRPr="00AC5164" w:rsidRDefault="00AC5164" w:rsidP="009477F4">
      <w:pPr>
        <w:widowControl w:val="0"/>
        <w:autoSpaceDE w:val="0"/>
        <w:autoSpaceDN w:val="0"/>
        <w:adjustRightInd w:val="0"/>
        <w:ind w:start="14.20pt" w:hanging="14.20pt"/>
        <w:jc w:val="start"/>
        <w:rPr>
          <w:noProof/>
          <w:sz w:val="16"/>
          <w:szCs w:val="24"/>
        </w:rPr>
      </w:pPr>
      <w:r w:rsidRPr="00AC5164">
        <w:rPr>
          <w:noProof/>
          <w:sz w:val="16"/>
          <w:szCs w:val="24"/>
        </w:rPr>
        <w:t>[5]</w:t>
      </w:r>
      <w:r w:rsidRPr="00AC5164">
        <w:rPr>
          <w:noProof/>
          <w:sz w:val="16"/>
          <w:szCs w:val="24"/>
        </w:rPr>
        <w:tab/>
        <w:t xml:space="preserve">ETS, </w:t>
      </w:r>
      <w:r w:rsidRPr="00AC5164">
        <w:rPr>
          <w:i/>
          <w:iCs/>
          <w:noProof/>
          <w:sz w:val="16"/>
          <w:szCs w:val="24"/>
        </w:rPr>
        <w:t>Official guide to the TOEFL ITP Test</w:t>
      </w:r>
      <w:r w:rsidRPr="00AC5164">
        <w:rPr>
          <w:noProof/>
          <w:sz w:val="16"/>
          <w:szCs w:val="24"/>
        </w:rPr>
        <w:t>. 2014.</w:t>
      </w:r>
    </w:p>
    <w:p w14:paraId="39B48780" w14:textId="77777777" w:rsidR="00AC5164" w:rsidRPr="00AC5164" w:rsidRDefault="00AC5164" w:rsidP="009477F4">
      <w:pPr>
        <w:widowControl w:val="0"/>
        <w:autoSpaceDE w:val="0"/>
        <w:autoSpaceDN w:val="0"/>
        <w:adjustRightInd w:val="0"/>
        <w:ind w:start="14.20pt" w:hanging="14.20pt"/>
        <w:jc w:val="start"/>
        <w:rPr>
          <w:noProof/>
          <w:sz w:val="16"/>
          <w:szCs w:val="24"/>
        </w:rPr>
      </w:pPr>
      <w:r w:rsidRPr="00AC5164">
        <w:rPr>
          <w:noProof/>
          <w:sz w:val="16"/>
          <w:szCs w:val="24"/>
        </w:rPr>
        <w:t>[6]</w:t>
      </w:r>
      <w:r w:rsidRPr="00AC5164">
        <w:rPr>
          <w:noProof/>
          <w:sz w:val="16"/>
          <w:szCs w:val="24"/>
        </w:rPr>
        <w:tab/>
        <w:t>G. Buck, “Assessing Listening Cambridge: Cambridge University,” 2001.</w:t>
      </w:r>
    </w:p>
    <w:p w14:paraId="5DBF0B05" w14:textId="77777777" w:rsidR="00AC5164" w:rsidRPr="00AC5164" w:rsidRDefault="00AC5164" w:rsidP="009477F4">
      <w:pPr>
        <w:widowControl w:val="0"/>
        <w:autoSpaceDE w:val="0"/>
        <w:autoSpaceDN w:val="0"/>
        <w:adjustRightInd w:val="0"/>
        <w:ind w:start="14.20pt" w:hanging="14.20pt"/>
        <w:jc w:val="start"/>
        <w:rPr>
          <w:noProof/>
          <w:sz w:val="16"/>
          <w:szCs w:val="24"/>
        </w:rPr>
      </w:pPr>
      <w:r w:rsidRPr="00AC5164">
        <w:rPr>
          <w:noProof/>
          <w:sz w:val="16"/>
          <w:szCs w:val="24"/>
        </w:rPr>
        <w:t>[7]</w:t>
      </w:r>
      <w:r w:rsidRPr="00AC5164">
        <w:rPr>
          <w:noProof/>
          <w:sz w:val="16"/>
          <w:szCs w:val="24"/>
        </w:rPr>
        <w:tab/>
        <w:t xml:space="preserve">O. Pilli and W. Admiraal, “Students’ Learning Outcomes in Massive Open Online Courses (MOOCs): Some Suggestions for Course Design,” </w:t>
      </w:r>
      <w:r w:rsidRPr="00AC5164">
        <w:rPr>
          <w:i/>
          <w:iCs/>
          <w:noProof/>
          <w:sz w:val="16"/>
          <w:szCs w:val="24"/>
        </w:rPr>
        <w:t>Yuksekogretim Derg.</w:t>
      </w:r>
      <w:r w:rsidRPr="00AC5164">
        <w:rPr>
          <w:noProof/>
          <w:sz w:val="16"/>
          <w:szCs w:val="24"/>
        </w:rPr>
        <w:t>, vol. 7, no. 1, pp. 46–71, 2017, doi: 10.2399/yod.17.001.</w:t>
      </w:r>
    </w:p>
    <w:p w14:paraId="0516B0A3" w14:textId="77777777" w:rsidR="00AC5164" w:rsidRPr="00AC5164" w:rsidRDefault="00AC5164" w:rsidP="009477F4">
      <w:pPr>
        <w:widowControl w:val="0"/>
        <w:autoSpaceDE w:val="0"/>
        <w:autoSpaceDN w:val="0"/>
        <w:adjustRightInd w:val="0"/>
        <w:ind w:start="14.20pt" w:hanging="14.20pt"/>
        <w:jc w:val="start"/>
        <w:rPr>
          <w:noProof/>
          <w:sz w:val="16"/>
          <w:szCs w:val="24"/>
        </w:rPr>
      </w:pPr>
      <w:r w:rsidRPr="00AC5164">
        <w:rPr>
          <w:noProof/>
          <w:sz w:val="16"/>
          <w:szCs w:val="24"/>
        </w:rPr>
        <w:t>[8]</w:t>
      </w:r>
      <w:r w:rsidRPr="00AC5164">
        <w:rPr>
          <w:noProof/>
          <w:sz w:val="16"/>
          <w:szCs w:val="24"/>
        </w:rPr>
        <w:tab/>
        <w:t xml:space="preserve">A. Hassani and S. A. Ghanouchi, “Modeling of a collaborative learning process in the context of MOOCs,” </w:t>
      </w:r>
      <w:r w:rsidRPr="00AC5164">
        <w:rPr>
          <w:i/>
          <w:iCs/>
          <w:noProof/>
          <w:sz w:val="16"/>
          <w:szCs w:val="24"/>
        </w:rPr>
        <w:t>Proc. - 2016 3rd Int. Conf. Syst. Collab. SysCo 2016</w:t>
      </w:r>
      <w:r w:rsidRPr="00AC5164">
        <w:rPr>
          <w:noProof/>
          <w:sz w:val="16"/>
          <w:szCs w:val="24"/>
        </w:rPr>
        <w:t>, 2017, doi: 10.1109/SYSCO.2016.7831336.</w:t>
      </w:r>
    </w:p>
    <w:p w14:paraId="52830D51" w14:textId="77777777" w:rsidR="00AC5164" w:rsidRPr="00AC5164" w:rsidRDefault="00AC5164" w:rsidP="009477F4">
      <w:pPr>
        <w:widowControl w:val="0"/>
        <w:autoSpaceDE w:val="0"/>
        <w:autoSpaceDN w:val="0"/>
        <w:adjustRightInd w:val="0"/>
        <w:ind w:start="14.20pt" w:hanging="14.20pt"/>
        <w:jc w:val="start"/>
        <w:rPr>
          <w:noProof/>
          <w:sz w:val="16"/>
          <w:szCs w:val="24"/>
        </w:rPr>
      </w:pPr>
      <w:r w:rsidRPr="00AC5164">
        <w:rPr>
          <w:noProof/>
          <w:sz w:val="16"/>
          <w:szCs w:val="24"/>
        </w:rPr>
        <w:t>[9]</w:t>
      </w:r>
      <w:r w:rsidRPr="00AC5164">
        <w:rPr>
          <w:noProof/>
          <w:sz w:val="16"/>
          <w:szCs w:val="24"/>
        </w:rPr>
        <w:tab/>
        <w:t xml:space="preserve">A. Margaryan, M. Bianco, and A. Littlejohn, “Instructional quality of Massive Open Online Courses (MOOCs),” </w:t>
      </w:r>
      <w:r w:rsidRPr="00AC5164">
        <w:rPr>
          <w:i/>
          <w:iCs/>
          <w:noProof/>
          <w:sz w:val="16"/>
          <w:szCs w:val="24"/>
        </w:rPr>
        <w:t>Comput. Educ.</w:t>
      </w:r>
      <w:r w:rsidRPr="00AC5164">
        <w:rPr>
          <w:noProof/>
          <w:sz w:val="16"/>
          <w:szCs w:val="24"/>
        </w:rPr>
        <w:t>, vol. 80, pp. 77–83, 2015, doi: 10.1016/j.compedu.2014.08.005.</w:t>
      </w:r>
    </w:p>
    <w:p w14:paraId="08A2CDCC" w14:textId="77777777" w:rsidR="00AC5164" w:rsidRPr="00AC5164" w:rsidRDefault="00AC5164" w:rsidP="009477F4">
      <w:pPr>
        <w:widowControl w:val="0"/>
        <w:autoSpaceDE w:val="0"/>
        <w:autoSpaceDN w:val="0"/>
        <w:adjustRightInd w:val="0"/>
        <w:ind w:start="14.20pt" w:hanging="14.20pt"/>
        <w:jc w:val="start"/>
        <w:rPr>
          <w:noProof/>
          <w:sz w:val="16"/>
          <w:szCs w:val="24"/>
        </w:rPr>
      </w:pPr>
      <w:r w:rsidRPr="00AC5164">
        <w:rPr>
          <w:noProof/>
          <w:sz w:val="16"/>
          <w:szCs w:val="24"/>
        </w:rPr>
        <w:t>[10]</w:t>
      </w:r>
      <w:r w:rsidRPr="00AC5164">
        <w:rPr>
          <w:noProof/>
          <w:sz w:val="16"/>
          <w:szCs w:val="24"/>
        </w:rPr>
        <w:tab/>
        <w:t xml:space="preserve">K. F. Hew and W. S. Cheung, “Students’ and instructors’ use of massive open online courses (MOOCs): Motivations and challenges,” </w:t>
      </w:r>
      <w:r w:rsidRPr="00AC5164">
        <w:rPr>
          <w:i/>
          <w:iCs/>
          <w:noProof/>
          <w:sz w:val="16"/>
          <w:szCs w:val="24"/>
        </w:rPr>
        <w:t>Educ. Res. Rev.</w:t>
      </w:r>
      <w:r w:rsidRPr="00AC5164">
        <w:rPr>
          <w:noProof/>
          <w:sz w:val="16"/>
          <w:szCs w:val="24"/>
        </w:rPr>
        <w:t>, vol. 12, pp. 45–58, 2014, doi: 10.1016/j.edurev.2014.05.001.</w:t>
      </w:r>
    </w:p>
    <w:p w14:paraId="68BDB7C4" w14:textId="77777777" w:rsidR="00AC5164" w:rsidRPr="00AC5164" w:rsidRDefault="00AC5164" w:rsidP="009477F4">
      <w:pPr>
        <w:widowControl w:val="0"/>
        <w:autoSpaceDE w:val="0"/>
        <w:autoSpaceDN w:val="0"/>
        <w:adjustRightInd w:val="0"/>
        <w:ind w:start="14.20pt" w:hanging="14.20pt"/>
        <w:jc w:val="start"/>
        <w:rPr>
          <w:noProof/>
          <w:sz w:val="16"/>
          <w:szCs w:val="24"/>
        </w:rPr>
      </w:pPr>
      <w:r w:rsidRPr="00AC5164">
        <w:rPr>
          <w:noProof/>
          <w:sz w:val="16"/>
          <w:szCs w:val="24"/>
        </w:rPr>
        <w:t>[11]</w:t>
      </w:r>
      <w:r w:rsidRPr="00AC5164">
        <w:rPr>
          <w:noProof/>
          <w:sz w:val="16"/>
          <w:szCs w:val="24"/>
        </w:rPr>
        <w:tab/>
        <w:t xml:space="preserve">M. Lombardi, F. Pascale, and D. Santaniello, “Internet of things: A general overview between architectures, protocols and applications,” </w:t>
      </w:r>
      <w:r w:rsidRPr="00AC5164">
        <w:rPr>
          <w:i/>
          <w:iCs/>
          <w:noProof/>
          <w:sz w:val="16"/>
          <w:szCs w:val="24"/>
        </w:rPr>
        <w:t>Inf.</w:t>
      </w:r>
      <w:r w:rsidRPr="00AC5164">
        <w:rPr>
          <w:noProof/>
          <w:sz w:val="16"/>
          <w:szCs w:val="24"/>
        </w:rPr>
        <w:t>, vol. 12, no. 2, pp. 1–21, 2021, doi: 10.3390/info12020087.</w:t>
      </w:r>
    </w:p>
    <w:p w14:paraId="513FBDEF" w14:textId="77777777" w:rsidR="00AC5164" w:rsidRPr="00AC5164" w:rsidRDefault="00AC5164" w:rsidP="009477F4">
      <w:pPr>
        <w:widowControl w:val="0"/>
        <w:autoSpaceDE w:val="0"/>
        <w:autoSpaceDN w:val="0"/>
        <w:adjustRightInd w:val="0"/>
        <w:ind w:start="14.20pt" w:hanging="14.20pt"/>
        <w:jc w:val="start"/>
        <w:rPr>
          <w:noProof/>
          <w:sz w:val="16"/>
          <w:szCs w:val="24"/>
        </w:rPr>
      </w:pPr>
      <w:r w:rsidRPr="00AC5164">
        <w:rPr>
          <w:noProof/>
          <w:sz w:val="16"/>
          <w:szCs w:val="24"/>
        </w:rPr>
        <w:t>[12]</w:t>
      </w:r>
      <w:r w:rsidRPr="00AC5164">
        <w:rPr>
          <w:noProof/>
          <w:sz w:val="16"/>
          <w:szCs w:val="24"/>
        </w:rPr>
        <w:tab/>
        <w:t xml:space="preserve">A. Singh, “A Review about Wireless Sensor Networks and the Internet of Things,” </w:t>
      </w:r>
      <w:r w:rsidRPr="00AC5164">
        <w:rPr>
          <w:i/>
          <w:iCs/>
          <w:noProof/>
          <w:sz w:val="16"/>
          <w:szCs w:val="24"/>
        </w:rPr>
        <w:t>J. Internet Things</w:t>
      </w:r>
      <w:r w:rsidRPr="00AC5164">
        <w:rPr>
          <w:noProof/>
          <w:sz w:val="16"/>
          <w:szCs w:val="24"/>
        </w:rPr>
        <w:t>, vol. 4, no. 2, pp. 69–73, 2022, doi: 10.32604/jiot.2022.026170.</w:t>
      </w:r>
    </w:p>
    <w:p w14:paraId="15664A9A" w14:textId="77777777" w:rsidR="00AC5164" w:rsidRPr="00AC5164" w:rsidRDefault="00AC5164" w:rsidP="009477F4">
      <w:pPr>
        <w:widowControl w:val="0"/>
        <w:autoSpaceDE w:val="0"/>
        <w:autoSpaceDN w:val="0"/>
        <w:adjustRightInd w:val="0"/>
        <w:ind w:start="14.20pt" w:hanging="14.20pt"/>
        <w:jc w:val="start"/>
        <w:rPr>
          <w:noProof/>
          <w:sz w:val="16"/>
          <w:szCs w:val="24"/>
        </w:rPr>
      </w:pPr>
      <w:r w:rsidRPr="00AC5164">
        <w:rPr>
          <w:noProof/>
          <w:sz w:val="16"/>
          <w:szCs w:val="24"/>
        </w:rPr>
        <w:t>[13]</w:t>
      </w:r>
      <w:r w:rsidRPr="00AC5164">
        <w:rPr>
          <w:noProof/>
          <w:sz w:val="16"/>
          <w:szCs w:val="24"/>
        </w:rPr>
        <w:tab/>
        <w:t xml:space="preserve">O. Ali, M. K. Ishak, M. K. L. Bhatti, I. Khan, and K. Il Kim, “A Comprehensive Review of Internet of Things: Technology Stack, Middlewares, and Fog/Edge Computing Interface,” </w:t>
      </w:r>
      <w:r w:rsidRPr="00AC5164">
        <w:rPr>
          <w:i/>
          <w:iCs/>
          <w:noProof/>
          <w:sz w:val="16"/>
          <w:szCs w:val="24"/>
        </w:rPr>
        <w:t>Sensors</w:t>
      </w:r>
      <w:r w:rsidRPr="00AC5164">
        <w:rPr>
          <w:noProof/>
          <w:sz w:val="16"/>
          <w:szCs w:val="24"/>
        </w:rPr>
        <w:t>, vol. 22, no. 3, pp. 1–43, 2022, doi: 10.3390/s22030995.</w:t>
      </w:r>
    </w:p>
    <w:p w14:paraId="1048A215" w14:textId="77777777" w:rsidR="00AC5164" w:rsidRPr="00AC5164" w:rsidRDefault="00AC5164" w:rsidP="009477F4">
      <w:pPr>
        <w:widowControl w:val="0"/>
        <w:autoSpaceDE w:val="0"/>
        <w:autoSpaceDN w:val="0"/>
        <w:adjustRightInd w:val="0"/>
        <w:ind w:start="14.20pt" w:hanging="14.20pt"/>
        <w:jc w:val="start"/>
        <w:rPr>
          <w:noProof/>
          <w:sz w:val="16"/>
          <w:szCs w:val="24"/>
        </w:rPr>
      </w:pPr>
      <w:r w:rsidRPr="00AC5164">
        <w:rPr>
          <w:noProof/>
          <w:sz w:val="16"/>
          <w:szCs w:val="24"/>
        </w:rPr>
        <w:t>[14]</w:t>
      </w:r>
      <w:r w:rsidRPr="00AC5164">
        <w:rPr>
          <w:noProof/>
          <w:sz w:val="16"/>
          <w:szCs w:val="24"/>
        </w:rPr>
        <w:tab/>
        <w:t xml:space="preserve">A. Basta, N. Basta, and M. Brown, </w:t>
      </w:r>
      <w:r w:rsidRPr="00AC5164">
        <w:rPr>
          <w:i/>
          <w:iCs/>
          <w:noProof/>
          <w:sz w:val="16"/>
          <w:szCs w:val="24"/>
        </w:rPr>
        <w:t>Computer Security and Penetration Testing</w:t>
      </w:r>
      <w:r w:rsidRPr="00AC5164">
        <w:rPr>
          <w:noProof/>
          <w:sz w:val="16"/>
          <w:szCs w:val="24"/>
        </w:rPr>
        <w:t>. Stamford, Connecticut : Cengage Learning, 2013. [Online]. Available: https://books.google.com/books?id=fiPpAwAAQBAJ&amp;pgis=1</w:t>
      </w:r>
    </w:p>
    <w:p w14:paraId="4D7EB294" w14:textId="77777777" w:rsidR="00AC5164" w:rsidRPr="00AC5164" w:rsidRDefault="00AC5164" w:rsidP="009477F4">
      <w:pPr>
        <w:widowControl w:val="0"/>
        <w:autoSpaceDE w:val="0"/>
        <w:autoSpaceDN w:val="0"/>
        <w:adjustRightInd w:val="0"/>
        <w:ind w:start="14.20pt" w:hanging="14.20pt"/>
        <w:jc w:val="start"/>
        <w:rPr>
          <w:noProof/>
          <w:sz w:val="16"/>
        </w:rPr>
      </w:pPr>
      <w:r w:rsidRPr="00AC5164">
        <w:rPr>
          <w:noProof/>
          <w:sz w:val="16"/>
          <w:szCs w:val="24"/>
        </w:rPr>
        <w:t>[15]</w:t>
      </w:r>
      <w:r w:rsidRPr="00AC5164">
        <w:rPr>
          <w:noProof/>
          <w:sz w:val="16"/>
          <w:szCs w:val="24"/>
        </w:rPr>
        <w:tab/>
        <w:t xml:space="preserve">J. Saxena, N., &amp; Clark, “Security and Usability Challenges of Two-Factor Authentication and Beyond,” </w:t>
      </w:r>
      <w:r w:rsidRPr="00AC5164">
        <w:rPr>
          <w:i/>
          <w:iCs/>
          <w:noProof/>
          <w:sz w:val="16"/>
          <w:szCs w:val="24"/>
        </w:rPr>
        <w:t>Int. J. Inf. Secur.</w:t>
      </w:r>
      <w:r w:rsidRPr="00AC5164">
        <w:rPr>
          <w:noProof/>
          <w:sz w:val="16"/>
          <w:szCs w:val="24"/>
        </w:rPr>
        <w:t>, pp. 15(4), 269-276., 2016.</w:t>
      </w:r>
    </w:p>
    <w:p w14:paraId="1E72EAD1" w14:textId="6C830C0D" w:rsidR="009B407F" w:rsidRDefault="0005088E" w:rsidP="0005088E">
      <w:pPr>
        <w:jc w:val="start"/>
      </w:pPr>
      <w:r w:rsidRPr="0005088E">
        <w:rPr>
          <w:sz w:val="16"/>
          <w:szCs w:val="16"/>
        </w:rPr>
        <w:fldChar w:fldCharType="end"/>
      </w:r>
    </w:p>
    <w:p w14:paraId="714B4BF5" w14:textId="77777777" w:rsidR="0005088E" w:rsidRPr="005B520E" w:rsidRDefault="0005088E" w:rsidP="009B407F">
      <w:pPr>
        <w:jc w:val="start"/>
      </w:pPr>
    </w:p>
    <w:p w14:paraId="67664B9A" w14:textId="77777777" w:rsidR="008147B5" w:rsidRDefault="008147B5" w:rsidP="008147B5">
      <w:pPr>
        <w:pStyle w:val="references"/>
        <w:numPr>
          <w:ilvl w:val="0"/>
          <w:numId w:val="0"/>
        </w:numPr>
        <w:ind w:start="17.70pt"/>
      </w:pPr>
    </w:p>
    <w:p w14:paraId="481D7272" w14:textId="77777777" w:rsidR="009303D9" w:rsidRDefault="009303D9" w:rsidP="00836367">
      <w:pPr>
        <w:pStyle w:val="references"/>
        <w:numPr>
          <w:ilvl w:val="0"/>
          <w:numId w:val="0"/>
        </w:numPr>
        <w:ind w:start="18pt" w:hanging="18pt"/>
      </w:pPr>
    </w:p>
    <w:sectPr w:rsidR="009303D9" w:rsidSect="00383231">
      <w:type w:val="continuous"/>
      <w:pgSz w:w="595.30pt" w:h="841.90pt" w:code="9"/>
      <w:pgMar w:top="54pt" w:right="45.35pt" w:bottom="72pt" w:left="45.35pt" w:header="36pt" w:footer="36pt" w:gutter="0pt"/>
      <w:cols w:num="2" w:space="18pt"/>
      <w:docGrid w:linePitch="360"/>
    </w:sectPr>
  </w:body>
</w:document>
</file>

<file path=word/endnotes.xml><?xml version="1.0" encoding="utf-8"?>
<w:endnote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i="http://schemas.microsoft.com/office/word/2010/wordprocessingInk" xmlns:wne="http://schemas.microsoft.com/office/word/2006/wordml" mc:Ignorable="w14 w15 w16se w16cid w16 w16cex w16sdtdh wne wp14">
  <w:endnote w:type="separator" w:id="-1">
    <w:p w14:paraId="726B4B47" w14:textId="77777777" w:rsidR="00205903" w:rsidRDefault="00205903" w:rsidP="001A3B3D">
      <w:r>
        <w:separator/>
      </w:r>
    </w:p>
  </w:endnote>
  <w:endnote w:type="continuationSeparator" w:id="0">
    <w:p w14:paraId="752B12BB" w14:textId="77777777" w:rsidR="00205903" w:rsidRDefault="00205903" w:rsidP="001A3B3D">
      <w:r>
        <w:continuationSeparator/>
      </w:r>
    </w:p>
  </w:endnote>
</w:endnotes>
</file>

<file path=word/fontTable.xml><?xml version="1.0" encoding="utf-8"?>
<w:fonts xmlns:mc="http://schemas.openxmlformats.org/markup-compatibility/2006" xmlns:r="http://purl.oclc.org/ooxml/officeDocument/relationships"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family w:val="roman"/>
    <w:pitch w:val="variable"/>
    <w:sig w:usb0="00000000" w:usb1="10000000" w:usb2="00000000" w:usb3="00000000" w:csb0="80000000" w:csb1="00000000"/>
  </w:font>
  <w:font w:name="Times New Roman">
    <w:panose1 w:val="02020603050405020304"/>
    <w:charset w:characterSet="iso-8859-1"/>
    <w:family w:val="roman"/>
    <w:pitch w:val="variable"/>
    <w:sig w:usb0="E0002EFF" w:usb1="C000785B" w:usb2="00000009" w:usb3="00000000" w:csb0="000001FF" w:csb1="00000000"/>
  </w:font>
  <w:font w:name="Courier New">
    <w:panose1 w:val="02070309020205020404"/>
    <w:charset w:characterSet="iso-8859-1"/>
    <w:family w:val="modern"/>
    <w:pitch w:val="fixed"/>
    <w:sig w:usb0="E0002EFF" w:usb1="C0007843" w:usb2="00000009" w:usb3="00000000" w:csb0="000001FF" w:csb1="00000000"/>
  </w:font>
  <w:font w:name="Wingdings">
    <w:panose1 w:val="05000000000000000000"/>
    <w:family w:val="auto"/>
    <w:pitch w:val="variable"/>
    <w:sig w:usb0="00000000" w:usb1="10000000" w:usb2="00000000" w:usb3="00000000" w:csb0="80000000" w:csb1="00000000"/>
  </w:font>
  <w:font w:name="SimSun">
    <w:altName w:val="宋体"/>
    <w:panose1 w:val="02010600030101010101"/>
    <w:charset w:characterSet="GBK"/>
    <w:family w:val="auto"/>
    <w:pitch w:val="variable"/>
    <w:sig w:usb0="00000203" w:usb1="288F0000" w:usb2="00000016" w:usb3="00000000" w:csb0="00040001" w:csb1="00000000"/>
  </w:font>
  <w:font w:name="MS Mincho">
    <w:altName w:val="ＭＳ 明朝"/>
    <w:panose1 w:val="02020609040205080304"/>
    <w:charset w:characterSet="shift_jis"/>
    <w:family w:val="modern"/>
    <w:pitch w:val="fixed"/>
    <w:sig w:usb0="E00002FF" w:usb1="6AC7FDFB" w:usb2="08000012" w:usb3="00000000" w:csb0="0002009F" w:csb1="00000000"/>
  </w:font>
  <w:font w:name="Calibri Light">
    <w:panose1 w:val="020F0302020204030204"/>
    <w:charset w:characterSet="iso-8859-1"/>
    <w:family w:val="swiss"/>
    <w:pitch w:val="variable"/>
    <w:sig w:usb0="E4002EFF" w:usb1="C000247B" w:usb2="00000009" w:usb3="00000000" w:csb0="000001FF" w:csb1="00000000"/>
  </w:font>
  <w:font w:name="Calibri">
    <w:panose1 w:val="020F0502020204030204"/>
    <w:charset w:characterSet="iso-8859-1"/>
    <w:family w:val="swiss"/>
    <w:pitch w:val="variable"/>
    <w:sig w:usb0="E4002EFF" w:usb1="C000247B" w:usb2="00000009" w:usb3="00000000" w:csb0="000001FF" w:csb1="00000000"/>
  </w:font>
  <w:font w:name="Arial">
    <w:panose1 w:val="020B0604020202020204"/>
    <w:charset w:characterSet="iso-8859-1"/>
    <w:family w:val="swiss"/>
    <w:pitch w:val="variable"/>
    <w:sig w:usb0="E0002EFF" w:usb1="C000785B" w:usb2="00000009" w:usb3="00000000" w:csb0="000001FF" w:csb1="00000000"/>
  </w:font>
</w:fonts>
</file>

<file path=word/footer1.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i="http://schemas.microsoft.com/office/word/2010/wordprocessingInk" xmlns:wne="http://schemas.microsoft.com/office/word/2006/wordml" mc:Ignorable="w14 w15 w16se w16cid w16 w16cex w16sdtdh wne wp14">
  <w:p w14:paraId="69E75918" w14:textId="77777777" w:rsidR="001A3B3D" w:rsidRPr="006F6D3D" w:rsidRDefault="001A3B3D" w:rsidP="0056610F">
    <w:pPr>
      <w:pStyle w:val="Footer"/>
      <w:jc w:val="start"/>
      <w:rPr>
        <w:sz w:val="16"/>
        <w:szCs w:val="16"/>
      </w:rPr>
    </w:pPr>
    <w:r w:rsidRPr="006F6D3D">
      <w:rPr>
        <w:sz w:val="16"/>
        <w:szCs w:val="16"/>
      </w:rPr>
      <w:t>XXX-X-XXXX-XXXX-X/XX/$XX.00 ©20XX IEEE</w:t>
    </w:r>
  </w:p>
</w:ftr>
</file>

<file path=word/footnotes.xml><?xml version="1.0" encoding="utf-8"?>
<w:footnote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i="http://schemas.microsoft.com/office/word/2010/wordprocessingInk" xmlns:wne="http://schemas.microsoft.com/office/word/2006/wordml" mc:Ignorable="w14 w15 w16se w16cid w16 w16cex w16sdtdh wne wp14">
  <w:footnote w:type="separator" w:id="-1">
    <w:p w14:paraId="1C2DDDB8" w14:textId="77777777" w:rsidR="00205903" w:rsidRDefault="00205903" w:rsidP="001A3B3D">
      <w:r>
        <w:separator/>
      </w:r>
    </w:p>
  </w:footnote>
  <w:footnote w:type="continuationSeparator" w:id="0">
    <w:p w14:paraId="543B5816" w14:textId="77777777" w:rsidR="00205903" w:rsidRDefault="00205903" w:rsidP="001A3B3D">
      <w:r>
        <w:continuationSeparator/>
      </w:r>
    </w:p>
  </w:footnote>
</w:footnotes>
</file>

<file path=word/numbering.xml><?xml version="1.0" encoding="utf-8"?>
<w:numberin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i="http://schemas.microsoft.com/office/word/2010/wordprocessingInk" xmlns:wne="http://schemas.microsoft.com/office/word/2006/wordml" mc:Ignorable="w14 w15 w16se w16cid w16 w16cex w16sdtdh wne wp14">
  <w:abstractNum w:abstractNumId="0" w15:restartNumberingAfterBreak="0">
    <w:nsid w:val="FFFFFF1D"/>
    <w:multiLevelType w:val="multilevel"/>
    <w:tmpl w:val="7A36CE9E"/>
    <w:lvl w:ilvl="0">
      <w:start w:val="1"/>
      <w:numFmt w:val="bullet"/>
      <w:lvlText w:val=""/>
      <w:lvlJc w:val="start"/>
      <w:pPr>
        <w:tabs>
          <w:tab w:val="num" w:pos="0pt"/>
        </w:tabs>
        <w:ind w:start="0pt" w:firstLine="0pt"/>
      </w:pPr>
      <w:rPr>
        <w:rFonts w:ascii="Symbol" w:hAnsi="Symbol" w:hint="default"/>
      </w:rPr>
    </w:lvl>
    <w:lvl w:ilvl="1">
      <w:start w:val="1"/>
      <w:numFmt w:val="bullet"/>
      <w:lvlText w:val=""/>
      <w:lvlJc w:val="start"/>
      <w:pPr>
        <w:tabs>
          <w:tab w:val="num" w:pos="36pt"/>
        </w:tabs>
        <w:ind w:start="54pt" w:hanging="18pt"/>
      </w:pPr>
      <w:rPr>
        <w:rFonts w:ascii="Symbol" w:hAnsi="Symbol" w:hint="default"/>
      </w:rPr>
    </w:lvl>
    <w:lvl w:ilvl="2">
      <w:start w:val="1"/>
      <w:numFmt w:val="bullet"/>
      <w:lvlText w:val="o"/>
      <w:lvlJc w:val="start"/>
      <w:pPr>
        <w:tabs>
          <w:tab w:val="num" w:pos="72pt"/>
        </w:tabs>
        <w:ind w:start="90pt" w:hanging="18pt"/>
      </w:pPr>
      <w:rPr>
        <w:rFonts w:ascii="Courier New" w:hAnsi="Courier New" w:cs="Courier New" w:hint="default"/>
      </w:rPr>
    </w:lvl>
    <w:lvl w:ilvl="3">
      <w:start w:val="1"/>
      <w:numFmt w:val="bullet"/>
      <w:lvlText w:val=""/>
      <w:lvlJc w:val="start"/>
      <w:pPr>
        <w:tabs>
          <w:tab w:val="num" w:pos="108pt"/>
        </w:tabs>
        <w:ind w:start="126pt" w:hanging="18pt"/>
      </w:pPr>
      <w:rPr>
        <w:rFonts w:ascii="Wingdings" w:hAnsi="Wingdings" w:hint="default"/>
      </w:rPr>
    </w:lvl>
    <w:lvl w:ilvl="4">
      <w:start w:val="1"/>
      <w:numFmt w:val="bullet"/>
      <w:lvlText w:val=""/>
      <w:lvlJc w:val="start"/>
      <w:pPr>
        <w:tabs>
          <w:tab w:val="num" w:pos="144pt"/>
        </w:tabs>
        <w:ind w:start="162pt" w:hanging="18pt"/>
      </w:pPr>
      <w:rPr>
        <w:rFonts w:ascii="Wingdings" w:hAnsi="Wingdings" w:hint="default"/>
      </w:rPr>
    </w:lvl>
    <w:lvl w:ilvl="5">
      <w:start w:val="1"/>
      <w:numFmt w:val="bullet"/>
      <w:lvlText w:val=""/>
      <w:lvlJc w:val="start"/>
      <w:pPr>
        <w:tabs>
          <w:tab w:val="num" w:pos="180pt"/>
        </w:tabs>
        <w:ind w:start="198pt" w:hanging="18pt"/>
      </w:pPr>
      <w:rPr>
        <w:rFonts w:ascii="Symbol" w:hAnsi="Symbol" w:hint="default"/>
      </w:rPr>
    </w:lvl>
    <w:lvl w:ilvl="6">
      <w:start w:val="1"/>
      <w:numFmt w:val="bullet"/>
      <w:lvlText w:val="o"/>
      <w:lvlJc w:val="start"/>
      <w:pPr>
        <w:tabs>
          <w:tab w:val="num" w:pos="216pt"/>
        </w:tabs>
        <w:ind w:start="234pt" w:hanging="18pt"/>
      </w:pPr>
      <w:rPr>
        <w:rFonts w:ascii="Courier New" w:hAnsi="Courier New" w:cs="Courier New" w:hint="default"/>
      </w:rPr>
    </w:lvl>
    <w:lvl w:ilvl="7">
      <w:start w:val="1"/>
      <w:numFmt w:val="bullet"/>
      <w:lvlText w:val=""/>
      <w:lvlJc w:val="start"/>
      <w:pPr>
        <w:tabs>
          <w:tab w:val="num" w:pos="252pt"/>
        </w:tabs>
        <w:ind w:start="270pt" w:hanging="18pt"/>
      </w:pPr>
      <w:rPr>
        <w:rFonts w:ascii="Wingdings" w:hAnsi="Wingdings" w:hint="default"/>
      </w:rPr>
    </w:lvl>
    <w:lvl w:ilvl="8">
      <w:start w:val="1"/>
      <w:numFmt w:val="bullet"/>
      <w:lvlText w:val=""/>
      <w:lvlJc w:val="start"/>
      <w:pPr>
        <w:tabs>
          <w:tab w:val="num" w:pos="288pt"/>
        </w:tabs>
        <w:ind w:start="306pt" w:hanging="18pt"/>
      </w:pPr>
      <w:rPr>
        <w:rFonts w:ascii="Wingdings" w:hAnsi="Wingdings" w:hint="default"/>
      </w:rPr>
    </w:lvl>
  </w:abstractNum>
  <w:abstractNum w:abstractNumId="1" w15:restartNumberingAfterBreak="0">
    <w:nsid w:val="FFFFFF7C"/>
    <w:multiLevelType w:val="singleLevel"/>
    <w:tmpl w:val="DD629BEE"/>
    <w:lvl w:ilvl="0">
      <w:start w:val="1"/>
      <w:numFmt w:val="decimal"/>
      <w:lvlText w:val="%1."/>
      <w:lvlJc w:val="start"/>
      <w:pPr>
        <w:tabs>
          <w:tab w:val="num" w:pos="74.60pt"/>
        </w:tabs>
        <w:ind w:start="74.60pt" w:hanging="18pt"/>
      </w:pPr>
    </w:lvl>
  </w:abstractNum>
  <w:abstractNum w:abstractNumId="2" w15:restartNumberingAfterBreak="0">
    <w:nsid w:val="FFFFFF7D"/>
    <w:multiLevelType w:val="singleLevel"/>
    <w:tmpl w:val="2648E1C4"/>
    <w:lvl w:ilvl="0">
      <w:start w:val="1"/>
      <w:numFmt w:val="decimal"/>
      <w:lvlText w:val="%1."/>
      <w:lvlJc w:val="start"/>
      <w:pPr>
        <w:tabs>
          <w:tab w:val="num" w:pos="60.45pt"/>
        </w:tabs>
        <w:ind w:start="60.45pt" w:hanging="18pt"/>
      </w:pPr>
    </w:lvl>
  </w:abstractNum>
  <w:abstractNum w:abstractNumId="3" w15:restartNumberingAfterBreak="0">
    <w:nsid w:val="FFFFFF7E"/>
    <w:multiLevelType w:val="singleLevel"/>
    <w:tmpl w:val="9D38DB54"/>
    <w:lvl w:ilvl="0">
      <w:start w:val="1"/>
      <w:numFmt w:val="decimal"/>
      <w:lvlText w:val="%1."/>
      <w:lvlJc w:val="start"/>
      <w:pPr>
        <w:tabs>
          <w:tab w:val="num" w:pos="46.30pt"/>
        </w:tabs>
        <w:ind w:start="46.30pt" w:hanging="18pt"/>
      </w:pPr>
    </w:lvl>
  </w:abstractNum>
  <w:abstractNum w:abstractNumId="4" w15:restartNumberingAfterBreak="0">
    <w:nsid w:val="FFFFFF7F"/>
    <w:multiLevelType w:val="singleLevel"/>
    <w:tmpl w:val="632C24E2"/>
    <w:lvl w:ilvl="0">
      <w:start w:val="1"/>
      <w:numFmt w:val="decimal"/>
      <w:lvlText w:val="%1."/>
      <w:lvlJc w:val="start"/>
      <w:pPr>
        <w:tabs>
          <w:tab w:val="num" w:pos="32.15pt"/>
        </w:tabs>
        <w:ind w:start="32.15pt" w:hanging="18pt"/>
      </w:pPr>
    </w:lvl>
  </w:abstractNum>
  <w:abstractNum w:abstractNumId="5" w15:restartNumberingAfterBreak="0">
    <w:nsid w:val="FFFFFF80"/>
    <w:multiLevelType w:val="singleLevel"/>
    <w:tmpl w:val="82268A14"/>
    <w:lvl w:ilvl="0">
      <w:start w:val="1"/>
      <w:numFmt w:val="bullet"/>
      <w:lvlText w:val=""/>
      <w:lvlJc w:val="start"/>
      <w:pPr>
        <w:tabs>
          <w:tab w:val="num" w:pos="74.60pt"/>
        </w:tabs>
        <w:ind w:start="74.60pt" w:hanging="18pt"/>
      </w:pPr>
      <w:rPr>
        <w:rFonts w:ascii="Symbol" w:hAnsi="Symbol" w:hint="default"/>
      </w:rPr>
    </w:lvl>
  </w:abstractNum>
  <w:abstractNum w:abstractNumId="6" w15:restartNumberingAfterBreak="0">
    <w:nsid w:val="FFFFFF81"/>
    <w:multiLevelType w:val="singleLevel"/>
    <w:tmpl w:val="8C0E77FE"/>
    <w:lvl w:ilvl="0">
      <w:start w:val="1"/>
      <w:numFmt w:val="bullet"/>
      <w:lvlText w:val=""/>
      <w:lvlJc w:val="start"/>
      <w:pPr>
        <w:tabs>
          <w:tab w:val="num" w:pos="60.45pt"/>
        </w:tabs>
        <w:ind w:start="60.45pt" w:hanging="18pt"/>
      </w:pPr>
      <w:rPr>
        <w:rFonts w:ascii="Symbol" w:hAnsi="Symbol" w:hint="default"/>
      </w:rPr>
    </w:lvl>
  </w:abstractNum>
  <w:abstractNum w:abstractNumId="7" w15:restartNumberingAfterBreak="0">
    <w:nsid w:val="FFFFFF82"/>
    <w:multiLevelType w:val="singleLevel"/>
    <w:tmpl w:val="174639B8"/>
    <w:lvl w:ilvl="0">
      <w:start w:val="1"/>
      <w:numFmt w:val="bullet"/>
      <w:lvlText w:val=""/>
      <w:lvlJc w:val="start"/>
      <w:pPr>
        <w:tabs>
          <w:tab w:val="num" w:pos="46.30pt"/>
        </w:tabs>
        <w:ind w:start="46.30pt" w:hanging="18pt"/>
      </w:pPr>
      <w:rPr>
        <w:rFonts w:ascii="Symbol" w:hAnsi="Symbol" w:hint="default"/>
      </w:rPr>
    </w:lvl>
  </w:abstractNum>
  <w:abstractNum w:abstractNumId="8" w15:restartNumberingAfterBreak="0">
    <w:nsid w:val="FFFFFF83"/>
    <w:multiLevelType w:val="singleLevel"/>
    <w:tmpl w:val="B1ACC408"/>
    <w:lvl w:ilvl="0">
      <w:start w:val="1"/>
      <w:numFmt w:val="bullet"/>
      <w:lvlText w:val=""/>
      <w:lvlJc w:val="start"/>
      <w:pPr>
        <w:tabs>
          <w:tab w:val="num" w:pos="32.15pt"/>
        </w:tabs>
        <w:ind w:start="32.15pt" w:hanging="18pt"/>
      </w:pPr>
      <w:rPr>
        <w:rFonts w:ascii="Symbol" w:hAnsi="Symbol" w:hint="default"/>
      </w:rPr>
    </w:lvl>
  </w:abstractNum>
  <w:abstractNum w:abstractNumId="9" w15:restartNumberingAfterBreak="0">
    <w:nsid w:val="FFFFFF88"/>
    <w:multiLevelType w:val="singleLevel"/>
    <w:tmpl w:val="229E8DFE"/>
    <w:lvl w:ilvl="0">
      <w:start w:val="1"/>
      <w:numFmt w:val="decimal"/>
      <w:lvlText w:val="%1."/>
      <w:lvlJc w:val="start"/>
      <w:pPr>
        <w:tabs>
          <w:tab w:val="num" w:pos="18pt"/>
        </w:tabs>
        <w:ind w:start="18pt" w:hanging="18pt"/>
      </w:pPr>
    </w:lvl>
  </w:abstractNum>
  <w:abstractNum w:abstractNumId="10" w15:restartNumberingAfterBreak="0">
    <w:nsid w:val="FFFFFF89"/>
    <w:multiLevelType w:val="singleLevel"/>
    <w:tmpl w:val="EA847AFE"/>
    <w:lvl w:ilvl="0">
      <w:start w:val="1"/>
      <w:numFmt w:val="bullet"/>
      <w:lvlText w:val=""/>
      <w:lvlJc w:val="start"/>
      <w:pPr>
        <w:tabs>
          <w:tab w:val="num" w:pos="18pt"/>
        </w:tabs>
        <w:ind w:start="18pt" w:hanging="18pt"/>
      </w:pPr>
      <w:rPr>
        <w:rFonts w:ascii="Symbol" w:hAnsi="Symbol" w:hint="default"/>
      </w:rPr>
    </w:lvl>
  </w:abstractNum>
  <w:abstractNum w:abstractNumId="11" w15:restartNumberingAfterBreak="0">
    <w:nsid w:val="1E177E97"/>
    <w:multiLevelType w:val="hybridMultilevel"/>
    <w:tmpl w:val="A6463BCE"/>
    <w:lvl w:ilvl="0" w:tplc="04140013">
      <w:start w:val="1"/>
      <w:numFmt w:val="upperRoman"/>
      <w:lvlText w:val="%1."/>
      <w:lvlJc w:val="end"/>
      <w:pPr>
        <w:ind w:start="46.80pt" w:hanging="18pt"/>
      </w:pPr>
    </w:lvl>
    <w:lvl w:ilvl="1" w:tplc="04140019" w:tentative="1">
      <w:start w:val="1"/>
      <w:numFmt w:val="lowerLetter"/>
      <w:lvlText w:val="%2."/>
      <w:lvlJc w:val="start"/>
      <w:pPr>
        <w:ind w:start="82.80pt" w:hanging="18pt"/>
      </w:pPr>
    </w:lvl>
    <w:lvl w:ilvl="2" w:tplc="0414001B" w:tentative="1">
      <w:start w:val="1"/>
      <w:numFmt w:val="lowerRoman"/>
      <w:lvlText w:val="%3."/>
      <w:lvlJc w:val="end"/>
      <w:pPr>
        <w:ind w:start="118.80pt" w:hanging="9pt"/>
      </w:pPr>
    </w:lvl>
    <w:lvl w:ilvl="3" w:tplc="0414000F" w:tentative="1">
      <w:start w:val="1"/>
      <w:numFmt w:val="decimal"/>
      <w:lvlText w:val="%4."/>
      <w:lvlJc w:val="start"/>
      <w:pPr>
        <w:ind w:start="154.80pt" w:hanging="18pt"/>
      </w:pPr>
    </w:lvl>
    <w:lvl w:ilvl="4" w:tplc="04140019" w:tentative="1">
      <w:start w:val="1"/>
      <w:numFmt w:val="lowerLetter"/>
      <w:lvlText w:val="%5."/>
      <w:lvlJc w:val="start"/>
      <w:pPr>
        <w:ind w:start="190.80pt" w:hanging="18pt"/>
      </w:pPr>
    </w:lvl>
    <w:lvl w:ilvl="5" w:tplc="0414001B" w:tentative="1">
      <w:start w:val="1"/>
      <w:numFmt w:val="lowerRoman"/>
      <w:lvlText w:val="%6."/>
      <w:lvlJc w:val="end"/>
      <w:pPr>
        <w:ind w:start="226.80pt" w:hanging="9pt"/>
      </w:pPr>
    </w:lvl>
    <w:lvl w:ilvl="6" w:tplc="0414000F" w:tentative="1">
      <w:start w:val="1"/>
      <w:numFmt w:val="decimal"/>
      <w:lvlText w:val="%7."/>
      <w:lvlJc w:val="start"/>
      <w:pPr>
        <w:ind w:start="262.80pt" w:hanging="18pt"/>
      </w:pPr>
    </w:lvl>
    <w:lvl w:ilvl="7" w:tplc="04140019" w:tentative="1">
      <w:start w:val="1"/>
      <w:numFmt w:val="lowerLetter"/>
      <w:lvlText w:val="%8."/>
      <w:lvlJc w:val="start"/>
      <w:pPr>
        <w:ind w:start="298.80pt" w:hanging="18pt"/>
      </w:pPr>
    </w:lvl>
    <w:lvl w:ilvl="8" w:tplc="0414001B" w:tentative="1">
      <w:start w:val="1"/>
      <w:numFmt w:val="lowerRoman"/>
      <w:lvlText w:val="%9."/>
      <w:lvlJc w:val="end"/>
      <w:pPr>
        <w:ind w:start="334.80pt" w:hanging="9pt"/>
      </w:pPr>
    </w:lvl>
  </w:abstractNum>
  <w:abstractNum w:abstractNumId="12" w15:restartNumberingAfterBreak="0">
    <w:nsid w:val="20AF0333"/>
    <w:multiLevelType w:val="hybridMultilevel"/>
    <w:tmpl w:val="CB0E7F4E"/>
    <w:lvl w:ilvl="0" w:tplc="E09099E0">
      <w:start w:val="1"/>
      <w:numFmt w:val="lowerLetter"/>
      <w:lvlText w:val="%1."/>
      <w:lvlJc w:val="start"/>
      <w:pPr>
        <w:tabs>
          <w:tab w:val="num" w:pos="36pt"/>
        </w:tabs>
        <w:ind w:start="36pt" w:hanging="18pt"/>
      </w:pPr>
      <w:rPr>
        <w:rFonts w:cs="Times New Roman" w:hint="default"/>
        <w:i w:val="0"/>
        <w:iCs w:val="0"/>
      </w:rPr>
    </w:lvl>
    <w:lvl w:ilvl="1" w:tplc="04090019">
      <w:start w:val="1"/>
      <w:numFmt w:val="lowerLetter"/>
      <w:lvlText w:val="%2."/>
      <w:lvlJc w:val="start"/>
      <w:pPr>
        <w:tabs>
          <w:tab w:val="num" w:pos="72pt"/>
        </w:tabs>
        <w:ind w:start="72pt" w:hanging="18pt"/>
      </w:pPr>
      <w:rPr>
        <w:rFonts w:cs="Times New Roman"/>
      </w:rPr>
    </w:lvl>
    <w:lvl w:ilvl="2" w:tplc="0409001B">
      <w:start w:val="1"/>
      <w:numFmt w:val="lowerRoman"/>
      <w:lvlText w:val="%3."/>
      <w:lvlJc w:val="end"/>
      <w:pPr>
        <w:tabs>
          <w:tab w:val="num" w:pos="108pt"/>
        </w:tabs>
        <w:ind w:start="108pt" w:hanging="9pt"/>
      </w:pPr>
      <w:rPr>
        <w:rFonts w:cs="Times New Roman"/>
      </w:rPr>
    </w:lvl>
    <w:lvl w:ilvl="3" w:tplc="0409000F">
      <w:start w:val="1"/>
      <w:numFmt w:val="decimal"/>
      <w:lvlText w:val="%4."/>
      <w:lvlJc w:val="start"/>
      <w:pPr>
        <w:tabs>
          <w:tab w:val="num" w:pos="144pt"/>
        </w:tabs>
        <w:ind w:start="144pt" w:hanging="18pt"/>
      </w:pPr>
      <w:rPr>
        <w:rFonts w:cs="Times New Roman"/>
      </w:rPr>
    </w:lvl>
    <w:lvl w:ilvl="4" w:tplc="04090019">
      <w:start w:val="1"/>
      <w:numFmt w:val="lowerLetter"/>
      <w:lvlText w:val="%5."/>
      <w:lvlJc w:val="start"/>
      <w:pPr>
        <w:tabs>
          <w:tab w:val="num" w:pos="180pt"/>
        </w:tabs>
        <w:ind w:start="180pt" w:hanging="18pt"/>
      </w:pPr>
      <w:rPr>
        <w:rFonts w:cs="Times New Roman"/>
      </w:rPr>
    </w:lvl>
    <w:lvl w:ilvl="5" w:tplc="0409001B">
      <w:start w:val="1"/>
      <w:numFmt w:val="lowerRoman"/>
      <w:lvlText w:val="%6."/>
      <w:lvlJc w:val="end"/>
      <w:pPr>
        <w:tabs>
          <w:tab w:val="num" w:pos="216pt"/>
        </w:tabs>
        <w:ind w:start="216pt" w:hanging="9pt"/>
      </w:pPr>
      <w:rPr>
        <w:rFonts w:cs="Times New Roman"/>
      </w:rPr>
    </w:lvl>
    <w:lvl w:ilvl="6" w:tplc="0409000F">
      <w:start w:val="1"/>
      <w:numFmt w:val="decimal"/>
      <w:lvlText w:val="%7."/>
      <w:lvlJc w:val="start"/>
      <w:pPr>
        <w:tabs>
          <w:tab w:val="num" w:pos="252pt"/>
        </w:tabs>
        <w:ind w:start="252pt" w:hanging="18pt"/>
      </w:pPr>
      <w:rPr>
        <w:rFonts w:cs="Times New Roman"/>
      </w:rPr>
    </w:lvl>
    <w:lvl w:ilvl="7" w:tplc="04090019">
      <w:start w:val="1"/>
      <w:numFmt w:val="lowerLetter"/>
      <w:lvlText w:val="%8."/>
      <w:lvlJc w:val="start"/>
      <w:pPr>
        <w:tabs>
          <w:tab w:val="num" w:pos="288pt"/>
        </w:tabs>
        <w:ind w:start="288pt" w:hanging="18pt"/>
      </w:pPr>
      <w:rPr>
        <w:rFonts w:cs="Times New Roman"/>
      </w:rPr>
    </w:lvl>
    <w:lvl w:ilvl="8" w:tplc="0409001B">
      <w:start w:val="1"/>
      <w:numFmt w:val="lowerRoman"/>
      <w:lvlText w:val="%9."/>
      <w:lvlJc w:val="end"/>
      <w:pPr>
        <w:tabs>
          <w:tab w:val="num" w:pos="324pt"/>
        </w:tabs>
        <w:ind w:start="324pt" w:hanging="9pt"/>
      </w:pPr>
      <w:rPr>
        <w:rFonts w:cs="Times New Roman"/>
      </w:rPr>
    </w:lvl>
  </w:abstractNum>
  <w:abstractNum w:abstractNumId="13" w15:restartNumberingAfterBreak="0">
    <w:nsid w:val="26FE1FCF"/>
    <w:multiLevelType w:val="hybridMultilevel"/>
    <w:tmpl w:val="33826962"/>
    <w:lvl w:ilvl="0" w:tplc="A2947960">
      <w:start w:val="1"/>
      <w:numFmt w:val="decimal"/>
      <w:pStyle w:val="footnote"/>
      <w:lvlText w:val="%1 "/>
      <w:lvlJc w:val="start"/>
      <w:pPr>
        <w:tabs>
          <w:tab w:val="num" w:pos="32.40pt"/>
        </w:tabs>
        <w:ind w:firstLine="14.40pt"/>
      </w:pPr>
      <w:rPr>
        <w:rFonts w:ascii="Times New Roman" w:hAnsi="Times New Roman" w:cs="Times New Roman" w:hint="default"/>
        <w:b w:val="0"/>
        <w:bCs w:val="0"/>
        <w:i w:val="0"/>
        <w:iCs w:val="0"/>
        <w:caps w:val="0"/>
        <w:strike w:val="0"/>
        <w:dstrike w:val="0"/>
        <w:vanish w:val="0"/>
        <w:color w:val="000000"/>
        <w:sz w:val="16"/>
        <w:szCs w:val="16"/>
        <w:vertAlign w:val="superscript"/>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start"/>
      <w:pPr>
        <w:tabs>
          <w:tab w:val="num" w:pos="72pt"/>
        </w:tabs>
        <w:ind w:start="72pt" w:hanging="18pt"/>
      </w:pPr>
      <w:rPr>
        <w:rFonts w:cs="Times New Roman"/>
      </w:rPr>
    </w:lvl>
    <w:lvl w:ilvl="2" w:tplc="0409001B">
      <w:start w:val="1"/>
      <w:numFmt w:val="lowerRoman"/>
      <w:lvlText w:val="%3."/>
      <w:lvlJc w:val="end"/>
      <w:pPr>
        <w:tabs>
          <w:tab w:val="num" w:pos="108pt"/>
        </w:tabs>
        <w:ind w:start="108pt" w:hanging="9pt"/>
      </w:pPr>
      <w:rPr>
        <w:rFonts w:cs="Times New Roman"/>
      </w:rPr>
    </w:lvl>
    <w:lvl w:ilvl="3" w:tplc="0409000F">
      <w:start w:val="1"/>
      <w:numFmt w:val="decimal"/>
      <w:lvlText w:val="%4."/>
      <w:lvlJc w:val="start"/>
      <w:pPr>
        <w:tabs>
          <w:tab w:val="num" w:pos="144pt"/>
        </w:tabs>
        <w:ind w:start="144pt" w:hanging="18pt"/>
      </w:pPr>
      <w:rPr>
        <w:rFonts w:cs="Times New Roman"/>
      </w:rPr>
    </w:lvl>
    <w:lvl w:ilvl="4" w:tplc="04090019">
      <w:start w:val="1"/>
      <w:numFmt w:val="lowerLetter"/>
      <w:lvlText w:val="%5."/>
      <w:lvlJc w:val="start"/>
      <w:pPr>
        <w:tabs>
          <w:tab w:val="num" w:pos="180pt"/>
        </w:tabs>
        <w:ind w:start="180pt" w:hanging="18pt"/>
      </w:pPr>
      <w:rPr>
        <w:rFonts w:cs="Times New Roman"/>
      </w:rPr>
    </w:lvl>
    <w:lvl w:ilvl="5" w:tplc="0409001B">
      <w:start w:val="1"/>
      <w:numFmt w:val="lowerRoman"/>
      <w:lvlText w:val="%6."/>
      <w:lvlJc w:val="end"/>
      <w:pPr>
        <w:tabs>
          <w:tab w:val="num" w:pos="216pt"/>
        </w:tabs>
        <w:ind w:start="216pt" w:hanging="9pt"/>
      </w:pPr>
      <w:rPr>
        <w:rFonts w:cs="Times New Roman"/>
      </w:rPr>
    </w:lvl>
    <w:lvl w:ilvl="6" w:tplc="0409000F">
      <w:start w:val="1"/>
      <w:numFmt w:val="decimal"/>
      <w:lvlText w:val="%7."/>
      <w:lvlJc w:val="start"/>
      <w:pPr>
        <w:tabs>
          <w:tab w:val="num" w:pos="252pt"/>
        </w:tabs>
        <w:ind w:start="252pt" w:hanging="18pt"/>
      </w:pPr>
      <w:rPr>
        <w:rFonts w:cs="Times New Roman"/>
      </w:rPr>
    </w:lvl>
    <w:lvl w:ilvl="7" w:tplc="04090019">
      <w:start w:val="1"/>
      <w:numFmt w:val="lowerLetter"/>
      <w:lvlText w:val="%8."/>
      <w:lvlJc w:val="start"/>
      <w:pPr>
        <w:tabs>
          <w:tab w:val="num" w:pos="288pt"/>
        </w:tabs>
        <w:ind w:start="288pt" w:hanging="18pt"/>
      </w:pPr>
      <w:rPr>
        <w:rFonts w:cs="Times New Roman"/>
      </w:rPr>
    </w:lvl>
    <w:lvl w:ilvl="8" w:tplc="0409001B">
      <w:start w:val="1"/>
      <w:numFmt w:val="lowerRoman"/>
      <w:lvlText w:val="%9."/>
      <w:lvlJc w:val="end"/>
      <w:pPr>
        <w:tabs>
          <w:tab w:val="num" w:pos="324pt"/>
        </w:tabs>
        <w:ind w:start="324pt" w:hanging="9pt"/>
      </w:pPr>
      <w:rPr>
        <w:rFonts w:cs="Times New Roman"/>
      </w:rPr>
    </w:lvl>
  </w:abstractNum>
  <w:abstractNum w:abstractNumId="14" w15:restartNumberingAfterBreak="0">
    <w:nsid w:val="37660336"/>
    <w:multiLevelType w:val="hybridMultilevel"/>
    <w:tmpl w:val="754EAC84"/>
    <w:lvl w:ilvl="0" w:tplc="C46877EA">
      <w:start w:val="1"/>
      <w:numFmt w:val="bullet"/>
      <w:pStyle w:val="bulletlist"/>
      <w:lvlText w:val=""/>
      <w:lvlJc w:val="start"/>
      <w:pPr>
        <w:tabs>
          <w:tab w:val="num" w:pos="32.40pt"/>
        </w:tabs>
        <w:ind w:start="32.40pt" w:hanging="18pt"/>
      </w:pPr>
      <w:rPr>
        <w:rFonts w:ascii="Symbol" w:hAnsi="Symbol" w:hint="default"/>
      </w:rPr>
    </w:lvl>
    <w:lvl w:ilvl="1" w:tplc="04090003">
      <w:start w:val="1"/>
      <w:numFmt w:val="bullet"/>
      <w:lvlText w:val="o"/>
      <w:lvlJc w:val="start"/>
      <w:pPr>
        <w:tabs>
          <w:tab w:val="num" w:pos="72pt"/>
        </w:tabs>
        <w:ind w:start="72pt" w:hanging="18pt"/>
      </w:pPr>
      <w:rPr>
        <w:rFonts w:ascii="Courier New" w:hAnsi="Courier New" w:hint="default"/>
      </w:rPr>
    </w:lvl>
    <w:lvl w:ilvl="2" w:tplc="04090005">
      <w:start w:val="1"/>
      <w:numFmt w:val="bullet"/>
      <w:lvlText w:val=""/>
      <w:lvlJc w:val="start"/>
      <w:pPr>
        <w:tabs>
          <w:tab w:val="num" w:pos="108pt"/>
        </w:tabs>
        <w:ind w:start="108pt" w:hanging="18pt"/>
      </w:pPr>
      <w:rPr>
        <w:rFonts w:ascii="Wingdings" w:hAnsi="Wingdings" w:hint="default"/>
      </w:rPr>
    </w:lvl>
    <w:lvl w:ilvl="3" w:tplc="04090001">
      <w:start w:val="1"/>
      <w:numFmt w:val="bullet"/>
      <w:lvlText w:val=""/>
      <w:lvlJc w:val="start"/>
      <w:pPr>
        <w:tabs>
          <w:tab w:val="num" w:pos="144pt"/>
        </w:tabs>
        <w:ind w:start="144pt" w:hanging="18pt"/>
      </w:pPr>
      <w:rPr>
        <w:rFonts w:ascii="Symbol" w:hAnsi="Symbol" w:hint="default"/>
      </w:rPr>
    </w:lvl>
    <w:lvl w:ilvl="4" w:tplc="04090003">
      <w:start w:val="1"/>
      <w:numFmt w:val="bullet"/>
      <w:lvlText w:val="o"/>
      <w:lvlJc w:val="start"/>
      <w:pPr>
        <w:tabs>
          <w:tab w:val="num" w:pos="180pt"/>
        </w:tabs>
        <w:ind w:start="180pt" w:hanging="18pt"/>
      </w:pPr>
      <w:rPr>
        <w:rFonts w:ascii="Courier New" w:hAnsi="Courier New" w:hint="default"/>
      </w:rPr>
    </w:lvl>
    <w:lvl w:ilvl="5" w:tplc="04090005">
      <w:start w:val="1"/>
      <w:numFmt w:val="bullet"/>
      <w:lvlText w:val=""/>
      <w:lvlJc w:val="start"/>
      <w:pPr>
        <w:tabs>
          <w:tab w:val="num" w:pos="216pt"/>
        </w:tabs>
        <w:ind w:start="216pt" w:hanging="18pt"/>
      </w:pPr>
      <w:rPr>
        <w:rFonts w:ascii="Wingdings" w:hAnsi="Wingdings" w:hint="default"/>
      </w:rPr>
    </w:lvl>
    <w:lvl w:ilvl="6" w:tplc="04090001">
      <w:start w:val="1"/>
      <w:numFmt w:val="bullet"/>
      <w:lvlText w:val=""/>
      <w:lvlJc w:val="start"/>
      <w:pPr>
        <w:tabs>
          <w:tab w:val="num" w:pos="252pt"/>
        </w:tabs>
        <w:ind w:start="252pt" w:hanging="18pt"/>
      </w:pPr>
      <w:rPr>
        <w:rFonts w:ascii="Symbol" w:hAnsi="Symbol" w:hint="default"/>
      </w:rPr>
    </w:lvl>
    <w:lvl w:ilvl="7" w:tplc="04090003">
      <w:start w:val="1"/>
      <w:numFmt w:val="bullet"/>
      <w:lvlText w:val="o"/>
      <w:lvlJc w:val="start"/>
      <w:pPr>
        <w:tabs>
          <w:tab w:val="num" w:pos="288pt"/>
        </w:tabs>
        <w:ind w:start="288pt" w:hanging="18pt"/>
      </w:pPr>
      <w:rPr>
        <w:rFonts w:ascii="Courier New" w:hAnsi="Courier New" w:hint="default"/>
      </w:rPr>
    </w:lvl>
    <w:lvl w:ilvl="8" w:tplc="04090005">
      <w:start w:val="1"/>
      <w:numFmt w:val="bullet"/>
      <w:lvlText w:val=""/>
      <w:lvlJc w:val="start"/>
      <w:pPr>
        <w:tabs>
          <w:tab w:val="num" w:pos="324pt"/>
        </w:tabs>
        <w:ind w:start="324pt" w:hanging="18pt"/>
      </w:pPr>
      <w:rPr>
        <w:rFonts w:ascii="Wingdings" w:hAnsi="Wingdings" w:hint="default"/>
      </w:rPr>
    </w:lvl>
  </w:abstractNum>
  <w:abstractNum w:abstractNumId="15" w15:restartNumberingAfterBreak="0">
    <w:nsid w:val="39E54FC6"/>
    <w:multiLevelType w:val="singleLevel"/>
    <w:tmpl w:val="5B7288D4"/>
    <w:lvl w:ilvl="0">
      <w:start w:val="14"/>
      <w:numFmt w:val="decimal"/>
      <w:lvlText w:val="%1"/>
      <w:lvlJc w:val="start"/>
      <w:pPr>
        <w:tabs>
          <w:tab w:val="num" w:pos="36pt"/>
        </w:tabs>
        <w:ind w:start="36pt" w:hanging="18pt"/>
      </w:pPr>
      <w:rPr>
        <w:rFonts w:cs="Times New Roman" w:hint="default"/>
      </w:rPr>
    </w:lvl>
  </w:abstractNum>
  <w:abstractNum w:abstractNumId="16" w15:restartNumberingAfterBreak="0">
    <w:nsid w:val="4189603E"/>
    <w:multiLevelType w:val="multilevel"/>
    <w:tmpl w:val="0AB06E12"/>
    <w:lvl w:ilvl="0">
      <w:start w:val="1"/>
      <w:numFmt w:val="upperRoman"/>
      <w:pStyle w:val="Heading1"/>
      <w:lvlText w:val="%1."/>
      <w:lvlJc w:val="center"/>
      <w:pPr>
        <w:tabs>
          <w:tab w:val="num" w:pos="28.80pt"/>
        </w:tabs>
        <w:ind w:firstLine="10.80pt"/>
      </w:pPr>
      <w:rPr>
        <w:rFonts w:ascii="Times New Roman" w:hAnsi="Times New Roman" w:cs="Times New Roman" w:hint="default"/>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pStyle w:val="Heading2"/>
      <w:lvlText w:val="%2."/>
      <w:lvlJc w:val="start"/>
      <w:pPr>
        <w:tabs>
          <w:tab w:val="num" w:pos="18pt"/>
        </w:tabs>
        <w:ind w:start="14.40pt" w:hanging="14.40pt"/>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Heading3"/>
      <w:lvlText w:val="%3)"/>
      <w:lvlJc w:val="start"/>
      <w:pPr>
        <w:tabs>
          <w:tab w:val="num" w:pos="27pt"/>
        </w:tabs>
        <w:ind w:firstLine="9pt"/>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pStyle w:val="Heading4"/>
      <w:lvlText w:val="%4)"/>
      <w:lvlJc w:val="start"/>
      <w:pPr>
        <w:tabs>
          <w:tab w:val="num" w:pos="31.50pt"/>
        </w:tabs>
        <w:ind w:firstLine="18pt"/>
      </w:pPr>
      <w:rPr>
        <w:rFonts w:ascii="Times New Roman" w:hAnsi="Times New Roman" w:cs="Times New Roman" w:hint="default"/>
        <w:b w:val="0"/>
        <w:bCs w:val="0"/>
        <w:i/>
        <w:iCs/>
        <w:sz w:val="20"/>
        <w:szCs w:val="20"/>
      </w:rPr>
    </w:lvl>
    <w:lvl w:ilvl="4">
      <w:start w:val="1"/>
      <w:numFmt w:val="none"/>
      <w:lvlRestart w:val="0"/>
      <w:lvlText w:val=""/>
      <w:lvlJc w:val="start"/>
      <w:pPr>
        <w:tabs>
          <w:tab w:val="num" w:pos="162pt"/>
        </w:tabs>
        <w:ind w:start="144pt"/>
      </w:pPr>
      <w:rPr>
        <w:rFonts w:cs="Times New Roman" w:hint="default"/>
      </w:rPr>
    </w:lvl>
    <w:lvl w:ilvl="5">
      <w:start w:val="1"/>
      <w:numFmt w:val="lowerLetter"/>
      <w:lvlText w:val="(%6)"/>
      <w:lvlJc w:val="start"/>
      <w:pPr>
        <w:tabs>
          <w:tab w:val="num" w:pos="198pt"/>
        </w:tabs>
        <w:ind w:start="180pt"/>
      </w:pPr>
      <w:rPr>
        <w:rFonts w:cs="Times New Roman" w:hint="default"/>
      </w:rPr>
    </w:lvl>
    <w:lvl w:ilvl="6">
      <w:start w:val="1"/>
      <w:numFmt w:val="lowerRoman"/>
      <w:lvlText w:val="(%7)"/>
      <w:lvlJc w:val="start"/>
      <w:pPr>
        <w:tabs>
          <w:tab w:val="num" w:pos="234pt"/>
        </w:tabs>
        <w:ind w:start="216pt"/>
      </w:pPr>
      <w:rPr>
        <w:rFonts w:cs="Times New Roman" w:hint="default"/>
      </w:rPr>
    </w:lvl>
    <w:lvl w:ilvl="7">
      <w:start w:val="1"/>
      <w:numFmt w:val="lowerLetter"/>
      <w:lvlText w:val="(%8)"/>
      <w:lvlJc w:val="start"/>
      <w:pPr>
        <w:tabs>
          <w:tab w:val="num" w:pos="270pt"/>
        </w:tabs>
        <w:ind w:start="252pt"/>
      </w:pPr>
      <w:rPr>
        <w:rFonts w:cs="Times New Roman" w:hint="default"/>
      </w:rPr>
    </w:lvl>
    <w:lvl w:ilvl="8">
      <w:start w:val="1"/>
      <w:numFmt w:val="lowerRoman"/>
      <w:lvlText w:val="(%9)"/>
      <w:lvlJc w:val="start"/>
      <w:pPr>
        <w:tabs>
          <w:tab w:val="num" w:pos="306pt"/>
        </w:tabs>
        <w:ind w:start="288pt"/>
      </w:pPr>
      <w:rPr>
        <w:rFonts w:cs="Times New Roman" w:hint="default"/>
      </w:rPr>
    </w:lvl>
  </w:abstractNum>
  <w:abstractNum w:abstractNumId="17" w15:restartNumberingAfterBreak="0">
    <w:nsid w:val="493C3F76"/>
    <w:multiLevelType w:val="hybridMultilevel"/>
    <w:tmpl w:val="9A9E418C"/>
    <w:lvl w:ilvl="0" w:tplc="2C18EFA4">
      <w:start w:val="1"/>
      <w:numFmt w:val="lowerLetter"/>
      <w:pStyle w:val="tablefootnote"/>
      <w:lvlText w:val="%1."/>
      <w:lvlJc w:val="end"/>
      <w:pPr>
        <w:ind w:start="20.90pt" w:hanging="18pt"/>
      </w:pPr>
      <w:rPr>
        <w:rFonts w:ascii="Times New Roman" w:hAnsi="Times New Roman" w:hint="default"/>
        <w:b w:val="0"/>
        <w:i w:val="0"/>
        <w:caps w:val="0"/>
        <w:strike w:val="0"/>
        <w:dstrike w:val="0"/>
        <w:vanish w:val="0"/>
        <w:color w:val="auto"/>
        <w:spacing w:val="0"/>
        <w:w w:val="100%"/>
        <w:kern w:val="0"/>
        <w:position w:val="0"/>
        <w:sz w:val="16"/>
        <w:vertAlign w:val="superscript"/>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start"/>
      <w:pPr>
        <w:ind w:start="72pt" w:hanging="18pt"/>
      </w:pPr>
    </w:lvl>
    <w:lvl w:ilvl="2" w:tplc="0409001B" w:tentative="1">
      <w:start w:val="1"/>
      <w:numFmt w:val="lowerRoman"/>
      <w:lvlText w:val="%3."/>
      <w:lvlJc w:val="end"/>
      <w:pPr>
        <w:ind w:start="108pt" w:hanging="9pt"/>
      </w:pPr>
    </w:lvl>
    <w:lvl w:ilvl="3" w:tplc="0409000F" w:tentative="1">
      <w:start w:val="1"/>
      <w:numFmt w:val="decimal"/>
      <w:lvlText w:val="%4."/>
      <w:lvlJc w:val="start"/>
      <w:pPr>
        <w:ind w:start="144pt" w:hanging="18pt"/>
      </w:pPr>
    </w:lvl>
    <w:lvl w:ilvl="4" w:tplc="04090019" w:tentative="1">
      <w:start w:val="1"/>
      <w:numFmt w:val="lowerLetter"/>
      <w:lvlText w:val="%5."/>
      <w:lvlJc w:val="start"/>
      <w:pPr>
        <w:ind w:start="180pt" w:hanging="18pt"/>
      </w:pPr>
    </w:lvl>
    <w:lvl w:ilvl="5" w:tplc="0409001B" w:tentative="1">
      <w:start w:val="1"/>
      <w:numFmt w:val="lowerRoman"/>
      <w:lvlText w:val="%6."/>
      <w:lvlJc w:val="end"/>
      <w:pPr>
        <w:ind w:start="216pt" w:hanging="9pt"/>
      </w:pPr>
    </w:lvl>
    <w:lvl w:ilvl="6" w:tplc="0409000F" w:tentative="1">
      <w:start w:val="1"/>
      <w:numFmt w:val="decimal"/>
      <w:lvlText w:val="%7."/>
      <w:lvlJc w:val="start"/>
      <w:pPr>
        <w:ind w:start="252pt" w:hanging="18pt"/>
      </w:pPr>
    </w:lvl>
    <w:lvl w:ilvl="7" w:tplc="04090019" w:tentative="1">
      <w:start w:val="1"/>
      <w:numFmt w:val="lowerLetter"/>
      <w:lvlText w:val="%8."/>
      <w:lvlJc w:val="start"/>
      <w:pPr>
        <w:ind w:start="288pt" w:hanging="18pt"/>
      </w:pPr>
    </w:lvl>
    <w:lvl w:ilvl="8" w:tplc="0409001B" w:tentative="1">
      <w:start w:val="1"/>
      <w:numFmt w:val="lowerRoman"/>
      <w:lvlText w:val="%9."/>
      <w:lvlJc w:val="end"/>
      <w:pPr>
        <w:ind w:start="324pt" w:hanging="9pt"/>
      </w:pPr>
    </w:lvl>
  </w:abstractNum>
  <w:abstractNum w:abstractNumId="18" w15:restartNumberingAfterBreak="0">
    <w:nsid w:val="52CA544A"/>
    <w:multiLevelType w:val="singleLevel"/>
    <w:tmpl w:val="AED6D67E"/>
    <w:lvl w:ilvl="0">
      <w:start w:val="1"/>
      <w:numFmt w:val="decimal"/>
      <w:pStyle w:val="references"/>
      <w:lvlText w:val="[%1]"/>
      <w:lvlJc w:val="start"/>
      <w:pPr>
        <w:tabs>
          <w:tab w:val="num" w:pos="18pt"/>
        </w:tabs>
        <w:ind w:start="18pt" w:hanging="18pt"/>
      </w:pPr>
      <w:rPr>
        <w:rFonts w:ascii="Times New Roman" w:hAnsi="Times New Roman" w:cs="Times New Roman" w:hint="default"/>
        <w:b w:val="0"/>
        <w:bCs w:val="0"/>
        <w:i w:val="0"/>
        <w:iCs w:val="0"/>
        <w:sz w:val="16"/>
        <w:szCs w:val="16"/>
      </w:rPr>
    </w:lvl>
  </w:abstractNum>
  <w:abstractNum w:abstractNumId="19" w15:restartNumberingAfterBreak="0">
    <w:nsid w:val="6C402C58"/>
    <w:multiLevelType w:val="hybridMultilevel"/>
    <w:tmpl w:val="9A1CA078"/>
    <w:lvl w:ilvl="0" w:tplc="C8D6570A">
      <w:start w:val="1"/>
      <w:numFmt w:val="decimal"/>
      <w:pStyle w:val="figurecaption"/>
      <w:lvlText w:val="Fig. %1."/>
      <w:lvlJc w:val="start"/>
      <w:pPr>
        <w:ind w:start="18pt" w:hanging="18pt"/>
      </w:pPr>
      <w:rPr>
        <w:rFonts w:ascii="Times New Roman" w:hAnsi="Times New Roman" w:cs="Times New Roman" w:hint="default"/>
        <w:b w:val="0"/>
        <w:bCs w:val="0"/>
        <w:i w:val="0"/>
        <w:iCs w:val="0"/>
        <w:color w:val="auto"/>
        <w:sz w:val="16"/>
        <w:szCs w:val="16"/>
      </w:rPr>
    </w:lvl>
    <w:lvl w:ilvl="1" w:tplc="04090019">
      <w:start w:val="1"/>
      <w:numFmt w:val="lowerLetter"/>
      <w:lvlText w:val="%2."/>
      <w:lvlJc w:val="start"/>
      <w:pPr>
        <w:tabs>
          <w:tab w:val="num" w:pos="72pt"/>
        </w:tabs>
        <w:ind w:start="72pt" w:hanging="18pt"/>
      </w:pPr>
      <w:rPr>
        <w:rFonts w:cs="Times New Roman"/>
      </w:rPr>
    </w:lvl>
    <w:lvl w:ilvl="2" w:tplc="0409001B">
      <w:start w:val="1"/>
      <w:numFmt w:val="lowerRoman"/>
      <w:lvlText w:val="%3."/>
      <w:lvlJc w:val="end"/>
      <w:pPr>
        <w:tabs>
          <w:tab w:val="num" w:pos="108pt"/>
        </w:tabs>
        <w:ind w:start="108pt" w:hanging="9pt"/>
      </w:pPr>
      <w:rPr>
        <w:rFonts w:cs="Times New Roman"/>
      </w:rPr>
    </w:lvl>
    <w:lvl w:ilvl="3" w:tplc="0409000F">
      <w:start w:val="1"/>
      <w:numFmt w:val="decimal"/>
      <w:lvlText w:val="%4."/>
      <w:lvlJc w:val="start"/>
      <w:pPr>
        <w:tabs>
          <w:tab w:val="num" w:pos="144pt"/>
        </w:tabs>
        <w:ind w:start="144pt" w:hanging="18pt"/>
      </w:pPr>
      <w:rPr>
        <w:rFonts w:cs="Times New Roman"/>
      </w:rPr>
    </w:lvl>
    <w:lvl w:ilvl="4" w:tplc="04090019">
      <w:start w:val="1"/>
      <w:numFmt w:val="lowerLetter"/>
      <w:lvlText w:val="%5."/>
      <w:lvlJc w:val="start"/>
      <w:pPr>
        <w:tabs>
          <w:tab w:val="num" w:pos="180pt"/>
        </w:tabs>
        <w:ind w:start="180pt" w:hanging="18pt"/>
      </w:pPr>
      <w:rPr>
        <w:rFonts w:cs="Times New Roman"/>
      </w:rPr>
    </w:lvl>
    <w:lvl w:ilvl="5" w:tplc="0409001B">
      <w:start w:val="1"/>
      <w:numFmt w:val="lowerRoman"/>
      <w:lvlText w:val="%6."/>
      <w:lvlJc w:val="end"/>
      <w:pPr>
        <w:tabs>
          <w:tab w:val="num" w:pos="216pt"/>
        </w:tabs>
        <w:ind w:start="216pt" w:hanging="9pt"/>
      </w:pPr>
      <w:rPr>
        <w:rFonts w:cs="Times New Roman"/>
      </w:rPr>
    </w:lvl>
    <w:lvl w:ilvl="6" w:tplc="0409000F">
      <w:start w:val="1"/>
      <w:numFmt w:val="decimal"/>
      <w:lvlText w:val="%7."/>
      <w:lvlJc w:val="start"/>
      <w:pPr>
        <w:tabs>
          <w:tab w:val="num" w:pos="252pt"/>
        </w:tabs>
        <w:ind w:start="252pt" w:hanging="18pt"/>
      </w:pPr>
      <w:rPr>
        <w:rFonts w:cs="Times New Roman"/>
      </w:rPr>
    </w:lvl>
    <w:lvl w:ilvl="7" w:tplc="04090019">
      <w:start w:val="1"/>
      <w:numFmt w:val="lowerLetter"/>
      <w:lvlText w:val="%8."/>
      <w:lvlJc w:val="start"/>
      <w:pPr>
        <w:tabs>
          <w:tab w:val="num" w:pos="288pt"/>
        </w:tabs>
        <w:ind w:start="288pt" w:hanging="18pt"/>
      </w:pPr>
      <w:rPr>
        <w:rFonts w:cs="Times New Roman"/>
      </w:rPr>
    </w:lvl>
    <w:lvl w:ilvl="8" w:tplc="0409001B">
      <w:start w:val="1"/>
      <w:numFmt w:val="lowerRoman"/>
      <w:lvlText w:val="%9."/>
      <w:lvlJc w:val="end"/>
      <w:pPr>
        <w:tabs>
          <w:tab w:val="num" w:pos="324pt"/>
        </w:tabs>
        <w:ind w:start="324pt" w:hanging="9pt"/>
      </w:pPr>
      <w:rPr>
        <w:rFonts w:cs="Times New Roman"/>
      </w:rPr>
    </w:lvl>
  </w:abstractNum>
  <w:abstractNum w:abstractNumId="20" w15:restartNumberingAfterBreak="0">
    <w:nsid w:val="6CD32DA8"/>
    <w:multiLevelType w:val="singleLevel"/>
    <w:tmpl w:val="166470C2"/>
    <w:lvl w:ilvl="0">
      <w:start w:val="1"/>
      <w:numFmt w:val="upperRoman"/>
      <w:pStyle w:val="tablehead"/>
      <w:lvlText w:val="TABLE %1. "/>
      <w:lvlJc w:val="start"/>
      <w:pPr>
        <w:tabs>
          <w:tab w:val="num" w:pos="54pt"/>
        </w:tabs>
      </w:pPr>
      <w:rPr>
        <w:rFonts w:ascii="Times New Roman" w:hAnsi="Times New Roman" w:cs="Times New Roman" w:hint="default"/>
        <w:b w:val="0"/>
        <w:bCs w:val="0"/>
        <w:i w:val="0"/>
        <w:iCs w:val="0"/>
        <w:sz w:val="16"/>
        <w:szCs w:val="16"/>
      </w:rPr>
    </w:lvl>
  </w:abstractNum>
  <w:num w:numId="1" w16cid:durableId="1369909383">
    <w:abstractNumId w:val="14"/>
  </w:num>
  <w:num w:numId="2" w16cid:durableId="568543031">
    <w:abstractNumId w:val="19"/>
  </w:num>
  <w:num w:numId="3" w16cid:durableId="1207790780">
    <w:abstractNumId w:val="13"/>
  </w:num>
  <w:num w:numId="4" w16cid:durableId="629168631">
    <w:abstractNumId w:val="16"/>
  </w:num>
  <w:num w:numId="5" w16cid:durableId="1032806882">
    <w:abstractNumId w:val="16"/>
  </w:num>
  <w:num w:numId="6" w16cid:durableId="1614826021">
    <w:abstractNumId w:val="16"/>
  </w:num>
  <w:num w:numId="7" w16cid:durableId="1871990542">
    <w:abstractNumId w:val="16"/>
  </w:num>
  <w:num w:numId="8" w16cid:durableId="2088458160">
    <w:abstractNumId w:val="18"/>
  </w:num>
  <w:num w:numId="9" w16cid:durableId="231694775">
    <w:abstractNumId w:val="20"/>
  </w:num>
  <w:num w:numId="10" w16cid:durableId="2126189682">
    <w:abstractNumId w:val="15"/>
  </w:num>
  <w:num w:numId="11" w16cid:durableId="771515552">
    <w:abstractNumId w:val="12"/>
  </w:num>
  <w:num w:numId="12" w16cid:durableId="1603688421">
    <w:abstractNumId w:val="11"/>
  </w:num>
  <w:num w:numId="13" w16cid:durableId="308025467">
    <w:abstractNumId w:val="0"/>
  </w:num>
  <w:num w:numId="14" w16cid:durableId="915015855">
    <w:abstractNumId w:val="10"/>
  </w:num>
  <w:num w:numId="15" w16cid:durableId="124853704">
    <w:abstractNumId w:val="8"/>
  </w:num>
  <w:num w:numId="16" w16cid:durableId="378433823">
    <w:abstractNumId w:val="7"/>
  </w:num>
  <w:num w:numId="17" w16cid:durableId="178550123">
    <w:abstractNumId w:val="6"/>
  </w:num>
  <w:num w:numId="18" w16cid:durableId="1882938436">
    <w:abstractNumId w:val="5"/>
  </w:num>
  <w:num w:numId="19" w16cid:durableId="1292051459">
    <w:abstractNumId w:val="9"/>
  </w:num>
  <w:num w:numId="20" w16cid:durableId="439644133">
    <w:abstractNumId w:val="4"/>
  </w:num>
  <w:num w:numId="21" w16cid:durableId="277882354">
    <w:abstractNumId w:val="3"/>
  </w:num>
  <w:num w:numId="22" w16cid:durableId="85808594">
    <w:abstractNumId w:val="2"/>
  </w:num>
  <w:num w:numId="23" w16cid:durableId="306714086">
    <w:abstractNumId w:val="1"/>
  </w:num>
  <w:num w:numId="24" w16cid:durableId="276639338">
    <w:abstractNumId w:val="17"/>
  </w:num>
</w:numbering>
</file>

<file path=word/settings.xml><?xml version="1.0" encoding="utf-8"?>
<w:settings xmlns:mc="http://schemas.openxmlformats.org/markup-compatibility/2006" xmlns:o="urn:schemas-microsoft-com:office:office" xmlns:r="http://purl.oclc.org/ooxml/officeDocument/relationships" xmlns:m="http://purl.oclc.org/ooxml/officeDocument/math" xmlns:v="urn:schemas-microsoft-com:vml"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SystemFonts/>
  <w:defaultTabStop w:val="36pt"/>
  <w:doNotHyphenateCaps/>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03D9"/>
    <w:rsid w:val="00002EDB"/>
    <w:rsid w:val="00013953"/>
    <w:rsid w:val="0002141B"/>
    <w:rsid w:val="0004378D"/>
    <w:rsid w:val="0004781E"/>
    <w:rsid w:val="0005088E"/>
    <w:rsid w:val="000530DA"/>
    <w:rsid w:val="000825F9"/>
    <w:rsid w:val="0008758A"/>
    <w:rsid w:val="00095281"/>
    <w:rsid w:val="0009779E"/>
    <w:rsid w:val="00097F2A"/>
    <w:rsid w:val="000A525E"/>
    <w:rsid w:val="000A56D2"/>
    <w:rsid w:val="000B206C"/>
    <w:rsid w:val="000C0EBD"/>
    <w:rsid w:val="000C155A"/>
    <w:rsid w:val="000C1E68"/>
    <w:rsid w:val="00122EF2"/>
    <w:rsid w:val="00123538"/>
    <w:rsid w:val="001276CA"/>
    <w:rsid w:val="001421C3"/>
    <w:rsid w:val="00152A88"/>
    <w:rsid w:val="001531C3"/>
    <w:rsid w:val="00164A30"/>
    <w:rsid w:val="00174816"/>
    <w:rsid w:val="00183EEA"/>
    <w:rsid w:val="0019428F"/>
    <w:rsid w:val="001957E9"/>
    <w:rsid w:val="001A2EFD"/>
    <w:rsid w:val="001A3B3D"/>
    <w:rsid w:val="001B67DC"/>
    <w:rsid w:val="001C7257"/>
    <w:rsid w:val="001D2439"/>
    <w:rsid w:val="001F549A"/>
    <w:rsid w:val="00200D7F"/>
    <w:rsid w:val="002027C1"/>
    <w:rsid w:val="00205903"/>
    <w:rsid w:val="00221322"/>
    <w:rsid w:val="002254A9"/>
    <w:rsid w:val="00233D97"/>
    <w:rsid w:val="002347A2"/>
    <w:rsid w:val="00234B36"/>
    <w:rsid w:val="00241385"/>
    <w:rsid w:val="002542ED"/>
    <w:rsid w:val="0025459A"/>
    <w:rsid w:val="00261A22"/>
    <w:rsid w:val="002720B7"/>
    <w:rsid w:val="002765A4"/>
    <w:rsid w:val="002850E3"/>
    <w:rsid w:val="002875B7"/>
    <w:rsid w:val="002B40DD"/>
    <w:rsid w:val="002C3DEE"/>
    <w:rsid w:val="002C7810"/>
    <w:rsid w:val="002D04EB"/>
    <w:rsid w:val="00306DEF"/>
    <w:rsid w:val="00306FD3"/>
    <w:rsid w:val="003071B9"/>
    <w:rsid w:val="00322C70"/>
    <w:rsid w:val="00354FCF"/>
    <w:rsid w:val="00383231"/>
    <w:rsid w:val="00385086"/>
    <w:rsid w:val="003A19E2"/>
    <w:rsid w:val="003A34C7"/>
    <w:rsid w:val="003B2B40"/>
    <w:rsid w:val="003B4E04"/>
    <w:rsid w:val="003D1770"/>
    <w:rsid w:val="003D6DD3"/>
    <w:rsid w:val="003E1B89"/>
    <w:rsid w:val="003F40A8"/>
    <w:rsid w:val="003F5A08"/>
    <w:rsid w:val="00420716"/>
    <w:rsid w:val="00421BD1"/>
    <w:rsid w:val="00426453"/>
    <w:rsid w:val="00427FCC"/>
    <w:rsid w:val="004325FB"/>
    <w:rsid w:val="004432BA"/>
    <w:rsid w:val="0044407E"/>
    <w:rsid w:val="00447BB9"/>
    <w:rsid w:val="00455D11"/>
    <w:rsid w:val="0046031D"/>
    <w:rsid w:val="00460D82"/>
    <w:rsid w:val="00473AC9"/>
    <w:rsid w:val="004A7F44"/>
    <w:rsid w:val="004C2099"/>
    <w:rsid w:val="004C6D36"/>
    <w:rsid w:val="004D183B"/>
    <w:rsid w:val="004D72B5"/>
    <w:rsid w:val="004E1B80"/>
    <w:rsid w:val="004F1A83"/>
    <w:rsid w:val="004F5C25"/>
    <w:rsid w:val="005046F9"/>
    <w:rsid w:val="00551B7F"/>
    <w:rsid w:val="0055669D"/>
    <w:rsid w:val="0056610F"/>
    <w:rsid w:val="00573E97"/>
    <w:rsid w:val="00575BCA"/>
    <w:rsid w:val="0057665E"/>
    <w:rsid w:val="005873A2"/>
    <w:rsid w:val="00596EE5"/>
    <w:rsid w:val="005A2884"/>
    <w:rsid w:val="005B0344"/>
    <w:rsid w:val="005B4B43"/>
    <w:rsid w:val="005B520E"/>
    <w:rsid w:val="005D420D"/>
    <w:rsid w:val="005D4D26"/>
    <w:rsid w:val="005E244F"/>
    <w:rsid w:val="005E2800"/>
    <w:rsid w:val="005E7F07"/>
    <w:rsid w:val="006030B4"/>
    <w:rsid w:val="00605825"/>
    <w:rsid w:val="00624253"/>
    <w:rsid w:val="0062549C"/>
    <w:rsid w:val="00635CDA"/>
    <w:rsid w:val="00641D9F"/>
    <w:rsid w:val="00645D22"/>
    <w:rsid w:val="00651A08"/>
    <w:rsid w:val="00654204"/>
    <w:rsid w:val="00657262"/>
    <w:rsid w:val="00670434"/>
    <w:rsid w:val="006A335A"/>
    <w:rsid w:val="006A5D82"/>
    <w:rsid w:val="006B2A06"/>
    <w:rsid w:val="006B6B66"/>
    <w:rsid w:val="006C5975"/>
    <w:rsid w:val="006C6A48"/>
    <w:rsid w:val="006D002E"/>
    <w:rsid w:val="006D1EA9"/>
    <w:rsid w:val="006D65A8"/>
    <w:rsid w:val="006D69BF"/>
    <w:rsid w:val="006E602C"/>
    <w:rsid w:val="006F6D3D"/>
    <w:rsid w:val="006F74AF"/>
    <w:rsid w:val="007033CF"/>
    <w:rsid w:val="00704DE8"/>
    <w:rsid w:val="00715BEA"/>
    <w:rsid w:val="00737BB4"/>
    <w:rsid w:val="00740EEA"/>
    <w:rsid w:val="00754473"/>
    <w:rsid w:val="00793700"/>
    <w:rsid w:val="00794804"/>
    <w:rsid w:val="007B33F1"/>
    <w:rsid w:val="007B6DDA"/>
    <w:rsid w:val="007C0308"/>
    <w:rsid w:val="007C2FF2"/>
    <w:rsid w:val="007D4261"/>
    <w:rsid w:val="007D6232"/>
    <w:rsid w:val="007F1F99"/>
    <w:rsid w:val="007F2166"/>
    <w:rsid w:val="007F4ECB"/>
    <w:rsid w:val="007F768F"/>
    <w:rsid w:val="0080791D"/>
    <w:rsid w:val="008147B5"/>
    <w:rsid w:val="00820DE2"/>
    <w:rsid w:val="00836367"/>
    <w:rsid w:val="00873603"/>
    <w:rsid w:val="00884313"/>
    <w:rsid w:val="008859FB"/>
    <w:rsid w:val="00894069"/>
    <w:rsid w:val="008A2C7D"/>
    <w:rsid w:val="008B6524"/>
    <w:rsid w:val="008C4B23"/>
    <w:rsid w:val="008F3465"/>
    <w:rsid w:val="008F45BE"/>
    <w:rsid w:val="008F6E2C"/>
    <w:rsid w:val="00905718"/>
    <w:rsid w:val="009303D9"/>
    <w:rsid w:val="00933C64"/>
    <w:rsid w:val="00935016"/>
    <w:rsid w:val="009477F4"/>
    <w:rsid w:val="009521AD"/>
    <w:rsid w:val="00954145"/>
    <w:rsid w:val="009610D5"/>
    <w:rsid w:val="0096259A"/>
    <w:rsid w:val="00972203"/>
    <w:rsid w:val="00974D7D"/>
    <w:rsid w:val="00980115"/>
    <w:rsid w:val="009924BC"/>
    <w:rsid w:val="009962E0"/>
    <w:rsid w:val="009A4DC1"/>
    <w:rsid w:val="009B407F"/>
    <w:rsid w:val="009B6551"/>
    <w:rsid w:val="009F14C6"/>
    <w:rsid w:val="009F1D79"/>
    <w:rsid w:val="009F7283"/>
    <w:rsid w:val="00A02FCD"/>
    <w:rsid w:val="00A059B3"/>
    <w:rsid w:val="00A05A24"/>
    <w:rsid w:val="00A10DAE"/>
    <w:rsid w:val="00A1577E"/>
    <w:rsid w:val="00A20F30"/>
    <w:rsid w:val="00A30531"/>
    <w:rsid w:val="00A467BB"/>
    <w:rsid w:val="00A474D5"/>
    <w:rsid w:val="00A524FF"/>
    <w:rsid w:val="00A54B4D"/>
    <w:rsid w:val="00A64580"/>
    <w:rsid w:val="00A948AF"/>
    <w:rsid w:val="00AC01BB"/>
    <w:rsid w:val="00AC0564"/>
    <w:rsid w:val="00AC2879"/>
    <w:rsid w:val="00AC3BB2"/>
    <w:rsid w:val="00AC5164"/>
    <w:rsid w:val="00AE3409"/>
    <w:rsid w:val="00AF188B"/>
    <w:rsid w:val="00AF1E5C"/>
    <w:rsid w:val="00B11A60"/>
    <w:rsid w:val="00B16F48"/>
    <w:rsid w:val="00B22613"/>
    <w:rsid w:val="00B25B3B"/>
    <w:rsid w:val="00B40F56"/>
    <w:rsid w:val="00B44A76"/>
    <w:rsid w:val="00B471B5"/>
    <w:rsid w:val="00B50FB3"/>
    <w:rsid w:val="00B768D1"/>
    <w:rsid w:val="00B92025"/>
    <w:rsid w:val="00BA1025"/>
    <w:rsid w:val="00BA5B10"/>
    <w:rsid w:val="00BA6299"/>
    <w:rsid w:val="00BC3420"/>
    <w:rsid w:val="00BD4D7F"/>
    <w:rsid w:val="00BD5185"/>
    <w:rsid w:val="00BD670B"/>
    <w:rsid w:val="00BE7D3C"/>
    <w:rsid w:val="00BF49A4"/>
    <w:rsid w:val="00BF5FF6"/>
    <w:rsid w:val="00C0207F"/>
    <w:rsid w:val="00C05754"/>
    <w:rsid w:val="00C1240E"/>
    <w:rsid w:val="00C16117"/>
    <w:rsid w:val="00C3075A"/>
    <w:rsid w:val="00C32BB9"/>
    <w:rsid w:val="00C47E61"/>
    <w:rsid w:val="00C47F85"/>
    <w:rsid w:val="00C51FAF"/>
    <w:rsid w:val="00C53A0D"/>
    <w:rsid w:val="00C60F45"/>
    <w:rsid w:val="00C6262D"/>
    <w:rsid w:val="00C74543"/>
    <w:rsid w:val="00C90A7E"/>
    <w:rsid w:val="00C913A2"/>
    <w:rsid w:val="00C919A4"/>
    <w:rsid w:val="00CA4392"/>
    <w:rsid w:val="00CB4DD5"/>
    <w:rsid w:val="00CC393F"/>
    <w:rsid w:val="00CC6867"/>
    <w:rsid w:val="00CE1239"/>
    <w:rsid w:val="00D1562A"/>
    <w:rsid w:val="00D2176E"/>
    <w:rsid w:val="00D33066"/>
    <w:rsid w:val="00D350BB"/>
    <w:rsid w:val="00D52AC3"/>
    <w:rsid w:val="00D632BE"/>
    <w:rsid w:val="00D658C2"/>
    <w:rsid w:val="00D6744F"/>
    <w:rsid w:val="00D72D06"/>
    <w:rsid w:val="00D72FFC"/>
    <w:rsid w:val="00D7522C"/>
    <w:rsid w:val="00D7536F"/>
    <w:rsid w:val="00D76668"/>
    <w:rsid w:val="00D85463"/>
    <w:rsid w:val="00DB5E68"/>
    <w:rsid w:val="00DD2CE3"/>
    <w:rsid w:val="00DE7FF3"/>
    <w:rsid w:val="00E016CD"/>
    <w:rsid w:val="00E02CD0"/>
    <w:rsid w:val="00E07383"/>
    <w:rsid w:val="00E165BC"/>
    <w:rsid w:val="00E61292"/>
    <w:rsid w:val="00E61E12"/>
    <w:rsid w:val="00E7596C"/>
    <w:rsid w:val="00E86C7D"/>
    <w:rsid w:val="00E878F2"/>
    <w:rsid w:val="00EA0AFF"/>
    <w:rsid w:val="00EB096B"/>
    <w:rsid w:val="00EC7C85"/>
    <w:rsid w:val="00ED0149"/>
    <w:rsid w:val="00EF51B8"/>
    <w:rsid w:val="00EF7DE3"/>
    <w:rsid w:val="00F016FC"/>
    <w:rsid w:val="00F03103"/>
    <w:rsid w:val="00F057CC"/>
    <w:rsid w:val="00F152D4"/>
    <w:rsid w:val="00F271DE"/>
    <w:rsid w:val="00F27AD0"/>
    <w:rsid w:val="00F3442A"/>
    <w:rsid w:val="00F4092B"/>
    <w:rsid w:val="00F50E0D"/>
    <w:rsid w:val="00F55FBB"/>
    <w:rsid w:val="00F627DA"/>
    <w:rsid w:val="00F63637"/>
    <w:rsid w:val="00F7288F"/>
    <w:rsid w:val="00F766DE"/>
    <w:rsid w:val="00F847A6"/>
    <w:rsid w:val="00F9441B"/>
    <w:rsid w:val="00F97AD7"/>
    <w:rsid w:val="00FA3D1E"/>
    <w:rsid w:val="00FA4614"/>
    <w:rsid w:val="00FA4C32"/>
    <w:rsid w:val="00FC4454"/>
    <w:rsid w:val="00FC4497"/>
    <w:rsid w:val="00FC56EA"/>
    <w:rsid w:val="00FD5EA6"/>
    <w:rsid w:val="00FE7114"/>
    <w:rsid w:val="00FF1FE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ecimalSymbol w:val=","/>
  <w:listSeparator w:val=";"/>
  <w14:docId w14:val="65FC7D30"/>
  <w15:chartTrackingRefBased/>
  <w15:docId w15:val="{024ECAD1-2323-4B9B-8C03-899AA7F9FF21}"/>
</w:settings>
</file>

<file path=word/styles.xml><?xml version="1.0" encoding="utf-8"?>
<w:styles xmlns:mc="http://schemas.openxmlformats.org/markup-compatibility/2006" xmlns:r="http://purl.oclc.org/ooxml/officeDocument/relationships"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jc w:val="center"/>
    </w:pPr>
  </w:style>
  <w:style w:type="paragraph" w:styleId="Heading1">
    <w:name w:val="heading 1"/>
    <w:basedOn w:val="Normal"/>
    <w:next w:val="Normal"/>
    <w:qFormat/>
    <w:rsid w:val="006B6B66"/>
    <w:pPr>
      <w:keepNext/>
      <w:keepLines/>
      <w:numPr>
        <w:numId w:val="4"/>
      </w:numPr>
      <w:tabs>
        <w:tab w:val="start" w:pos="10.80pt"/>
      </w:tabs>
      <w:spacing w:before="8pt" w:after="4pt"/>
      <w:ind w:firstLine="0pt"/>
      <w:outlineLvl w:val="0"/>
    </w:pPr>
    <w:rPr>
      <w:smallCaps/>
      <w:noProof/>
    </w:rPr>
  </w:style>
  <w:style w:type="paragraph" w:styleId="Heading2">
    <w:name w:val="heading 2"/>
    <w:basedOn w:val="Normal"/>
    <w:next w:val="Normal"/>
    <w:qFormat/>
    <w:rsid w:val="00ED0149"/>
    <w:pPr>
      <w:keepNext/>
      <w:keepLines/>
      <w:numPr>
        <w:ilvl w:val="1"/>
        <w:numId w:val="4"/>
      </w:numPr>
      <w:tabs>
        <w:tab w:val="clear" w:pos="18pt"/>
        <w:tab w:val="num" w:pos="14.40pt"/>
      </w:tabs>
      <w:spacing w:before="6pt" w:after="3pt"/>
      <w:jc w:val="start"/>
      <w:outlineLvl w:val="1"/>
    </w:pPr>
    <w:rPr>
      <w:i/>
      <w:iCs/>
      <w:noProof/>
    </w:rPr>
  </w:style>
  <w:style w:type="paragraph" w:styleId="Heading3">
    <w:name w:val="heading 3"/>
    <w:basedOn w:val="Normal"/>
    <w:next w:val="Normal"/>
    <w:qFormat/>
    <w:rsid w:val="00794804"/>
    <w:pPr>
      <w:numPr>
        <w:ilvl w:val="2"/>
        <w:numId w:val="4"/>
      </w:numPr>
      <w:spacing w:line="12pt" w:lineRule="exact"/>
      <w:ind w:firstLine="14.40pt"/>
      <w:jc w:val="both"/>
      <w:outlineLvl w:val="2"/>
    </w:pPr>
    <w:rPr>
      <w:i/>
      <w:iCs/>
      <w:noProof/>
    </w:rPr>
  </w:style>
  <w:style w:type="paragraph" w:styleId="Heading4">
    <w:name w:val="heading 4"/>
    <w:basedOn w:val="Normal"/>
    <w:next w:val="Normal"/>
    <w:qFormat/>
    <w:rsid w:val="00794804"/>
    <w:pPr>
      <w:numPr>
        <w:ilvl w:val="3"/>
        <w:numId w:val="4"/>
      </w:numPr>
      <w:tabs>
        <w:tab w:val="clear" w:pos="31.50pt"/>
        <w:tab w:val="start" w:pos="36pt"/>
      </w:tabs>
      <w:spacing w:before="2pt" w:after="2pt"/>
      <w:ind w:firstLine="25.20pt"/>
      <w:jc w:val="both"/>
      <w:outlineLvl w:val="3"/>
    </w:pPr>
    <w:rPr>
      <w:i/>
      <w:iCs/>
      <w:noProof/>
    </w:rPr>
  </w:style>
  <w:style w:type="paragraph" w:styleId="Heading5">
    <w:name w:val="heading 5"/>
    <w:basedOn w:val="Normal"/>
    <w:next w:val="Normal"/>
    <w:qFormat/>
    <w:pPr>
      <w:tabs>
        <w:tab w:val="start" w:pos="18pt"/>
      </w:tabs>
      <w:spacing w:before="8pt" w:after="4pt"/>
      <w:outlineLvl w:val="4"/>
    </w:pPr>
    <w:rPr>
      <w:smallCaps/>
      <w:noProo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pt" w:type="dxa"/>
      <w:tblCellMar>
        <w:top w:w="0pt" w:type="dxa"/>
        <w:start w:w="5.40pt" w:type="dxa"/>
        <w:bottom w:w="0pt" w:type="dxa"/>
        <w:end w:w="5.40pt" w:type="dxa"/>
      </w:tblCellMar>
    </w:tblPr>
  </w:style>
  <w:style w:type="numbering" w:default="1" w:styleId="NoList">
    <w:name w:val="No List"/>
    <w:uiPriority w:val="99"/>
    <w:semiHidden/>
    <w:unhideWhenUsed/>
  </w:style>
  <w:style w:type="paragraph" w:customStyle="1" w:styleId="Abstract">
    <w:name w:val="Abstract"/>
    <w:rsid w:val="00972203"/>
    <w:pPr>
      <w:spacing w:after="10pt"/>
      <w:ind w:firstLine="13.60pt"/>
      <w:jc w:val="both"/>
    </w:pPr>
    <w:rPr>
      <w:b/>
      <w:bCs/>
      <w:sz w:val="18"/>
      <w:szCs w:val="18"/>
    </w:rPr>
  </w:style>
  <w:style w:type="paragraph" w:customStyle="1" w:styleId="Affiliation">
    <w:name w:val="Affiliation"/>
    <w:pPr>
      <w:jc w:val="center"/>
    </w:pPr>
  </w:style>
  <w:style w:type="paragraph" w:customStyle="1" w:styleId="Author">
    <w:name w:val="Author"/>
    <w:pPr>
      <w:spacing w:before="18pt" w:after="2pt"/>
      <w:jc w:val="center"/>
    </w:pPr>
    <w:rPr>
      <w:noProof/>
      <w:sz w:val="22"/>
      <w:szCs w:val="22"/>
    </w:rPr>
  </w:style>
  <w:style w:type="paragraph" w:styleId="BodyText">
    <w:name w:val="Body Text"/>
    <w:basedOn w:val="Normal"/>
    <w:link w:val="BodyTextChar"/>
    <w:rsid w:val="00E7596C"/>
    <w:pPr>
      <w:tabs>
        <w:tab w:val="start" w:pos="14.40pt"/>
      </w:tabs>
      <w:spacing w:after="6pt" w:line="11.40pt" w:lineRule="auto"/>
      <w:ind w:firstLine="14.40pt"/>
      <w:jc w:val="both"/>
    </w:pPr>
    <w:rPr>
      <w:spacing w:val="-1"/>
      <w:lang w:val="x-none" w:eastAsia="x-none"/>
    </w:rPr>
  </w:style>
  <w:style w:type="character" w:customStyle="1" w:styleId="BodyTextChar">
    <w:name w:val="Body Text Char"/>
    <w:link w:val="BodyText"/>
    <w:rsid w:val="00E7596C"/>
    <w:rPr>
      <w:spacing w:val="-1"/>
      <w:lang w:val="x-none" w:eastAsia="x-none"/>
    </w:rPr>
  </w:style>
  <w:style w:type="paragraph" w:customStyle="1" w:styleId="bulletlist">
    <w:name w:val="bullet list"/>
    <w:basedOn w:val="BodyText"/>
    <w:rsid w:val="001B67DC"/>
    <w:pPr>
      <w:numPr>
        <w:numId w:val="1"/>
      </w:numPr>
      <w:tabs>
        <w:tab w:val="clear" w:pos="32.40pt"/>
      </w:tabs>
      <w:ind w:start="28.80pt" w:hanging="14.40pt"/>
    </w:pPr>
  </w:style>
  <w:style w:type="paragraph" w:customStyle="1" w:styleId="equation">
    <w:name w:val="equation"/>
    <w:basedOn w:val="Normal"/>
    <w:rsid w:val="008A2C7D"/>
    <w:pPr>
      <w:tabs>
        <w:tab w:val="center" w:pos="126pt"/>
        <w:tab w:val="end" w:pos="252pt"/>
      </w:tabs>
      <w:spacing w:before="12pt" w:after="12pt" w:line="10.80pt" w:lineRule="auto"/>
    </w:pPr>
    <w:rPr>
      <w:rFonts w:ascii="Symbol" w:hAnsi="Symbol" w:cs="Symbol"/>
    </w:rPr>
  </w:style>
  <w:style w:type="paragraph" w:customStyle="1" w:styleId="figurecaption">
    <w:name w:val="figure caption"/>
    <w:rsid w:val="005B0344"/>
    <w:pPr>
      <w:numPr>
        <w:numId w:val="2"/>
      </w:numPr>
      <w:tabs>
        <w:tab w:val="start" w:pos="26.65pt"/>
      </w:tabs>
      <w:spacing w:before="4pt" w:after="10pt"/>
      <w:ind w:start="0pt" w:firstLine="0pt"/>
      <w:jc w:val="both"/>
    </w:pPr>
    <w:rPr>
      <w:noProof/>
      <w:sz w:val="16"/>
      <w:szCs w:val="16"/>
    </w:rPr>
  </w:style>
  <w:style w:type="paragraph" w:customStyle="1" w:styleId="footnote">
    <w:name w:val="footnote"/>
    <w:pPr>
      <w:framePr w:hSpace="9.35pt" w:vSpace="9.35pt" w:wrap="notBeside" w:vAnchor="text" w:hAnchor="page" w:x="306.05pt" w:y="28.85pt"/>
      <w:numPr>
        <w:numId w:val="3"/>
      </w:numPr>
      <w:spacing w:after="2pt"/>
    </w:pPr>
    <w:rPr>
      <w:sz w:val="16"/>
      <w:szCs w:val="16"/>
    </w:rPr>
  </w:style>
  <w:style w:type="paragraph" w:customStyle="1" w:styleId="papersubtitle">
    <w:name w:val="paper subtitle"/>
    <w:pPr>
      <w:spacing w:after="6pt"/>
      <w:jc w:val="center"/>
    </w:pPr>
    <w:rPr>
      <w:rFonts w:eastAsia="MS Mincho"/>
      <w:noProof/>
      <w:sz w:val="28"/>
      <w:szCs w:val="28"/>
    </w:rPr>
  </w:style>
  <w:style w:type="paragraph" w:customStyle="1" w:styleId="papertitle">
    <w:name w:val="paper title"/>
    <w:pPr>
      <w:spacing w:after="6pt"/>
      <w:jc w:val="center"/>
    </w:pPr>
    <w:rPr>
      <w:rFonts w:eastAsia="MS Mincho"/>
      <w:noProof/>
      <w:sz w:val="48"/>
      <w:szCs w:val="48"/>
    </w:rPr>
  </w:style>
  <w:style w:type="paragraph" w:customStyle="1" w:styleId="references">
    <w:name w:val="references"/>
    <w:pPr>
      <w:numPr>
        <w:numId w:val="8"/>
      </w:numPr>
      <w:spacing w:after="2.50pt" w:line="9pt" w:lineRule="exact"/>
      <w:jc w:val="both"/>
    </w:pPr>
    <w:rPr>
      <w:rFonts w:eastAsia="MS Mincho"/>
      <w:noProof/>
      <w:sz w:val="16"/>
      <w:szCs w:val="16"/>
    </w:rPr>
  </w:style>
  <w:style w:type="paragraph" w:customStyle="1" w:styleId="sponsors">
    <w:name w:val="sponsors"/>
    <w:pPr>
      <w:framePr w:wrap="auto" w:hAnchor="text" w:x="30.75pt" w:y="111.95pt"/>
      <w:pBdr>
        <w:top w:val="single" w:sz="4" w:space="2" w:color="auto"/>
      </w:pBdr>
      <w:ind w:firstLine="14.40pt"/>
    </w:pPr>
    <w:rPr>
      <w:sz w:val="16"/>
      <w:szCs w:val="16"/>
    </w:rPr>
  </w:style>
  <w:style w:type="paragraph" w:customStyle="1" w:styleId="tablecolhead">
    <w:name w:val="table col head"/>
    <w:basedOn w:val="Normal"/>
    <w:rPr>
      <w:b/>
      <w:bCs/>
      <w:sz w:val="16"/>
      <w:szCs w:val="16"/>
    </w:rPr>
  </w:style>
  <w:style w:type="paragraph" w:customStyle="1" w:styleId="tablecolsubhead">
    <w:name w:val="table col subhead"/>
    <w:basedOn w:val="tablecolhead"/>
    <w:rPr>
      <w:i/>
      <w:iCs/>
      <w:sz w:val="15"/>
      <w:szCs w:val="15"/>
    </w:rPr>
  </w:style>
  <w:style w:type="paragraph" w:customStyle="1" w:styleId="tablecopy">
    <w:name w:val="table copy"/>
    <w:pPr>
      <w:jc w:val="both"/>
    </w:pPr>
    <w:rPr>
      <w:noProof/>
      <w:sz w:val="16"/>
      <w:szCs w:val="16"/>
    </w:rPr>
  </w:style>
  <w:style w:type="paragraph" w:customStyle="1" w:styleId="tablefootnote">
    <w:name w:val="table footnote"/>
    <w:rsid w:val="005E2800"/>
    <w:pPr>
      <w:numPr>
        <w:numId w:val="24"/>
      </w:numPr>
      <w:spacing w:before="3pt" w:after="1.50pt"/>
      <w:ind w:start="2.90pt" w:hanging="1.45pt"/>
      <w:jc w:val="end"/>
    </w:pPr>
    <w:rPr>
      <w:sz w:val="12"/>
      <w:szCs w:val="12"/>
    </w:rPr>
  </w:style>
  <w:style w:type="paragraph" w:customStyle="1" w:styleId="tablehead">
    <w:name w:val="table head"/>
    <w:pPr>
      <w:numPr>
        <w:numId w:val="9"/>
      </w:numPr>
      <w:spacing w:before="12pt" w:after="6pt" w:line="10.80pt" w:lineRule="auto"/>
      <w:jc w:val="center"/>
    </w:pPr>
    <w:rPr>
      <w:smallCaps/>
      <w:noProof/>
      <w:sz w:val="16"/>
      <w:szCs w:val="16"/>
    </w:rPr>
  </w:style>
  <w:style w:type="paragraph" w:customStyle="1" w:styleId="Keywords">
    <w:name w:val="Keywords"/>
    <w:basedOn w:val="Abstract"/>
    <w:qFormat/>
    <w:rsid w:val="00F9441B"/>
    <w:pPr>
      <w:spacing w:after="6pt"/>
      <w:ind w:firstLine="13.70pt"/>
    </w:pPr>
    <w:rPr>
      <w:i/>
    </w:rPr>
  </w:style>
  <w:style w:type="paragraph" w:styleId="Header">
    <w:name w:val="header"/>
    <w:basedOn w:val="Normal"/>
    <w:link w:val="HeaderChar"/>
    <w:rsid w:val="001A3B3D"/>
    <w:pPr>
      <w:tabs>
        <w:tab w:val="center" w:pos="234pt"/>
        <w:tab w:val="end" w:pos="468pt"/>
      </w:tabs>
    </w:pPr>
  </w:style>
  <w:style w:type="character" w:customStyle="1" w:styleId="HeaderChar">
    <w:name w:val="Header Char"/>
    <w:basedOn w:val="DefaultParagraphFont"/>
    <w:link w:val="Header"/>
    <w:rsid w:val="001A3B3D"/>
  </w:style>
  <w:style w:type="paragraph" w:styleId="Footer">
    <w:name w:val="footer"/>
    <w:basedOn w:val="Normal"/>
    <w:link w:val="FooterChar"/>
    <w:rsid w:val="001A3B3D"/>
    <w:pPr>
      <w:tabs>
        <w:tab w:val="center" w:pos="234pt"/>
        <w:tab w:val="end" w:pos="468pt"/>
      </w:tabs>
    </w:pPr>
  </w:style>
  <w:style w:type="character" w:customStyle="1" w:styleId="FooterChar">
    <w:name w:val="Footer Char"/>
    <w:basedOn w:val="DefaultParagraphFont"/>
    <w:link w:val="Footer"/>
    <w:rsid w:val="001A3B3D"/>
  </w:style>
  <w:style w:type="character" w:styleId="Hyperlink">
    <w:name w:val="Hyperlink"/>
    <w:basedOn w:val="DefaultParagraphFont"/>
    <w:rsid w:val="00C913A2"/>
    <w:rPr>
      <w:color w:val="0563C1" w:themeColor="hyperlink"/>
      <w:u w:val="single"/>
    </w:rPr>
  </w:style>
  <w:style w:type="character" w:styleId="UnresolvedMention">
    <w:name w:val="Unresolved Mention"/>
    <w:basedOn w:val="DefaultParagraphFont"/>
    <w:uiPriority w:val="99"/>
    <w:semiHidden/>
    <w:unhideWhenUsed/>
    <w:rsid w:val="00C913A2"/>
    <w:rPr>
      <w:color w:val="605E5C"/>
      <w:shd w:val="clear" w:color="auto" w:fill="E1DFDD"/>
    </w:rPr>
  </w:style>
</w:styles>
</file>

<file path=word/webSettings.xml><?xml version="1.0" encoding="utf-8"?>
<w:webSettings xmlns:mc="http://schemas.openxmlformats.org/markup-compatibility/2006" xmlns:r="http://purl.oclc.org/ooxml/officeDocument/relationships"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purl.oclc.org/ooxml/officeDocument/relationships/footer" Target="footer1.xml"/><Relationship Id="rId13" Type="http://purl.oclc.org/ooxml/officeDocument/relationships/image" Target="media/image5.jpeg"/><Relationship Id="rId18" Type="http://purl.oclc.org/ooxml/officeDocument/relationships/image" Target="media/image10.jpeg"/><Relationship Id="rId3" Type="http://purl.oclc.org/ooxml/officeDocument/relationships/styles" Target="styles.xml"/><Relationship Id="rId21" Type="http://purl.oclc.org/ooxml/officeDocument/relationships/fontTable" Target="fontTable.xml"/><Relationship Id="rId7" Type="http://purl.oclc.org/ooxml/officeDocument/relationships/endnotes" Target="endnotes.xml"/><Relationship Id="rId12" Type="http://purl.oclc.org/ooxml/officeDocument/relationships/image" Target="media/image4.jpeg"/><Relationship Id="rId17" Type="http://purl.oclc.org/ooxml/officeDocument/relationships/image" Target="media/image9.png"/><Relationship Id="rId2" Type="http://purl.oclc.org/ooxml/officeDocument/relationships/numbering" Target="numbering.xml"/><Relationship Id="rId16" Type="http://purl.oclc.org/ooxml/officeDocument/relationships/image" Target="media/image8.png"/><Relationship Id="rId20" Type="http://purl.oclc.org/ooxml/officeDocument/relationships/image" Target="media/image12.png"/><Relationship Id="rId1" Type="http://purl.oclc.org/ooxml/officeDocument/relationships/customXml" Target="../customXml/item1.xml"/><Relationship Id="rId6" Type="http://purl.oclc.org/ooxml/officeDocument/relationships/footnotes" Target="footnotes.xml"/><Relationship Id="rId11" Type="http://purl.oclc.org/ooxml/officeDocument/relationships/image" Target="media/image3.png"/><Relationship Id="rId5" Type="http://purl.oclc.org/ooxml/officeDocument/relationships/webSettings" Target="webSettings.xml"/><Relationship Id="rId15" Type="http://purl.oclc.org/ooxml/officeDocument/relationships/image" Target="media/image7.png"/><Relationship Id="rId10" Type="http://purl.oclc.org/ooxml/officeDocument/relationships/image" Target="media/image2.png"/><Relationship Id="rId19" Type="http://purl.oclc.org/ooxml/officeDocument/relationships/image" Target="media/image11.png"/><Relationship Id="rId4" Type="http://purl.oclc.org/ooxml/officeDocument/relationships/settings" Target="settings.xml"/><Relationship Id="rId9" Type="http://purl.oclc.org/ooxml/officeDocument/relationships/image" Target="media/image1.png"/><Relationship Id="rId14" Type="http://purl.oclc.org/ooxml/officeDocument/relationships/image" Target="media/image6.png"/><Relationship Id="rId22" Type="http://purl.oclc.org/ooxml/officeDocument/relationships/theme" Target="theme/theme1.xml"/></Relationships>
</file>

<file path=word/theme/theme1.xml><?xml version="1.0" encoding="utf-8"?>
<a:theme xmlns:a="http://purl.oclc.org/ooxml/drawingml/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
                <a:satMod val="105%"/>
                <a:tint val="67%"/>
              </a:schemeClr>
            </a:gs>
            <a:gs pos="50%">
              <a:schemeClr val="phClr">
                <a:lumMod val="105%"/>
                <a:satMod val="103%"/>
                <a:tint val="73%"/>
              </a:schemeClr>
            </a:gs>
            <a:gs pos="100%">
              <a:schemeClr val="phClr">
                <a:lumMod val="105%"/>
                <a:satMod val="109%"/>
                <a:tint val="81%"/>
              </a:schemeClr>
            </a:gs>
          </a:gsLst>
          <a:lin ang="5400000" scaled="0"/>
        </a:gradFill>
        <a:gradFill rotWithShape="1">
          <a:gsLst>
            <a:gs pos="0%">
              <a:schemeClr val="phClr">
                <a:satMod val="103%"/>
                <a:lumMod val="102%"/>
                <a:tint val="94%"/>
              </a:schemeClr>
            </a:gs>
            <a:gs pos="50%">
              <a:schemeClr val="phClr">
                <a:satMod val="110%"/>
                <a:lumMod val="100%"/>
                <a:shade val="100%"/>
              </a:schemeClr>
            </a:gs>
            <a:gs pos="100%">
              <a:schemeClr val="phClr">
                <a:lumMod val="99%"/>
                <a:satMod val="120%"/>
                <a:shade val="78%"/>
              </a:schemeClr>
            </a:gs>
          </a:gsLst>
          <a:lin ang="5400000" scaled="0"/>
        </a:gradFill>
      </a:fillStyleLst>
      <a:lnStyleLst>
        <a:ln w="6350" cap="flat" cmpd="sng" algn="ctr">
          <a:solidFill>
            <a:schemeClr val="phClr"/>
          </a:solidFill>
          <a:prstDash val="solid"/>
          <a:miter lim="800%"/>
        </a:ln>
        <a:ln w="12700" cap="flat" cmpd="sng" algn="ctr">
          <a:solidFill>
            <a:schemeClr val="phClr"/>
          </a:solidFill>
          <a:prstDash val="solid"/>
          <a:miter lim="800%"/>
        </a:ln>
        <a:ln w="19050" cap="flat" cmpd="sng" algn="ctr">
          <a:solidFill>
            <a:schemeClr val="phClr"/>
          </a:solidFill>
          <a:prstDash val="solid"/>
          <a:miter lim="800%"/>
        </a:ln>
      </a:lnStyleLst>
      <a:effectStyleLst>
        <a:effectStyle>
          <a:effectLst/>
        </a:effectStyle>
        <a:effectStyle>
          <a:effectLst/>
        </a:effectStyle>
        <a:effectStyle>
          <a:effectLst>
            <a:outerShdw blurRad="57150" dist="19050" dir="5400000" algn="ctr" rotWithShape="0">
              <a:srgbClr val="000000">
                <a:alpha val="63%"/>
              </a:srgbClr>
            </a:outerShdw>
          </a:effectLst>
        </a:effectStyle>
      </a:effectStyleLst>
      <a:bgFillStyleLst>
        <a:solidFill>
          <a:schemeClr val="phClr"/>
        </a:solidFill>
        <a:solidFill>
          <a:schemeClr val="phClr">
            <a:tint val="95%"/>
            <a:satMod val="170%"/>
          </a:schemeClr>
        </a:solidFill>
        <a:gradFill rotWithShape="1">
          <a:gsLst>
            <a:gs pos="0%">
              <a:schemeClr val="phClr">
                <a:tint val="93%"/>
                <a:satMod val="150%"/>
                <a:shade val="98%"/>
                <a:lumMod val="102%"/>
              </a:schemeClr>
            </a:gs>
            <a:gs pos="50%">
              <a:schemeClr val="phClr">
                <a:tint val="98%"/>
                <a:satMod val="130%"/>
                <a:shade val="90%"/>
                <a:lumMod val="103%"/>
              </a:schemeClr>
            </a:gs>
            <a:gs pos="100%">
              <a:schemeClr val="phClr">
                <a:shade val="63%"/>
                <a:satMod val="12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purl.oclc.org/ooxml/officeDocument/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purl.oclc.org/ooxml/officeDocument/customXml" ds:itemID="{9E966C7F-158E-4883-86A6-4454069232BB}">
  <ds:schemaRefs>
    <ds:schemaRef ds:uri="http://schemas.openxmlformats.org/officeDocument/2006/bibliography"/>
  </ds:schemaRefs>
</ds:datastoreItem>
</file>

<file path=docProps/app.xml><?xml version="1.0" encoding="utf-8"?>
<Properties xmlns="http://purl.oclc.org/ooxml/officeDocument/extendedProperties" xmlns:vt="http://purl.oclc.org/ooxml/officeDocument/docPropsVTypes">
  <Template>Normal.dotm</Template>
  <TotalTime>1372</TotalTime>
  <Pages>5</Pages>
  <Words>7446</Words>
  <Characters>42448</Characters>
  <Application>Microsoft Office Word</Application>
  <DocSecurity>0</DocSecurity>
  <Lines>353</Lines>
  <Paragraphs>99</Paragraphs>
  <ScaleCrop>false</ScaleCrop>
  <HeadingPairs>
    <vt:vector size="2" baseType="variant">
      <vt:variant>
        <vt:lpstr>Title</vt:lpstr>
      </vt:variant>
      <vt:variant>
        <vt:i4>1</vt:i4>
      </vt:variant>
    </vt:vector>
  </HeadingPairs>
  <TitlesOfParts>
    <vt:vector size="1" baseType="lpstr">
      <vt:lpstr>Paper Title (use style: paper title)</vt:lpstr>
    </vt:vector>
  </TitlesOfParts>
  <Company>IEEE</Company>
  <LinksUpToDate>false</LinksUpToDate>
  <CharactersWithSpaces>49795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 (use style: paper title)</dc:title>
  <dc:subject/>
  <dc:creator>IEEE</dc:creator>
  <cp:keywords/>
  <cp:lastModifiedBy>Haris</cp:lastModifiedBy>
  <cp:revision>250</cp:revision>
  <dcterms:created xsi:type="dcterms:W3CDTF">2024-07-16T13:42:00Z</dcterms:created>
  <dcterms:modified xsi:type="dcterms:W3CDTF">2024-09-16T05:01:00Z</dcterms:modified>
</cp:coreProperties>
</file>

<file path=docProps/custom.xml><?xml version="1.0" encoding="utf-8"?>
<Properties xmlns="http://purl.oclc.org/ooxml/officeDocument/customProperties" xmlns:vt="http://purl.oclc.org/ooxml/officeDocument/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12th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85a853c1-9e24-3f01-8e9b-408d36bd314c</vt:lpwstr>
  </property>
  <property fmtid="{D5CDD505-2E9C-101B-9397-08002B2CF9AE}" pid="24" name="Mendeley Citation Style_1">
    <vt:lpwstr>http://www.zotero.org/styles/ieee</vt:lpwstr>
  </property>
</Properties>
</file>